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C044663" w14:textId="77777777" w:rsidR="00940CD9" w:rsidRPr="007F77EC" w:rsidRDefault="00000000" w:rsidP="007F77EC">
      <w:pPr>
        <w:spacing w:after="40"/>
        <w:jc w:val="both"/>
        <w:rPr>
          <w:rFonts w:ascii="Aptos" w:hAnsi="Aptos"/>
        </w:rPr>
      </w:pPr>
      <w:r w:rsidRPr="007F77EC">
        <w:rPr>
          <w:rFonts w:ascii="Aptos" w:hAnsi="Aptos"/>
          <w:b/>
          <w:color w:val="1B365D"/>
          <w:sz w:val="28"/>
        </w:rPr>
        <w:t>GT 1 – Usos de información estadística y acceso a datos públicos</w:t>
      </w:r>
    </w:p>
    <w:p w14:paraId="7B0D473C" w14:textId="414690A9" w:rsidR="00940CD9" w:rsidRPr="007F77EC" w:rsidRDefault="00000000" w:rsidP="007F77EC">
      <w:pPr>
        <w:spacing w:after="240"/>
        <w:jc w:val="both"/>
        <w:rPr>
          <w:rFonts w:ascii="Aptos" w:hAnsi="Aptos"/>
        </w:rPr>
      </w:pPr>
      <w:r w:rsidRPr="007F77EC">
        <w:rPr>
          <w:rFonts w:ascii="Aptos" w:hAnsi="Aptos"/>
          <w:b/>
          <w:color w:val="4A607A"/>
          <w:sz w:val="24"/>
        </w:rPr>
        <w:t xml:space="preserve">Sesión 1 </w:t>
      </w:r>
      <w:r w:rsidR="007F77EC">
        <w:rPr>
          <w:rFonts w:ascii="Aptos" w:hAnsi="Aptos"/>
          <w:b/>
          <w:color w:val="4A607A"/>
          <w:sz w:val="24"/>
        </w:rPr>
        <w:t xml:space="preserve">– </w:t>
      </w:r>
      <w:r w:rsidR="000D0625">
        <w:rPr>
          <w:rFonts w:ascii="Aptos" w:hAnsi="Aptos"/>
          <w:b/>
          <w:color w:val="4A607A"/>
          <w:sz w:val="24"/>
        </w:rPr>
        <w:t>miércoles</w:t>
      </w:r>
      <w:r w:rsidR="007F77EC">
        <w:rPr>
          <w:rFonts w:ascii="Aptos" w:hAnsi="Aptos"/>
          <w:b/>
          <w:color w:val="4A607A"/>
          <w:sz w:val="24"/>
        </w:rPr>
        <w:t xml:space="preserve"> 30/09 14.30 – 16.30 </w:t>
      </w:r>
    </w:p>
    <w:p w14:paraId="4772D1FE" w14:textId="004641A5" w:rsidR="00940CD9" w:rsidRPr="007F77EC" w:rsidRDefault="00000000" w:rsidP="007F77EC">
      <w:pPr>
        <w:spacing w:after="200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>Moderación a cargo de</w:t>
      </w:r>
      <w:r w:rsidR="007F77EC">
        <w:rPr>
          <w:rFonts w:ascii="Aptos" w:hAnsi="Aptos"/>
          <w:b/>
        </w:rPr>
        <w:t xml:space="preserve"> Lilia Toranzos </w:t>
      </w:r>
    </w:p>
    <w:p w14:paraId="1AEEC73B" w14:textId="77777777" w:rsidR="00940CD9" w:rsidRPr="007F77EC" w:rsidRDefault="00000000" w:rsidP="007F77EC">
      <w:pPr>
        <w:spacing w:before="160"/>
        <w:jc w:val="both"/>
        <w:rPr>
          <w:rFonts w:ascii="Aptos" w:hAnsi="Aptos"/>
        </w:rPr>
      </w:pPr>
      <w:r w:rsidRPr="007F77EC">
        <w:rPr>
          <w:rFonts w:ascii="Aptos" w:hAnsi="Aptos"/>
          <w:b/>
          <w:sz w:val="23"/>
        </w:rPr>
        <w:t>Trabajos incluidos en la Sesión 1:</w:t>
      </w:r>
    </w:p>
    <w:p w14:paraId="555DE0A0" w14:textId="64C6C9FF" w:rsidR="00940CD9" w:rsidRPr="007F77EC" w:rsidRDefault="00000000" w:rsidP="007F77EC">
      <w:pPr>
        <w:pStyle w:val="Listaconvietas"/>
        <w:spacing w:after="60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 xml:space="preserve">Nancy Montes: </w:t>
      </w:r>
      <w:r w:rsidRPr="007F77EC">
        <w:rPr>
          <w:rFonts w:ascii="Aptos" w:hAnsi="Aptos"/>
          <w:i/>
        </w:rPr>
        <w:t>«Acerca de los usos de las evaluaciones estandarizadas: discusiones a partir de un estudio regional comparado.»</w:t>
      </w:r>
    </w:p>
    <w:p w14:paraId="0D7F2AD4" w14:textId="39402357" w:rsidR="00940CD9" w:rsidRPr="007F77EC" w:rsidRDefault="00000000" w:rsidP="007F77EC">
      <w:pPr>
        <w:pStyle w:val="Listaconvietas"/>
        <w:spacing w:after="60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 xml:space="preserve">Daniel Pinkasz: </w:t>
      </w:r>
      <w:r w:rsidRPr="007F77EC">
        <w:rPr>
          <w:rFonts w:ascii="Aptos" w:hAnsi="Aptos"/>
          <w:i/>
        </w:rPr>
        <w:t>«Evaluaciones estandarizadas en Argentina: usos y debates. Entre la consolidación y la crítica.»</w:t>
      </w:r>
    </w:p>
    <w:p w14:paraId="629AAC2E" w14:textId="6F536A9F" w:rsidR="00940CD9" w:rsidRPr="007F77EC" w:rsidRDefault="00000000" w:rsidP="007F77EC">
      <w:pPr>
        <w:pStyle w:val="Listaconvietas"/>
        <w:spacing w:after="60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 xml:space="preserve">Stella Escandell: </w:t>
      </w:r>
      <w:r w:rsidRPr="007F77EC">
        <w:rPr>
          <w:rFonts w:ascii="Aptos" w:hAnsi="Aptos"/>
          <w:i/>
        </w:rPr>
        <w:t xml:space="preserve">«Los </w:t>
      </w:r>
      <w:r w:rsidR="007F77EC">
        <w:rPr>
          <w:rFonts w:ascii="Aptos" w:hAnsi="Aptos"/>
          <w:i/>
        </w:rPr>
        <w:t>R</w:t>
      </w:r>
      <w:r w:rsidRPr="007F77EC">
        <w:rPr>
          <w:rFonts w:ascii="Aptos" w:hAnsi="Aptos"/>
          <w:i/>
        </w:rPr>
        <w:t>eportes Escuela APRENDER. Algunas consideraciones sobre el acceso a este artefacto, los apoyos para su uso y aspectos problemáticos en el levantamiento de información sobre su uso desde el dispositivo APRENDER.»</w:t>
      </w:r>
    </w:p>
    <w:p w14:paraId="62CC3E25" w14:textId="7D2B1B9C" w:rsidR="00940CD9" w:rsidRPr="007F77EC" w:rsidRDefault="00000000" w:rsidP="007F77EC">
      <w:pPr>
        <w:pStyle w:val="Listaconvietas"/>
        <w:spacing w:after="60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 xml:space="preserve">Juan Suasnábar: </w:t>
      </w:r>
      <w:r w:rsidRPr="007F77EC">
        <w:rPr>
          <w:rFonts w:ascii="Aptos" w:hAnsi="Aptos"/>
          <w:i/>
        </w:rPr>
        <w:t>«</w:t>
      </w:r>
      <w:r w:rsidR="00114FA1" w:rsidRPr="007F77EC">
        <w:rPr>
          <w:rFonts w:ascii="Aptos" w:hAnsi="Aptos"/>
          <w:i/>
        </w:rPr>
        <w:t>Estandarizadas,</w:t>
      </w:r>
      <w:r w:rsidRPr="007F77EC">
        <w:rPr>
          <w:rFonts w:ascii="Aptos" w:hAnsi="Aptos"/>
          <w:i/>
        </w:rPr>
        <w:t xml:space="preserve"> pero no cerradas: procesamiento de lenguaje natural y respuestas abiertas en evaluaciones educativas a gran escala.»</w:t>
      </w:r>
    </w:p>
    <w:p w14:paraId="5078FEB0" w14:textId="77777777" w:rsidR="00940CD9" w:rsidRPr="007F77EC" w:rsidRDefault="00000000" w:rsidP="007F77EC">
      <w:pPr>
        <w:spacing w:before="200"/>
        <w:jc w:val="both"/>
        <w:rPr>
          <w:rFonts w:ascii="Aptos" w:hAnsi="Aptos"/>
        </w:rPr>
      </w:pPr>
      <w:r w:rsidRPr="007F77EC">
        <w:rPr>
          <w:rFonts w:ascii="Aptos" w:hAnsi="Aptos"/>
          <w:b/>
          <w:sz w:val="23"/>
        </w:rPr>
        <w:t>Dinámica propuesta para la presentación de trabajos:</w:t>
      </w:r>
    </w:p>
    <w:p w14:paraId="121D0968" w14:textId="3AD30895" w:rsidR="007F77EC" w:rsidRPr="007F77EC" w:rsidRDefault="007F77EC" w:rsidP="007F77EC">
      <w:pPr>
        <w:spacing w:before="40"/>
        <w:ind w:left="360"/>
        <w:jc w:val="both"/>
        <w:rPr>
          <w:rFonts w:ascii="Aptos" w:hAnsi="Aptos"/>
        </w:rPr>
      </w:pPr>
      <w:r w:rsidRPr="007F77EC">
        <w:rPr>
          <w:rFonts w:ascii="Aptos" w:hAnsi="Aptos"/>
          <w:b/>
          <w:color w:val="1F4E78"/>
        </w:rPr>
        <w:t xml:space="preserve">Primer bloque: </w:t>
      </w:r>
      <w:r w:rsidRPr="007F77EC">
        <w:rPr>
          <w:rFonts w:ascii="Aptos" w:hAnsi="Aptos"/>
        </w:rPr>
        <w:t xml:space="preserve">se presentan los </w:t>
      </w:r>
      <w:r w:rsidRPr="007F77EC">
        <w:rPr>
          <w:rFonts w:ascii="Aptos" w:hAnsi="Aptos"/>
        </w:rPr>
        <w:t xml:space="preserve">trabajos de </w:t>
      </w:r>
      <w:r w:rsidRPr="007F77EC">
        <w:rPr>
          <w:rFonts w:ascii="Aptos" w:hAnsi="Aptos"/>
        </w:rPr>
        <w:t>Nancy Montes y Daniel Pinkasz. Cada expositor dispondrá de aproximadamente 15 minutos para la presentación y se destinarán 30 minutos para los intercambios.</w:t>
      </w:r>
    </w:p>
    <w:p w14:paraId="06FDD4CF" w14:textId="793857F9" w:rsidR="007F77EC" w:rsidRPr="007F77EC" w:rsidRDefault="007F77EC" w:rsidP="007F77EC">
      <w:pPr>
        <w:spacing w:before="40" w:after="240"/>
        <w:ind w:left="360"/>
        <w:jc w:val="both"/>
        <w:rPr>
          <w:rFonts w:ascii="Aptos" w:hAnsi="Aptos"/>
        </w:rPr>
      </w:pPr>
      <w:r w:rsidRPr="007F77EC">
        <w:rPr>
          <w:rFonts w:ascii="Aptos" w:hAnsi="Aptos"/>
          <w:b/>
          <w:color w:val="1F4E78"/>
        </w:rPr>
        <w:t xml:space="preserve">Segundo bloque: </w:t>
      </w:r>
      <w:r w:rsidRPr="007F77EC">
        <w:rPr>
          <w:rFonts w:ascii="Aptos" w:hAnsi="Aptos"/>
        </w:rPr>
        <w:t>se presentan los trabajos de Stella Escandell y Juan Suasnábar. Cada expositor dispondrá de aproximadamente 15 minutos para la presentación y se destinarán 30 minutos para los intercambios.</w:t>
      </w:r>
    </w:p>
    <w:p w14:paraId="1A92EE36" w14:textId="3C087316" w:rsidR="00940CD9" w:rsidRPr="007F77EC" w:rsidRDefault="00000000" w:rsidP="007F77EC">
      <w:pPr>
        <w:spacing w:before="240" w:after="120"/>
        <w:jc w:val="both"/>
        <w:rPr>
          <w:rFonts w:ascii="Aptos" w:hAnsi="Aptos"/>
        </w:rPr>
      </w:pPr>
      <w:r w:rsidRPr="007F77EC">
        <w:rPr>
          <w:rFonts w:ascii="Aptos" w:hAnsi="Aptos"/>
          <w:b/>
          <w:color w:val="1B365D"/>
          <w:sz w:val="26"/>
        </w:rPr>
        <w:t xml:space="preserve">Ejes </w:t>
      </w:r>
      <w:r w:rsidR="007F77EC">
        <w:rPr>
          <w:rFonts w:ascii="Aptos" w:hAnsi="Aptos"/>
          <w:b/>
          <w:color w:val="1B365D"/>
          <w:sz w:val="26"/>
        </w:rPr>
        <w:t xml:space="preserve">que organizan el intercambio </w:t>
      </w:r>
    </w:p>
    <w:p w14:paraId="7065CC4D" w14:textId="3F3D030E" w:rsidR="00940CD9" w:rsidRPr="007F77EC" w:rsidRDefault="00000000" w:rsidP="007F77EC">
      <w:pPr>
        <w:spacing w:before="200"/>
        <w:jc w:val="both"/>
        <w:rPr>
          <w:rFonts w:ascii="Aptos" w:hAnsi="Aptos"/>
        </w:rPr>
      </w:pPr>
      <w:r w:rsidRPr="007F77EC">
        <w:rPr>
          <w:rFonts w:ascii="Aptos" w:hAnsi="Aptos"/>
          <w:b/>
          <w:color w:val="1B365D"/>
          <w:sz w:val="23"/>
        </w:rPr>
        <w:t>EJE 1: Prescripción de la evidencia</w:t>
      </w:r>
      <w:r w:rsidR="008A5E5C">
        <w:rPr>
          <w:rFonts w:ascii="Aptos" w:hAnsi="Aptos"/>
          <w:b/>
          <w:color w:val="1B365D"/>
          <w:sz w:val="23"/>
        </w:rPr>
        <w:t xml:space="preserve"> </w:t>
      </w:r>
      <w:r w:rsidRPr="007F77EC">
        <w:rPr>
          <w:rFonts w:ascii="Aptos" w:hAnsi="Aptos"/>
          <w:b/>
          <w:color w:val="1B365D"/>
          <w:sz w:val="23"/>
        </w:rPr>
        <w:t>vs. usos reales, legitimación y gobernanza de la evaluación</w:t>
      </w:r>
    </w:p>
    <w:p w14:paraId="0C5BA8E0" w14:textId="5DF6A2BE" w:rsidR="00940CD9" w:rsidRPr="007F77EC" w:rsidRDefault="00000000" w:rsidP="007F77EC">
      <w:pPr>
        <w:spacing w:after="120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 xml:space="preserve">• Problema central: </w:t>
      </w:r>
      <w:r w:rsidRPr="007F77EC">
        <w:rPr>
          <w:rFonts w:ascii="Aptos" w:hAnsi="Aptos"/>
        </w:rPr>
        <w:t xml:space="preserve">La brecha entre el modelo de </w:t>
      </w:r>
      <w:r w:rsidR="008A5E5C">
        <w:rPr>
          <w:rFonts w:ascii="Aptos" w:hAnsi="Aptos"/>
        </w:rPr>
        <w:t xml:space="preserve">políticas basada en </w:t>
      </w:r>
      <w:r w:rsidR="00114FA1">
        <w:rPr>
          <w:rFonts w:ascii="Aptos" w:hAnsi="Aptos"/>
        </w:rPr>
        <w:t xml:space="preserve">evidencia, </w:t>
      </w:r>
      <w:r w:rsidR="00114FA1" w:rsidRPr="007F77EC">
        <w:rPr>
          <w:rFonts w:ascii="Aptos" w:hAnsi="Aptos"/>
        </w:rPr>
        <w:t>que</w:t>
      </w:r>
      <w:r w:rsidRPr="007F77EC">
        <w:rPr>
          <w:rFonts w:ascii="Aptos" w:hAnsi="Aptos"/>
        </w:rPr>
        <w:t xml:space="preserve"> concibe los datos como insumo para la mejora</w:t>
      </w:r>
      <w:r w:rsidR="008A5E5C">
        <w:rPr>
          <w:rFonts w:ascii="Aptos" w:hAnsi="Aptos"/>
        </w:rPr>
        <w:t xml:space="preserve"> </w:t>
      </w:r>
      <w:r w:rsidRPr="007F77EC">
        <w:rPr>
          <w:rFonts w:ascii="Aptos" w:hAnsi="Aptos"/>
        </w:rPr>
        <w:t>y los usos efectivos, simbólicos</w:t>
      </w:r>
      <w:r w:rsidR="008A5E5C">
        <w:rPr>
          <w:rFonts w:ascii="Aptos" w:hAnsi="Aptos"/>
        </w:rPr>
        <w:t xml:space="preserve"> y/o </w:t>
      </w:r>
      <w:r w:rsidRPr="007F77EC">
        <w:rPr>
          <w:rFonts w:ascii="Aptos" w:hAnsi="Aptos"/>
        </w:rPr>
        <w:t xml:space="preserve">políticos </w:t>
      </w:r>
      <w:r w:rsidR="008A5E5C">
        <w:rPr>
          <w:rFonts w:ascii="Aptos" w:hAnsi="Aptos"/>
        </w:rPr>
        <w:t xml:space="preserve">en el sistema educativo de la información producida por las evaluaciones estandarizadas. </w:t>
      </w:r>
    </w:p>
    <w:p w14:paraId="336A5971" w14:textId="77777777" w:rsidR="00940CD9" w:rsidRPr="007F77EC" w:rsidRDefault="00000000" w:rsidP="007F77EC">
      <w:pPr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>• Puntos clave para el debate:</w:t>
      </w:r>
    </w:p>
    <w:p w14:paraId="11F60325" w14:textId="77777777" w:rsidR="00940CD9" w:rsidRPr="007F77EC" w:rsidRDefault="00000000" w:rsidP="007F77EC">
      <w:pPr>
        <w:pStyle w:val="Listaconvietas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>Usos promovidos vs. usos efectivos y tipologías de uso:</w:t>
      </w:r>
      <w:r w:rsidRPr="007F77EC">
        <w:rPr>
          <w:rFonts w:ascii="Aptos" w:hAnsi="Aptos"/>
        </w:rPr>
        <w:t xml:space="preserve"> Contrastar las funciones estratégicas oficiales (focalización, distribución de recursos) con los usos ceremoniales o de legitimación de decisiones políticas preconcebidas. Analizar cómo las tipologías conceptuales de uso (instrumentales, conceptuales, de mediación) permiten comprender la apropiación real en la gestión pública.</w:t>
      </w:r>
    </w:p>
    <w:p w14:paraId="25E353AC" w14:textId="2D529101" w:rsidR="00940CD9" w:rsidRPr="007F77EC" w:rsidRDefault="00000000" w:rsidP="007F77EC">
      <w:pPr>
        <w:pStyle w:val="Listaconvietas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>Crítica académica, «triple reducción» y responsabilización:</w:t>
      </w:r>
      <w:r w:rsidRPr="007F77EC">
        <w:rPr>
          <w:rFonts w:ascii="Aptos" w:hAnsi="Aptos"/>
        </w:rPr>
        <w:t xml:space="preserve"> Discutir las advertencias del sobre los riesgos de reducir la calidad educativa a la prueba, el aprendizaje al resultado de</w:t>
      </w:r>
      <w:r w:rsidR="008A5E5C">
        <w:rPr>
          <w:rFonts w:ascii="Aptos" w:hAnsi="Aptos"/>
        </w:rPr>
        <w:t xml:space="preserve"> las evaluaciones </w:t>
      </w:r>
      <w:r w:rsidRPr="007F77EC">
        <w:rPr>
          <w:rFonts w:ascii="Aptos" w:hAnsi="Aptos"/>
        </w:rPr>
        <w:t>y la mejora a la medición misma, deslindando las lecturas punitivas</w:t>
      </w:r>
      <w:r w:rsidR="008A5E5C">
        <w:rPr>
          <w:rFonts w:ascii="Aptos" w:hAnsi="Aptos"/>
        </w:rPr>
        <w:t xml:space="preserve"> y/o vinculadas con la rendición de </w:t>
      </w:r>
      <w:r w:rsidR="00114FA1">
        <w:rPr>
          <w:rFonts w:ascii="Aptos" w:hAnsi="Aptos"/>
        </w:rPr>
        <w:t xml:space="preserve">cuentas </w:t>
      </w:r>
      <w:r w:rsidR="00114FA1" w:rsidRPr="007F77EC">
        <w:rPr>
          <w:rFonts w:ascii="Aptos" w:hAnsi="Aptos"/>
        </w:rPr>
        <w:t>de</w:t>
      </w:r>
      <w:r w:rsidRPr="007F77EC">
        <w:rPr>
          <w:rFonts w:ascii="Aptos" w:hAnsi="Aptos"/>
        </w:rPr>
        <w:t xml:space="preserve"> las demandas legítimas por información pública.</w:t>
      </w:r>
    </w:p>
    <w:p w14:paraId="1D0DADED" w14:textId="6A135963" w:rsidR="00940CD9" w:rsidRPr="007F77EC" w:rsidRDefault="00000000" w:rsidP="007F77EC">
      <w:pPr>
        <w:pStyle w:val="Listaconvietas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>Gobernanza, sostenibilidad e institucionalidad en escenarios de crisis:</w:t>
      </w:r>
      <w:r w:rsidRPr="007F77EC">
        <w:rPr>
          <w:rFonts w:ascii="Aptos" w:hAnsi="Aptos"/>
        </w:rPr>
        <w:t xml:space="preserve"> Analizar mecanismos institucionales y normativos (mesas federales, </w:t>
      </w:r>
      <w:r w:rsidR="00114FA1" w:rsidRPr="007F77EC">
        <w:rPr>
          <w:rFonts w:ascii="Aptos" w:hAnsi="Aptos"/>
        </w:rPr>
        <w:t>CFE</w:t>
      </w:r>
      <w:r w:rsidR="00114FA1">
        <w:rPr>
          <w:rFonts w:ascii="Aptos" w:hAnsi="Aptos"/>
        </w:rPr>
        <w:t xml:space="preserve">) </w:t>
      </w:r>
      <w:r w:rsidR="00114FA1" w:rsidRPr="007F77EC">
        <w:rPr>
          <w:rFonts w:ascii="Aptos" w:hAnsi="Aptos"/>
        </w:rPr>
        <w:t>para</w:t>
      </w:r>
      <w:r w:rsidRPr="007F77EC">
        <w:rPr>
          <w:rFonts w:ascii="Aptos" w:hAnsi="Aptos"/>
        </w:rPr>
        <w:t xml:space="preserve"> blindar la producción </w:t>
      </w:r>
      <w:r w:rsidRPr="007F77EC">
        <w:rPr>
          <w:rFonts w:ascii="Aptos" w:hAnsi="Aptos"/>
        </w:rPr>
        <w:lastRenderedPageBreak/>
        <w:t>de información frente a la volatilidad de las gestiones</w:t>
      </w:r>
      <w:r w:rsidR="008A5E5C">
        <w:rPr>
          <w:rFonts w:ascii="Aptos" w:hAnsi="Aptos"/>
        </w:rPr>
        <w:t xml:space="preserve"> gubernamentales, los equipos técnicos </w:t>
      </w:r>
      <w:r w:rsidRPr="007F77EC">
        <w:rPr>
          <w:rFonts w:ascii="Aptos" w:hAnsi="Aptos"/>
        </w:rPr>
        <w:t>y la incidencia de agencias internacionales y actores no gubernamentales.</w:t>
      </w:r>
    </w:p>
    <w:p w14:paraId="30D618AB" w14:textId="015B90CD" w:rsidR="00940CD9" w:rsidRPr="007F77EC" w:rsidRDefault="00000000" w:rsidP="007F77EC">
      <w:pPr>
        <w:spacing w:before="200"/>
        <w:jc w:val="both"/>
        <w:rPr>
          <w:rFonts w:ascii="Aptos" w:hAnsi="Aptos"/>
        </w:rPr>
      </w:pPr>
      <w:r w:rsidRPr="007F77EC">
        <w:rPr>
          <w:rFonts w:ascii="Aptos" w:hAnsi="Aptos"/>
          <w:b/>
          <w:color w:val="1B365D"/>
          <w:sz w:val="23"/>
        </w:rPr>
        <w:t>EJE 2: El artefacto de devolución</w:t>
      </w:r>
      <w:r w:rsidR="008A5E5C">
        <w:rPr>
          <w:rFonts w:ascii="Aptos" w:hAnsi="Aptos"/>
          <w:b/>
          <w:color w:val="1B365D"/>
          <w:sz w:val="23"/>
        </w:rPr>
        <w:t xml:space="preserve"> de la información</w:t>
      </w:r>
      <w:r w:rsidRPr="007F77EC">
        <w:rPr>
          <w:rFonts w:ascii="Aptos" w:hAnsi="Aptos"/>
          <w:b/>
          <w:color w:val="1B365D"/>
          <w:sz w:val="23"/>
        </w:rPr>
        <w:t>, mediaciones territoriales y apoyos institucionales</w:t>
      </w:r>
      <w:r w:rsidR="008A5E5C">
        <w:rPr>
          <w:rFonts w:ascii="Aptos" w:hAnsi="Aptos"/>
          <w:b/>
          <w:color w:val="1B365D"/>
          <w:sz w:val="23"/>
        </w:rPr>
        <w:t xml:space="preserve"> </w:t>
      </w:r>
      <w:r w:rsidRPr="007F77EC">
        <w:rPr>
          <w:rFonts w:ascii="Aptos" w:hAnsi="Aptos"/>
          <w:b/>
          <w:color w:val="1B365D"/>
          <w:sz w:val="23"/>
        </w:rPr>
        <w:t>para la apropiación escolar</w:t>
      </w:r>
      <w:r w:rsidR="008A5E5C">
        <w:rPr>
          <w:rFonts w:ascii="Aptos" w:hAnsi="Aptos"/>
          <w:b/>
          <w:color w:val="1B365D"/>
          <w:sz w:val="23"/>
        </w:rPr>
        <w:t xml:space="preserve"> (de la información derivada de las evaluaciones</w:t>
      </w:r>
      <w:r w:rsidR="008333AA">
        <w:rPr>
          <w:rFonts w:ascii="Aptos" w:hAnsi="Aptos"/>
          <w:b/>
          <w:color w:val="1B365D"/>
          <w:sz w:val="23"/>
        </w:rPr>
        <w:t>)</w:t>
      </w:r>
    </w:p>
    <w:p w14:paraId="207D1B1C" w14:textId="2A08529F" w:rsidR="00940CD9" w:rsidRPr="007F77EC" w:rsidRDefault="00000000" w:rsidP="007F77EC">
      <w:pPr>
        <w:spacing w:after="120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 xml:space="preserve">• Problema central: </w:t>
      </w:r>
      <w:r w:rsidRPr="007F77EC">
        <w:rPr>
          <w:rFonts w:ascii="Aptos" w:hAnsi="Aptos"/>
        </w:rPr>
        <w:t>Las restricciones de acceso, la inestabilidad de los formatos y la falta de acompañamiento técnico e institucional que provocan que los artefactos de información (como el Reporte Escuela APRENDER) «caigan en el vacío» a nivel micro y meso institucional</w:t>
      </w:r>
      <w:r w:rsidR="008A5E5C">
        <w:rPr>
          <w:rFonts w:ascii="Aptos" w:hAnsi="Aptos"/>
        </w:rPr>
        <w:t xml:space="preserve">. </w:t>
      </w:r>
    </w:p>
    <w:p w14:paraId="7A85C37B" w14:textId="77777777" w:rsidR="00940CD9" w:rsidRPr="007F77EC" w:rsidRDefault="00000000" w:rsidP="007F77EC">
      <w:pPr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>• Puntos clave para el debate:</w:t>
      </w:r>
    </w:p>
    <w:p w14:paraId="78A93C5E" w14:textId="0F99D86F" w:rsidR="00940CD9" w:rsidRPr="007F77EC" w:rsidRDefault="008333AA" w:rsidP="007F77EC">
      <w:pPr>
        <w:pStyle w:val="Listaconvietas"/>
        <w:jc w:val="both"/>
        <w:rPr>
          <w:rFonts w:ascii="Aptos" w:hAnsi="Aptos"/>
        </w:rPr>
      </w:pPr>
      <w:r>
        <w:rPr>
          <w:rFonts w:ascii="Aptos" w:hAnsi="Aptos"/>
          <w:b/>
        </w:rPr>
        <w:t>Variabilidad en los formatos/contenidos</w:t>
      </w:r>
      <w:r w:rsidR="00000000" w:rsidRPr="007F77EC">
        <w:rPr>
          <w:rFonts w:ascii="Aptos" w:hAnsi="Aptos"/>
          <w:b/>
        </w:rPr>
        <w:t xml:space="preserve"> y discontinuidades en los relevamientos:</w:t>
      </w:r>
      <w:r w:rsidR="00000000" w:rsidRPr="007F77EC">
        <w:rPr>
          <w:rFonts w:ascii="Aptos" w:hAnsi="Aptos"/>
        </w:rPr>
        <w:t xml:space="preserve"> La alteración recurrente en la estructura de los Reportes Escuela, las inconsistencias en las preguntas a directivos y los vacíos metodológicos dificultan el seguimiento longitudinal y la construcción de diagnósticos institucionales comparables.</w:t>
      </w:r>
    </w:p>
    <w:p w14:paraId="0F7DD790" w14:textId="77777777" w:rsidR="00940CD9" w:rsidRPr="007F77EC" w:rsidRDefault="00000000" w:rsidP="007F77EC">
      <w:pPr>
        <w:pStyle w:val="Listaconvietas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>Brechas de acceso y vacancia de apoyos técnicos:</w:t>
      </w:r>
      <w:r w:rsidRPr="007F77EC">
        <w:rPr>
          <w:rFonts w:ascii="Aptos" w:hAnsi="Aptos"/>
        </w:rPr>
        <w:t xml:space="preserve"> Las asimetrías registradas entre sectores de gestión (escuelas estatales vs. privadas) para acceder al artefacto y la marcada ausencia de instancias sistemáticas de capacitación o acompañamiento técnico a los equipos directivos y docentes.</w:t>
      </w:r>
    </w:p>
    <w:p w14:paraId="69C37B10" w14:textId="08ED46FC" w:rsidR="00940CD9" w:rsidRPr="007F77EC" w:rsidRDefault="00000000" w:rsidP="007F77EC">
      <w:pPr>
        <w:pStyle w:val="Listaconvietas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 xml:space="preserve">Mediación de supervisores y articulación con </w:t>
      </w:r>
      <w:r w:rsidR="00CA7CB5">
        <w:rPr>
          <w:rFonts w:ascii="Aptos" w:hAnsi="Aptos"/>
          <w:b/>
        </w:rPr>
        <w:t xml:space="preserve">los </w:t>
      </w:r>
      <w:r w:rsidRPr="007F77EC">
        <w:rPr>
          <w:rFonts w:ascii="Aptos" w:hAnsi="Aptos"/>
          <w:b/>
        </w:rPr>
        <w:t>SIGED:</w:t>
      </w:r>
      <w:r w:rsidRPr="007F77EC">
        <w:rPr>
          <w:rFonts w:ascii="Aptos" w:hAnsi="Aptos"/>
        </w:rPr>
        <w:t xml:space="preserve"> El rol estratégico de la supervisión escolar como agente traductor y la necesidad de integrar los reportes a los sistemas provinciales de gestión educativa para favorecer un uso pedagógico y formativo de los datos.</w:t>
      </w:r>
    </w:p>
    <w:p w14:paraId="0B550728" w14:textId="17182859" w:rsidR="00940CD9" w:rsidRPr="007F77EC" w:rsidRDefault="00000000" w:rsidP="007F77EC">
      <w:pPr>
        <w:spacing w:before="200"/>
        <w:jc w:val="both"/>
        <w:rPr>
          <w:rFonts w:ascii="Aptos" w:hAnsi="Aptos"/>
        </w:rPr>
      </w:pPr>
      <w:r w:rsidRPr="007F77EC">
        <w:rPr>
          <w:rFonts w:ascii="Aptos" w:hAnsi="Aptos"/>
          <w:b/>
          <w:color w:val="1B365D"/>
          <w:sz w:val="23"/>
        </w:rPr>
        <w:t xml:space="preserve">EJE 3: Sentidos políticos y fronteras metodológicas </w:t>
      </w:r>
    </w:p>
    <w:p w14:paraId="5800440D" w14:textId="35754A66" w:rsidR="00940CD9" w:rsidRPr="007F77EC" w:rsidRDefault="00000000" w:rsidP="007F77EC">
      <w:pPr>
        <w:spacing w:after="120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 xml:space="preserve">• Problema central: </w:t>
      </w:r>
      <w:r w:rsidRPr="007F77EC">
        <w:rPr>
          <w:rFonts w:ascii="Aptos" w:hAnsi="Aptos"/>
        </w:rPr>
        <w:t xml:space="preserve">El desafío de ampliar los límites metodológicos de las evaluaciones estandarizadas de gran escala </w:t>
      </w:r>
      <w:r w:rsidR="000D0625" w:rsidRPr="007F77EC">
        <w:rPr>
          <w:rFonts w:ascii="Aptos" w:hAnsi="Aptos"/>
        </w:rPr>
        <w:t xml:space="preserve">incorporando </w:t>
      </w:r>
      <w:r w:rsidR="000D0625">
        <w:rPr>
          <w:rFonts w:ascii="Aptos" w:hAnsi="Aptos"/>
        </w:rPr>
        <w:t>herramientas</w:t>
      </w:r>
      <w:r w:rsidR="008333AA">
        <w:rPr>
          <w:rFonts w:ascii="Aptos" w:hAnsi="Aptos"/>
        </w:rPr>
        <w:t xml:space="preserve"> de IA y Procesamiento de Lenguaje </w:t>
      </w:r>
      <w:r w:rsidR="000D0625">
        <w:rPr>
          <w:rFonts w:ascii="Aptos" w:hAnsi="Aptos"/>
        </w:rPr>
        <w:t xml:space="preserve">Natural, sin </w:t>
      </w:r>
      <w:r w:rsidRPr="007F77EC">
        <w:rPr>
          <w:rFonts w:ascii="Aptos" w:hAnsi="Aptos"/>
        </w:rPr>
        <w:t xml:space="preserve">incurrir en opacidad algorítmica </w:t>
      </w:r>
      <w:r w:rsidR="008333AA">
        <w:rPr>
          <w:rFonts w:ascii="Aptos" w:hAnsi="Aptos"/>
        </w:rPr>
        <w:t xml:space="preserve">y </w:t>
      </w:r>
      <w:r w:rsidR="000D0625">
        <w:rPr>
          <w:rFonts w:ascii="Aptos" w:hAnsi="Aptos"/>
        </w:rPr>
        <w:t xml:space="preserve">los </w:t>
      </w:r>
      <w:r w:rsidR="000D0625" w:rsidRPr="007F77EC">
        <w:rPr>
          <w:rFonts w:ascii="Aptos" w:hAnsi="Aptos"/>
        </w:rPr>
        <w:t>sesgos</w:t>
      </w:r>
      <w:r w:rsidRPr="007F77EC">
        <w:rPr>
          <w:rFonts w:ascii="Aptos" w:hAnsi="Aptos"/>
        </w:rPr>
        <w:t xml:space="preserve"> sociolingüísticos </w:t>
      </w:r>
    </w:p>
    <w:p w14:paraId="1D3F7B3F" w14:textId="77777777" w:rsidR="00940CD9" w:rsidRPr="007F77EC" w:rsidRDefault="00000000" w:rsidP="007F77EC">
      <w:pPr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>• Puntos clave para el debate:</w:t>
      </w:r>
    </w:p>
    <w:p w14:paraId="2767CF2B" w14:textId="529242D3" w:rsidR="00940CD9" w:rsidRPr="007F77EC" w:rsidRDefault="00000000" w:rsidP="007F77EC">
      <w:pPr>
        <w:pStyle w:val="Listaconvietas"/>
        <w:jc w:val="both"/>
        <w:rPr>
          <w:rFonts w:ascii="Aptos" w:hAnsi="Aptos"/>
        </w:rPr>
      </w:pPr>
      <w:r w:rsidRPr="007F77EC">
        <w:rPr>
          <w:rFonts w:ascii="Aptos" w:hAnsi="Aptos"/>
          <w:b/>
        </w:rPr>
        <w:t xml:space="preserve">Evaluaciones </w:t>
      </w:r>
      <w:r w:rsidR="008333AA">
        <w:rPr>
          <w:rFonts w:ascii="Aptos" w:hAnsi="Aptos"/>
          <w:b/>
        </w:rPr>
        <w:t xml:space="preserve">estandarizadas y más allá: </w:t>
      </w:r>
      <w:r w:rsidRPr="007F77EC">
        <w:rPr>
          <w:rFonts w:ascii="Aptos" w:hAnsi="Aptos"/>
        </w:rPr>
        <w:t xml:space="preserve">Las posibilidades metodológicas que abre el Procesamiento de Lenguaje Natural para combinar la escala </w:t>
      </w:r>
      <w:r w:rsidR="000D0625">
        <w:rPr>
          <w:rFonts w:ascii="Aptos" w:hAnsi="Aptos"/>
        </w:rPr>
        <w:t>de análisis cuantitativo con el tratamiento de respuestas abiertas de los/las estudiantes (dispositivo La voz de las/los estudiantes)</w:t>
      </w:r>
    </w:p>
    <w:p w14:paraId="54836FB3" w14:textId="188250EB" w:rsidR="00940CD9" w:rsidRPr="007F77EC" w:rsidRDefault="00CA7CB5" w:rsidP="007F77EC">
      <w:pPr>
        <w:pStyle w:val="Listaconvietas"/>
        <w:jc w:val="both"/>
        <w:rPr>
          <w:rFonts w:ascii="Aptos" w:hAnsi="Aptos"/>
        </w:rPr>
      </w:pPr>
      <w:r>
        <w:rPr>
          <w:rFonts w:ascii="Aptos" w:hAnsi="Aptos"/>
          <w:b/>
        </w:rPr>
        <w:t xml:space="preserve">Algoritmos (¿opacos?) </w:t>
      </w:r>
      <w:r w:rsidR="00000000" w:rsidRPr="007F77EC">
        <w:rPr>
          <w:rFonts w:ascii="Aptos" w:hAnsi="Aptos"/>
          <w:b/>
        </w:rPr>
        <w:t xml:space="preserve"> y prevención de sesgos</w:t>
      </w:r>
      <w:r>
        <w:rPr>
          <w:rFonts w:ascii="Aptos" w:hAnsi="Aptos"/>
          <w:b/>
        </w:rPr>
        <w:t xml:space="preserve">: </w:t>
      </w:r>
      <w:r w:rsidR="00000000" w:rsidRPr="007F77EC">
        <w:rPr>
          <w:rFonts w:ascii="Aptos" w:hAnsi="Aptos"/>
        </w:rPr>
        <w:t>Las implicancias éticas del uso de modelos computacionales</w:t>
      </w:r>
      <w:r w:rsidR="000D0625">
        <w:rPr>
          <w:rFonts w:ascii="Aptos" w:hAnsi="Aptos"/>
        </w:rPr>
        <w:t xml:space="preserve">, </w:t>
      </w:r>
      <w:r w:rsidR="00000000" w:rsidRPr="007F77EC">
        <w:rPr>
          <w:rFonts w:ascii="Aptos" w:hAnsi="Aptos"/>
        </w:rPr>
        <w:t xml:space="preserve">la transparencia en la documentación técnica y el resguardo </w:t>
      </w:r>
      <w:r w:rsidR="000D0625">
        <w:rPr>
          <w:rFonts w:ascii="Aptos" w:hAnsi="Aptos"/>
        </w:rPr>
        <w:t>y la previsión de sesgos en el tratamiento de registros lingüísticos heterogéneos.</w:t>
      </w:r>
    </w:p>
    <w:p w14:paraId="51610004" w14:textId="75F6768D" w:rsidR="00940CD9" w:rsidRPr="007F77EC" w:rsidRDefault="000D0625" w:rsidP="007F77EC">
      <w:pPr>
        <w:pStyle w:val="Listaconvietas"/>
        <w:jc w:val="both"/>
        <w:rPr>
          <w:rFonts w:ascii="Aptos" w:hAnsi="Aptos"/>
        </w:rPr>
      </w:pPr>
      <w:r>
        <w:rPr>
          <w:rFonts w:ascii="Aptos" w:hAnsi="Aptos"/>
          <w:b/>
        </w:rPr>
        <w:t>Posibilidades y límites de las nuevas herramientas</w:t>
      </w:r>
      <w:r w:rsidR="00000000" w:rsidRPr="007F77EC">
        <w:rPr>
          <w:rFonts w:ascii="Aptos" w:hAnsi="Aptos"/>
          <w:b/>
        </w:rPr>
        <w:t>:</w:t>
      </w:r>
      <w:r w:rsidR="00000000" w:rsidRPr="007F77EC">
        <w:rPr>
          <w:rFonts w:ascii="Aptos" w:hAnsi="Aptos"/>
        </w:rPr>
        <w:t xml:space="preserve"> De qué manera la innovación tecnológica actúa como una mediación analítica que complementa la interpretación pedagógica y</w:t>
      </w:r>
      <w:r>
        <w:rPr>
          <w:rFonts w:ascii="Aptos" w:hAnsi="Aptos"/>
        </w:rPr>
        <w:t xml:space="preserve"> pueden contribuir a </w:t>
      </w:r>
      <w:r w:rsidR="00000000" w:rsidRPr="007F77EC">
        <w:rPr>
          <w:rFonts w:ascii="Aptos" w:hAnsi="Aptos"/>
        </w:rPr>
        <w:t xml:space="preserve">la formulación de políticas orientadas </w:t>
      </w:r>
      <w:r>
        <w:rPr>
          <w:rFonts w:ascii="Aptos" w:hAnsi="Aptos"/>
        </w:rPr>
        <w:t xml:space="preserve">a reducir los desafíos pendientes en el cumplimiento del </w:t>
      </w:r>
      <w:r w:rsidR="00000000" w:rsidRPr="007F77EC">
        <w:rPr>
          <w:rFonts w:ascii="Aptos" w:hAnsi="Aptos"/>
        </w:rPr>
        <w:t>derecho a la educación.</w:t>
      </w:r>
      <w:r>
        <w:rPr>
          <w:rFonts w:ascii="Aptos" w:hAnsi="Aptos"/>
        </w:rPr>
        <w:t xml:space="preserve"> </w:t>
      </w:r>
    </w:p>
    <w:p w14:paraId="70233BC9" w14:textId="77777777" w:rsidR="007F77EC" w:rsidRPr="007F77EC" w:rsidRDefault="007F77EC" w:rsidP="000D0625">
      <w:pPr>
        <w:pStyle w:val="Listaconvietas"/>
        <w:numPr>
          <w:ilvl w:val="0"/>
          <w:numId w:val="0"/>
        </w:numPr>
        <w:jc w:val="both"/>
        <w:rPr>
          <w:rFonts w:ascii="Aptos" w:hAnsi="Aptos"/>
        </w:rPr>
      </w:pPr>
    </w:p>
    <w:sectPr w:rsidR="007F77EC" w:rsidRPr="007F77E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86EC2D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7965336">
    <w:abstractNumId w:val="8"/>
  </w:num>
  <w:num w:numId="2" w16cid:durableId="1749498452">
    <w:abstractNumId w:val="6"/>
  </w:num>
  <w:num w:numId="3" w16cid:durableId="1372530851">
    <w:abstractNumId w:val="5"/>
  </w:num>
  <w:num w:numId="4" w16cid:durableId="930629524">
    <w:abstractNumId w:val="4"/>
  </w:num>
  <w:num w:numId="5" w16cid:durableId="1434012875">
    <w:abstractNumId w:val="7"/>
  </w:num>
  <w:num w:numId="6" w16cid:durableId="286665352">
    <w:abstractNumId w:val="3"/>
  </w:num>
  <w:num w:numId="7" w16cid:durableId="299456581">
    <w:abstractNumId w:val="2"/>
  </w:num>
  <w:num w:numId="8" w16cid:durableId="2110657035">
    <w:abstractNumId w:val="1"/>
  </w:num>
  <w:num w:numId="9" w16cid:durableId="184755105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23AE"/>
    <w:rsid w:val="0006063C"/>
    <w:rsid w:val="000D0625"/>
    <w:rsid w:val="00114FA1"/>
    <w:rsid w:val="0015074B"/>
    <w:rsid w:val="0029639D"/>
    <w:rsid w:val="00326F90"/>
    <w:rsid w:val="007F77EC"/>
    <w:rsid w:val="008333AA"/>
    <w:rsid w:val="008A5E5C"/>
    <w:rsid w:val="00940CD9"/>
    <w:rsid w:val="00AA1D8D"/>
    <w:rsid w:val="00B47730"/>
    <w:rsid w:val="00CA7CB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AFE53C"/>
  <w14:defaultImageDpi w14:val="300"/>
  <w15:docId w15:val="{3DCDF881-2663-D54D-875C-0F5DCECFE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color w:val="333333"/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820</Words>
  <Characters>4516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lilia toranzos</cp:lastModifiedBy>
  <cp:revision>2</cp:revision>
  <dcterms:created xsi:type="dcterms:W3CDTF">2026-09-10T23:47:00Z</dcterms:created>
  <dcterms:modified xsi:type="dcterms:W3CDTF">2026-09-10T23:47:00Z</dcterms:modified>
  <cp:category/>
</cp:coreProperties>
</file>