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GT 1 – Usos de información estadística y acceso a datos públicos</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Sesión 2 - Ejes para la discusión</w:t>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Moderación a cargo de Nancy Montes</w:t>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Trabajos postulados por: Julián Falcone, Martín Scasso, Marcela Browne, Melina Con, Daniel Míguez y Julia Sánchez Cestona</w:t>
      </w:r>
    </w:p>
    <w:p w:rsidR="00000000" w:rsidDel="00000000" w:rsidP="00000000" w:rsidRDefault="00000000" w:rsidRPr="00000000" w14:paraId="00000006">
      <w:pPr>
        <w:spacing w:after="0" w:line="24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1f1f1f"/>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single"/>
          <w:shd w:fill="auto" w:val="clear"/>
          <w:vertAlign w:val="baseline"/>
          <w:rtl w:val="0"/>
        </w:rPr>
        <w:t xml:space="preserve">Dinámica propuesta:</w:t>
      </w:r>
    </w:p>
    <w:p w:rsidR="00000000" w:rsidDel="00000000" w:rsidP="00000000" w:rsidRDefault="00000000" w:rsidRPr="00000000" w14:paraId="00000008">
      <w:pPr>
        <w:spacing w:after="0" w:line="240" w:lineRule="auto"/>
        <w:rPr>
          <w:rFonts w:ascii="Times New Roman" w:cs="Times New Roman" w:eastAsia="Times New Roman" w:hAnsi="Times New Roman"/>
          <w:color w:val="1f1f1f"/>
          <w:u w:val="single"/>
        </w:rPr>
      </w:pP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Primer bloque, se presentan los trabajos de Daniel Míguez y Julia Sánchez Cestona (cada uno tiene 10 minutos para la presentación) y destinaremos 30 minutos para los intercambios </w:t>
      </w:r>
    </w:p>
    <w:p w:rsidR="00000000" w:rsidDel="00000000" w:rsidP="00000000" w:rsidRDefault="00000000" w:rsidRPr="00000000" w14:paraId="0000000A">
      <w:pPr>
        <w:spacing w:after="0" w:line="240"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Segundo bloque, se presentan los trabajos restantes (cada uno tiene 10 minutos) y destinaremos 40 minutos para los intercambios. </w:t>
      </w:r>
    </w:p>
    <w:p w:rsidR="00000000" w:rsidDel="00000000" w:rsidP="00000000" w:rsidRDefault="00000000" w:rsidRPr="00000000" w14:paraId="0000000C">
      <w:pPr>
        <w:spacing w:after="0" w:line="240"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1f1f1f"/>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single"/>
          <w:shd w:fill="auto" w:val="clear"/>
          <w:vertAlign w:val="baseline"/>
          <w:rtl w:val="0"/>
        </w:rPr>
        <w:t xml:space="preserve">Ejes para organizar los intercambios</w:t>
      </w:r>
    </w:p>
    <w:p w:rsidR="00000000" w:rsidDel="00000000" w:rsidP="00000000" w:rsidRDefault="00000000" w:rsidRPr="00000000" w14:paraId="0000000F">
      <w:pPr>
        <w:spacing w:after="0" w:line="240" w:lineRule="auto"/>
        <w:jc w:val="both"/>
        <w:rPr>
          <w:rFonts w:ascii="Times New Roman" w:cs="Times New Roman" w:eastAsia="Times New Roman" w:hAnsi="Times New Roman"/>
          <w:color w:val="1f1f1f"/>
          <w:u w:val="single"/>
        </w:rPr>
      </w:pPr>
      <w:r w:rsidDel="00000000" w:rsidR="00000000" w:rsidRPr="00000000">
        <w:rPr>
          <w:rtl w:val="0"/>
        </w:rPr>
      </w:r>
    </w:p>
    <w:p w:rsidR="00000000" w:rsidDel="00000000" w:rsidP="00000000" w:rsidRDefault="00000000" w:rsidRPr="00000000" w14:paraId="00000010">
      <w:pPr>
        <w:spacing w:after="0" w:line="24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En base a los argumentos planteados por los y las participantes en esta sesión, se proponen tres ejes principales para organizar los intercambios:</w:t>
      </w:r>
    </w:p>
    <w:p w:rsidR="00000000" w:rsidDel="00000000" w:rsidP="00000000" w:rsidRDefault="00000000" w:rsidRPr="00000000" w14:paraId="00000011">
      <w:pPr>
        <w:spacing w:after="0" w:line="240"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2">
      <w:pPr>
        <w:spacing w:after="0" w:line="24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Eje 1. Momento de inflexión para las estadísticas sectoriales: el pasaje de la medición estática y agregada a la nominalidad y la trazabilidad de las trayectorias reales</w:t>
      </w:r>
    </w:p>
    <w:p w:rsidR="00000000" w:rsidDel="00000000" w:rsidP="00000000" w:rsidRDefault="00000000" w:rsidRPr="00000000" w14:paraId="00000013">
      <w:pPr>
        <w:spacing w:after="0" w:line="240" w:lineRule="auto"/>
        <w:jc w:val="both"/>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4">
      <w:pPr>
        <w:spacing w:after="0" w:line="24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Este eje invita a debatir cómo las nuevas tecnologías de información (en particular los registros nominales de estudiantes) están transformando el modo en que se mide y se analiza la escolarización, impulsando también la revisión de algunos conceptos o nociones, como es el abandono</w:t>
      </w:r>
    </w:p>
    <w:p w:rsidR="00000000" w:rsidDel="00000000" w:rsidP="00000000" w:rsidRDefault="00000000" w:rsidRPr="00000000" w14:paraId="00000015">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br w:type="textWrapping"/>
      </w:r>
    </w:p>
    <w:p w:rsidR="00000000" w:rsidDel="00000000" w:rsidP="00000000" w:rsidRDefault="00000000" w:rsidRPr="00000000" w14:paraId="00000016">
      <w:pPr>
        <w:numPr>
          <w:ilvl w:val="0"/>
          <w:numId w:val="1"/>
        </w:numPr>
        <w:spacing w:after="0" w:line="240" w:lineRule="auto"/>
        <w:ind w:left="72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Tensiones conceptuales y epistemológicas:</w:t>
      </w:r>
      <w:r w:rsidDel="00000000" w:rsidR="00000000" w:rsidRPr="00000000">
        <w:rPr>
          <w:rFonts w:ascii="Times New Roman" w:cs="Times New Roman" w:eastAsia="Times New Roman" w:hAnsi="Times New Roman"/>
          <w:color w:val="1f1f1f"/>
          <w:rtl w:val="0"/>
        </w:rPr>
        <w:t xml:space="preserve"> existe la necesidad de abandonar concepciones estáticas (la "foto" interanual o el esquema binario de presencia/ausencia) para asumir la escolaridad como un proceso con intermitencias, discontinuidades o transitoriedad, como se observa en situaciones de abandono escolar o de movilidad humana y migración o como los propios regímenes académicos proponen seguir avances de las trayectorias escolares. </w:t>
      </w:r>
    </w:p>
    <w:p w:rsidR="00000000" w:rsidDel="00000000" w:rsidP="00000000" w:rsidRDefault="00000000" w:rsidRPr="00000000" w14:paraId="00000017">
      <w:pPr>
        <w:spacing w:after="0" w:line="240" w:lineRule="auto"/>
        <w:ind w:left="720" w:firstLine="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8">
      <w:pPr>
        <w:numPr>
          <w:ilvl w:val="0"/>
          <w:numId w:val="1"/>
        </w:numPr>
        <w:spacing w:after="0" w:line="240" w:lineRule="auto"/>
        <w:ind w:left="72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Debates sobre la noción de abandono:</w:t>
      </w:r>
      <w:r w:rsidDel="00000000" w:rsidR="00000000" w:rsidRPr="00000000">
        <w:rPr>
          <w:rFonts w:ascii="Times New Roman" w:cs="Times New Roman" w:eastAsia="Times New Roman" w:hAnsi="Times New Roman"/>
          <w:color w:val="1f1f1f"/>
          <w:rtl w:val="0"/>
        </w:rPr>
        <w:t xml:space="preserve"> se propone discutir el concepto de "abandono" frente a términos como deserción o desvinculación, reconociendo que cualquier interrupción puede ser transitoria mientras existan oportunidades de continuidad. </w:t>
      </w:r>
    </w:p>
    <w:p w:rsidR="00000000" w:rsidDel="00000000" w:rsidP="00000000" w:rsidRDefault="00000000" w:rsidRPr="00000000" w14:paraId="00000019">
      <w:pPr>
        <w:spacing w:after="0" w:line="240" w:lineRule="auto"/>
        <w:ind w:left="720" w:firstLine="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A">
      <w:pPr>
        <w:numPr>
          <w:ilvl w:val="0"/>
          <w:numId w:val="1"/>
        </w:numPr>
        <w:spacing w:after="0" w:line="240" w:lineRule="auto"/>
        <w:ind w:left="72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Desafíos institucionales y técnicos:</w:t>
      </w:r>
      <w:r w:rsidDel="00000000" w:rsidR="00000000" w:rsidRPr="00000000">
        <w:rPr>
          <w:rFonts w:ascii="Times New Roman" w:cs="Times New Roman" w:eastAsia="Times New Roman" w:hAnsi="Times New Roman"/>
          <w:color w:val="1f1f1f"/>
          <w:rtl w:val="0"/>
        </w:rPr>
        <w:t xml:space="preserve"> brechas de implementación entre el desarrollo de sistemas nominales subnacionales/nacionales, los problemas de interoperabilidad, la homologación de categorías provinciales/regionales y la disponibilidad pública de los datos para la investigación y gestión.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spacing w:after="0" w:line="240" w:lineRule="auto"/>
        <w:ind w:left="720" w:firstLine="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D">
      <w:pPr>
        <w:spacing w:after="0" w:line="240" w:lineRule="auto"/>
        <w:ind w:left="720" w:firstLine="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Eje 2. Articulación multidimensional y territorial (geoespacial) de los datos frente a lecturas reduccionistas o descontextualizadas</w:t>
      </w:r>
    </w:p>
    <w:p w:rsidR="00000000" w:rsidDel="00000000" w:rsidP="00000000" w:rsidRDefault="00000000" w:rsidRPr="00000000" w14:paraId="0000001F">
      <w:pPr>
        <w:spacing w:after="0" w:line="24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Este eje pone en el centro del debate la necesidad de cruzar diversas fuentes e indicadores para construir diagnósticos integrados y contextualizados que eviten interpretaciones lineales del rendimiento escolar. </w:t>
      </w:r>
    </w:p>
    <w:p w:rsidR="00000000" w:rsidDel="00000000" w:rsidP="00000000" w:rsidRDefault="00000000" w:rsidRPr="00000000" w14:paraId="00000021">
      <w:pPr>
        <w:spacing w:after="0" w:line="240"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2">
      <w:pPr>
        <w:numPr>
          <w:ilvl w:val="0"/>
          <w:numId w:val="2"/>
        </w:numPr>
        <w:spacing w:after="0" w:line="240" w:lineRule="auto"/>
        <w:ind w:left="72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Sistemas de indicadores integrados y brechas de información:</w:t>
      </w:r>
      <w:r w:rsidDel="00000000" w:rsidR="00000000" w:rsidRPr="00000000">
        <w:rPr>
          <w:rFonts w:ascii="Times New Roman" w:cs="Times New Roman" w:eastAsia="Times New Roman" w:hAnsi="Times New Roman"/>
          <w:color w:val="1f1f1f"/>
          <w:rtl w:val="0"/>
        </w:rPr>
        <w:t xml:space="preserve"> Cómo poner en relación indicadores de flujo (repitencia, promoción, sobreedad) con los logros de aprendizaje o la desvinculación real para evitar diagnósticos equívocos. Asimismo, se problematiza la falta de actualización en áreas clave como la infraestructura escolar (CeNIE) y la planta/condiciones docentes (CENPE/ReNPE). </w:t>
      </w:r>
    </w:p>
    <w:p w:rsidR="00000000" w:rsidDel="00000000" w:rsidP="00000000" w:rsidRDefault="00000000" w:rsidRPr="00000000" w14:paraId="00000023">
      <w:pPr>
        <w:spacing w:after="0" w:line="240" w:lineRule="auto"/>
        <w:ind w:left="720" w:firstLine="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4">
      <w:pPr>
        <w:numPr>
          <w:ilvl w:val="0"/>
          <w:numId w:val="2"/>
        </w:numPr>
        <w:spacing w:after="0" w:line="240" w:lineRule="auto"/>
        <w:ind w:left="72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Abordaje territorial e índices de contexto:</w:t>
      </w:r>
      <w:r w:rsidDel="00000000" w:rsidR="00000000" w:rsidRPr="00000000">
        <w:rPr>
          <w:rFonts w:ascii="Times New Roman" w:cs="Times New Roman" w:eastAsia="Times New Roman" w:hAnsi="Times New Roman"/>
          <w:color w:val="1f1f1f"/>
          <w:rtl w:val="0"/>
        </w:rPr>
        <w:t xml:space="preserve"> El uso de herramientas metodológicas como el Indicador de Vulnerabilidad Social (IVS) para caracterizar escuelas según el territorio en el que se emplazan, triangulando datos socioeconómicos con resultados educativos para focalizar políticas y analizar tendencias de segmentación o polarización. </w:t>
      </w:r>
    </w:p>
    <w:p w:rsidR="00000000" w:rsidDel="00000000" w:rsidP="00000000" w:rsidRDefault="00000000" w:rsidRPr="00000000" w14:paraId="00000025">
      <w:pPr>
        <w:spacing w:after="0" w:line="240" w:lineRule="auto"/>
        <w:ind w:left="720" w:firstLine="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6">
      <w:pPr>
        <w:spacing w:after="0" w:line="240" w:lineRule="auto"/>
        <w:ind w:left="720" w:firstLine="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Eje 3. Sentidos políticos y éticos de la evaluación y otros datos disponibles sobre los y las estudiantes y sus condiciones de vida y de escolarización: entre el control, la garantía de derechos y la inclusión</w:t>
      </w:r>
    </w:p>
    <w:p w:rsidR="00000000" w:rsidDel="00000000" w:rsidP="00000000" w:rsidRDefault="00000000" w:rsidRPr="00000000" w14:paraId="00000028">
      <w:pPr>
        <w:spacing w:after="0" w:line="24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Este eje aborda las implicancias políticas, éticas y de derechos humanos en la producción, uso y abuso de la información estadística y las evaluaciones estandarizadas. </w:t>
      </w:r>
    </w:p>
    <w:p w:rsidR="00000000" w:rsidDel="00000000" w:rsidP="00000000" w:rsidRDefault="00000000" w:rsidRPr="00000000" w14:paraId="0000002A">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br w:type="textWrapping"/>
      </w:r>
    </w:p>
    <w:p w:rsidR="00000000" w:rsidDel="00000000" w:rsidP="00000000" w:rsidRDefault="00000000" w:rsidRPr="00000000" w14:paraId="0000002B">
      <w:pPr>
        <w:numPr>
          <w:ilvl w:val="0"/>
          <w:numId w:val="3"/>
        </w:numPr>
        <w:spacing w:after="0" w:line="240" w:lineRule="auto"/>
        <w:ind w:left="72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Neutralidad técnica vs. exclusión institucional:</w:t>
      </w:r>
      <w:r w:rsidDel="00000000" w:rsidR="00000000" w:rsidRPr="00000000">
        <w:rPr>
          <w:rFonts w:ascii="Times New Roman" w:cs="Times New Roman" w:eastAsia="Times New Roman" w:hAnsi="Times New Roman"/>
          <w:color w:val="1f1f1f"/>
          <w:rtl w:val="0"/>
        </w:rPr>
        <w:t xml:space="preserve"> la discusión sobre cómo la omisión estadística (por ejemplo, la "ceguera" respecto a poblaciones migrantes y en situación de movilidad humana) genera "inexistencia civil dentro del sistema", deslindando responsabilidades estatales de financiamiento y adecuación curricular. </w:t>
      </w:r>
    </w:p>
    <w:p w:rsidR="00000000" w:rsidDel="00000000" w:rsidP="00000000" w:rsidRDefault="00000000" w:rsidRPr="00000000" w14:paraId="0000002C">
      <w:pPr>
        <w:spacing w:after="0" w:line="240" w:lineRule="auto"/>
        <w:ind w:left="720" w:firstLine="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D">
      <w:pPr>
        <w:numPr>
          <w:ilvl w:val="0"/>
          <w:numId w:val="3"/>
        </w:numPr>
        <w:spacing w:after="0" w:line="240" w:lineRule="auto"/>
        <w:ind w:left="72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De la cultura de la rendición de cuentas (</w:t>
      </w:r>
      <w:r w:rsidDel="00000000" w:rsidR="00000000" w:rsidRPr="00000000">
        <w:rPr>
          <w:rFonts w:ascii="Times New Roman" w:cs="Times New Roman" w:eastAsia="Times New Roman" w:hAnsi="Times New Roman"/>
          <w:b w:val="1"/>
          <w:bCs w:val="1"/>
          <w:i w:val="1"/>
          <w:iCs w:val="1"/>
          <w:color w:val="1f1f1f"/>
          <w:rtl w:val="0"/>
        </w:rPr>
        <w:t xml:space="preserve">accountability</w:t>
      </w:r>
      <w:r w:rsidDel="00000000" w:rsidR="00000000" w:rsidRPr="00000000">
        <w:rPr>
          <w:rFonts w:ascii="Times New Roman" w:cs="Times New Roman" w:eastAsia="Times New Roman" w:hAnsi="Times New Roman"/>
          <w:b w:val="1"/>
          <w:bCs w:val="1"/>
          <w:color w:val="1f1f1f"/>
          <w:rtl w:val="0"/>
        </w:rPr>
        <w:t xml:space="preserve">) al cuidado pedagógico:</w:t>
      </w:r>
      <w:r w:rsidDel="00000000" w:rsidR="00000000" w:rsidRPr="00000000">
        <w:rPr>
          <w:rFonts w:ascii="Times New Roman" w:cs="Times New Roman" w:eastAsia="Times New Roman" w:hAnsi="Times New Roman"/>
          <w:color w:val="1f1f1f"/>
          <w:rtl w:val="0"/>
        </w:rPr>
        <w:t xml:space="preserve"> cómo transitar desde mediciones orientadas al mero control hacia sistemas de información dinámicos y flexibles que reconozcan las trayectorias previas y funcionen como herramientas diagnósticas y de alerta temprana. </w:t>
      </w:r>
    </w:p>
    <w:p w:rsidR="00000000" w:rsidDel="00000000" w:rsidP="00000000" w:rsidRDefault="00000000" w:rsidRPr="00000000" w14:paraId="0000002E">
      <w:pPr>
        <w:spacing w:after="0" w:line="240" w:lineRule="auto"/>
        <w:ind w:left="720" w:firstLine="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F">
      <w:pPr>
        <w:numPr>
          <w:ilvl w:val="0"/>
          <w:numId w:val="3"/>
        </w:numPr>
        <w:spacing w:after="0" w:line="240" w:lineRule="auto"/>
        <w:ind w:left="72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Usos y limitaciones de las evaluaciones estandarizadas:</w:t>
      </w:r>
      <w:r w:rsidDel="00000000" w:rsidR="00000000" w:rsidRPr="00000000">
        <w:rPr>
          <w:rFonts w:ascii="Times New Roman" w:cs="Times New Roman" w:eastAsia="Times New Roman" w:hAnsi="Times New Roman"/>
          <w:color w:val="1f1f1f"/>
          <w:rtl w:val="0"/>
        </w:rPr>
        <w:t xml:space="preserve"> la problematización del sesgo de las pruebas estandarizadas (como Aprender o FEPBA) en contextos de vulnerabilidad socioeconómica o policrisis, discutiendo la necesidad de incorporar dispositivos de evaluación formativos, cualitativos e inclusivos que pongan el foco en la adaptabilidad del sistema y la equidad. </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A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843E52"/>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843E52"/>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843E52"/>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843E52"/>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843E52"/>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843E52"/>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843E52"/>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843E52"/>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843E52"/>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843E52"/>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843E52"/>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843E52"/>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843E52"/>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843E52"/>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843E52"/>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843E52"/>
    <w:rPr>
      <w:i w:val="1"/>
      <w:iCs w:val="1"/>
      <w:color w:val="404040" w:themeColor="text1" w:themeTint="0000BF"/>
    </w:rPr>
  </w:style>
  <w:style w:type="paragraph" w:styleId="Prrafodelista">
    <w:name w:val="List Paragraph"/>
    <w:basedOn w:val="Normal"/>
    <w:uiPriority w:val="34"/>
    <w:qFormat w:val="1"/>
    <w:rsid w:val="00843E52"/>
    <w:pPr>
      <w:ind w:left="720"/>
      <w:contextualSpacing w:val="1"/>
    </w:pPr>
  </w:style>
  <w:style w:type="character" w:styleId="nfasisintenso">
    <w:name w:val="Intense Emphasis"/>
    <w:basedOn w:val="Fuentedeprrafopredeter"/>
    <w:uiPriority w:val="21"/>
    <w:qFormat w:val="1"/>
    <w:rsid w:val="00843E52"/>
    <w:rPr>
      <w:i w:val="1"/>
      <w:iCs w:val="1"/>
      <w:color w:val="0f4761" w:themeColor="accent1" w:themeShade="0000BF"/>
    </w:rPr>
  </w:style>
  <w:style w:type="paragraph" w:styleId="Citadestacada">
    <w:name w:val="Intense Quote"/>
    <w:basedOn w:val="Normal"/>
    <w:next w:val="Normal"/>
    <w:link w:val="CitadestacadaCar"/>
    <w:uiPriority w:val="30"/>
    <w:qFormat w:val="1"/>
    <w:rsid w:val="00843E5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843E52"/>
    <w:rPr>
      <w:i w:val="1"/>
      <w:iCs w:val="1"/>
      <w:color w:val="0f4761" w:themeColor="accent1" w:themeShade="0000BF"/>
    </w:rPr>
  </w:style>
  <w:style w:type="character" w:styleId="Referenciaintensa">
    <w:name w:val="Intense Reference"/>
    <w:basedOn w:val="Fuentedeprrafopredeter"/>
    <w:uiPriority w:val="32"/>
    <w:qFormat w:val="1"/>
    <w:rsid w:val="00843E52"/>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3V7UXqd6xMrjn+HUOLw/5Zpcg==">CgMxLjA4AHIhMXVuWGM1dkVGVDRrSHAtU0FRZ3l2Vk0zN09MaUxIcC1W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2026-09-09T16:14:00Z</dcterms:created>
  <dc:creator>Nancy Montes</dc:creator>
</cp:coreProperties>
</file>