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GT 1 – Usos de información estadística y acceso a datos públicos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Sesión 3 - Ejes para la discusión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Moderación a cargo de  Juan Suasnábar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11:00 a 13:00 hs</w:t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numPr>
          <w:ilvl w:val="0"/>
          <w:numId w:val="3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bookmarkStart w:colFirst="0" w:colLast="0" w:name="_8wb6vrjr3kjn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Dinámica propuesta:</w:t>
      </w:r>
    </w:p>
    <w:p w:rsidR="00000000" w:rsidDel="00000000" w:rsidP="00000000" w:rsidRDefault="00000000" w:rsidRPr="00000000" w14:paraId="00000009">
      <w:pPr>
        <w:spacing w:after="0" w:line="240" w:lineRule="auto"/>
        <w:jc w:val="left"/>
        <w:rPr>
          <w:rFonts w:ascii="Times New Roman" w:cs="Times New Roman" w:eastAsia="Times New Roman" w:hAnsi="Times New Roman"/>
          <w:color w:val="1f1f1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Bloque 1 — Evaluaciones, aprendizajes y construcción de evidencia sobre las escuelas. 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e presentan los trabajos de: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Adrogué y Orlicki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Bardin y Escandell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Krüger y Formichell</w:t>
      </w:r>
    </w:p>
    <w:p w:rsidR="00000000" w:rsidDel="00000000" w:rsidP="00000000" w:rsidRDefault="00000000" w:rsidRPr="00000000" w14:paraId="0000000E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Bloque 2 — Nuevas fuentes, registros y construcción de bases para investigar políticas y sistemas educativos. Se presentan los trabajos de: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Spagnolo y Saenz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Montoya</w:t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bookmarkStart w:colFirst="0" w:colLast="0" w:name="_tkkm6nyzqexq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Ejes para organizar los intercambios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after="80" w:before="280" w:line="240" w:lineRule="auto"/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</w:rPr>
      </w:pPr>
      <w:bookmarkStart w:colFirst="0" w:colLast="0" w:name="_jtdctsriuxfn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rtl w:val="0"/>
        </w:rPr>
        <w:t xml:space="preserve">Eje 1. Nuevas posibilidades para la producción y articulación de información educativa</w:t>
      </w:r>
    </w:p>
    <w:p w:rsidR="00000000" w:rsidDel="00000000" w:rsidP="00000000" w:rsidRDefault="00000000" w:rsidRPr="00000000" w14:paraId="00000016">
      <w:pPr>
        <w:spacing w:after="240" w:before="240" w:line="240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Este eje propone discutir cómo la disponibilidad de nuevas fuentes y el desarrollo de herramientas para su procesamiento amplían las posibilidades de producción de conocimiento sobre los sistemas educativos. Esto incluye tanto el aprovechamiento de evaluaciones y registros administrativos como la construcción de nuevas bases a partir de fuentes existentes.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Construcción y articulación de fuentes: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¿qué nuevas (o no tan nuevas) preguntas pueden abordarse mediante la triangulación de información, la combinación de distintas fuentes o la construcción de nuevas bases de datos? ¿Qué condiciones conceptuales y metodológicas son necesarias para que esas articulaciones sean posibles?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Nuevas fuentes y capacidades para su procesamiento: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la creciente disponibilidad de registros administrativos, evaluaciones, encuestas y fuentes digitales amplía el universo de información susceptible de ser utilizado para la investigación. ¿Qué oportunidades abre este escenario y qué desafíos en términos de capacidades metodológicas y técnicas requiere?</w:t>
      </w:r>
    </w:p>
    <w:p w:rsidR="00000000" w:rsidDel="00000000" w:rsidP="00000000" w:rsidRDefault="00000000" w:rsidRPr="00000000" w14:paraId="00000019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after="80" w:before="280" w:line="240" w:lineRule="auto"/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</w:rPr>
      </w:pPr>
      <w:bookmarkStart w:colFirst="0" w:colLast="0" w:name="_qhioozoajc0f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rtl w:val="0"/>
        </w:rPr>
        <w:t xml:space="preserve">Eje 2. De los datos a fenómenos educativos complejos: escalas, desigualdades y contextos</w:t>
      </w:r>
    </w:p>
    <w:p w:rsidR="00000000" w:rsidDel="00000000" w:rsidP="00000000" w:rsidRDefault="00000000" w:rsidRPr="00000000" w14:paraId="0000001B">
      <w:pPr>
        <w:spacing w:after="240" w:before="240" w:line="240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Este eje invita a discutir las posibilidades y dificultades de utilizar información cuantitativa para analizar fenómenos que no pueden reducirse a un único indicador: las desigualdades de aprendizaje, la convivencia, la resiliencia escolar, el acceso diferencial a políticas educativas o las dinámicas de producción de conocimiento.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Cambios de escala y unidades de análisis: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¿qué sucede cuando se pasa del estudiante a la escuela, de la escuela al territorio o de observaciones individuales a trayectorias y procesos? ¿Qué permiten observar estas distintas escalas y qué precauciones requieren las inferencias realizadas a partir de ellas?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Desigualdades y multidimensionalidad: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los trabajos muestran desigualdades vinculadas con el origen socioeconómico, el género, el territorio, el acceso a tecnologías y los aprendizajes. ¿Cómo poner en relación estas dimensiones y sus contextos sin producir explicaciones lineales o reduccionistas?</w:t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Light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 Light" w:cs="Roboto Light" w:eastAsia="Roboto Light" w:hAnsi="Roboto Light"/>
        <w:lang w:val="es_419"/>
      </w:rPr>
    </w:rPrDefault>
    <w:pPrDefault>
      <w:pPr>
        <w:spacing w:after="200" w:line="288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80" w:line="360" w:lineRule="auto"/>
      <w:ind w:right="298.937007874016"/>
      <w:jc w:val="left"/>
    </w:pPr>
    <w:rPr>
      <w:rFonts w:ascii="Calibri" w:cs="Calibri" w:eastAsia="Calibri" w:hAnsi="Calibri"/>
      <w:b w:val="1"/>
      <w:bCs w:val="1"/>
      <w:color w:val="434343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before="0" w:lineRule="auto"/>
    </w:pPr>
    <w:rPr>
      <w:rFonts w:ascii="Roboto" w:cs="Roboto" w:eastAsia="Roboto" w:hAnsi="Roboto"/>
      <w:b w:val="1"/>
      <w:bCs w:val="1"/>
      <w:color w:val="004e7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240" w:lineRule="auto"/>
    </w:pPr>
    <w:rPr>
      <w:rFonts w:ascii="Roboto Medium" w:cs="Roboto Medium" w:eastAsia="Roboto Medium" w:hAnsi="Roboto Medium"/>
      <w:color w:val="004e7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Bdr>
        <w:top w:color="000000" w:space="1" w:sz="4" w:val="single"/>
        <w:left w:color="000000" w:space="4" w:sz="4" w:val="single"/>
        <w:bottom w:color="000000" w:space="1" w:sz="4" w:val="single"/>
        <w:right w:color="000000" w:space="4" w:sz="4" w:val="single"/>
      </w:pBdr>
      <w:spacing w:after="240" w:before="320" w:lineRule="auto"/>
    </w:pPr>
    <w:rPr>
      <w:b w:val="1"/>
      <w:bCs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RobotoLight-italic.ttf"/><Relationship Id="rId10" Type="http://schemas.openxmlformats.org/officeDocument/2006/relationships/font" Target="fonts/RobotoLight-bold.ttf"/><Relationship Id="rId12" Type="http://schemas.openxmlformats.org/officeDocument/2006/relationships/font" Target="fonts/RobotoLight-boldItalic.ttf"/><Relationship Id="rId9" Type="http://schemas.openxmlformats.org/officeDocument/2006/relationships/font" Target="fonts/RobotoLight-regular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