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0" w:line="276"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GT 1 – Usos de información estadística y acceso a datos públicos</w:t>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pacing w:after="0" w:line="276"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Sesión 4 – Jueves 14,30 a 16,30hs</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after="0" w:line="276"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Ejes para la discusión</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after="0" w:line="276"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Moderación a cargo de Delia González</w:t>
      </w:r>
    </w:p>
    <w:p w:rsidR="00000000" w:rsidDel="00000000" w:rsidP="00000000" w:rsidRDefault="00000000" w:rsidRPr="00000000" w14:paraId="00000005">
      <w:pPr>
        <w:spacing w:after="0" w:line="240" w:lineRule="auto"/>
        <w:jc w:val="center"/>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Trabajos presentados: </w:t>
      </w:r>
    </w:p>
    <w:p w:rsidR="00000000" w:rsidDel="00000000" w:rsidP="00000000" w:rsidRDefault="00000000" w:rsidRPr="00000000" w14:paraId="00000007">
      <w:pPr>
        <w:spacing w:after="0"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Grupo 1: </w:t>
      </w:r>
      <w:r w:rsidDel="00000000" w:rsidR="00000000" w:rsidRPr="00000000">
        <w:rPr>
          <w:rFonts w:ascii="Arial" w:cs="Arial" w:eastAsia="Arial" w:hAnsi="Arial"/>
          <w:color w:val="1f1f1f"/>
          <w:sz w:val="22"/>
          <w:szCs w:val="22"/>
          <w:rtl w:val="0"/>
        </w:rPr>
        <w:t xml:space="preserve">Gabriela Brandan, María José Llanos Pozzi, Marisa Álvarez</w:t>
      </w:r>
    </w:p>
    <w:p w:rsidR="00000000" w:rsidDel="00000000" w:rsidP="00000000" w:rsidRDefault="00000000" w:rsidRPr="00000000" w14:paraId="00000009">
      <w:pPr>
        <w:spacing w:after="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Grupo 2: </w:t>
      </w:r>
      <w:r w:rsidDel="00000000" w:rsidR="00000000" w:rsidRPr="00000000">
        <w:rPr>
          <w:rFonts w:ascii="Arial" w:cs="Arial" w:eastAsia="Arial" w:hAnsi="Arial"/>
          <w:color w:val="1f1f1f"/>
          <w:sz w:val="22"/>
          <w:szCs w:val="22"/>
          <w:rtl w:val="0"/>
        </w:rPr>
        <w:t xml:space="preserve">Ivana Templado, Lara Encinas, Stefano Pistoia </w:t>
      </w:r>
    </w:p>
    <w:p w:rsidR="00000000" w:rsidDel="00000000" w:rsidP="00000000" w:rsidRDefault="00000000" w:rsidRPr="00000000" w14:paraId="0000000A">
      <w:pPr>
        <w:spacing w:after="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Grupo 3: </w:t>
      </w:r>
      <w:r w:rsidDel="00000000" w:rsidR="00000000" w:rsidRPr="00000000">
        <w:rPr>
          <w:rFonts w:ascii="Arial" w:cs="Arial" w:eastAsia="Arial" w:hAnsi="Arial"/>
          <w:color w:val="1f1f1f"/>
          <w:sz w:val="22"/>
          <w:szCs w:val="22"/>
          <w:rtl w:val="0"/>
        </w:rPr>
        <w:t xml:space="preserve">Mirta Torres, Diego Born.</w:t>
      </w:r>
    </w:p>
    <w:p w:rsidR="00000000" w:rsidDel="00000000" w:rsidP="00000000" w:rsidRDefault="00000000" w:rsidRPr="00000000" w14:paraId="0000000B">
      <w:pPr>
        <w:spacing w:after="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Grupo 4: </w:t>
      </w:r>
      <w:r w:rsidDel="00000000" w:rsidR="00000000" w:rsidRPr="00000000">
        <w:rPr>
          <w:rFonts w:ascii="Arial" w:cs="Arial" w:eastAsia="Arial" w:hAnsi="Arial"/>
          <w:color w:val="1f1f1f"/>
          <w:sz w:val="22"/>
          <w:szCs w:val="22"/>
          <w:rtl w:val="0"/>
        </w:rPr>
        <w:t xml:space="preserve">Jimena Macció, Sonia Susini, Flavio Guberman</w:t>
      </w:r>
      <w:r w:rsidDel="00000000" w:rsidR="00000000" w:rsidRPr="00000000">
        <w:rPr>
          <w:rtl w:val="0"/>
        </w:rPr>
      </w:r>
    </w:p>
    <w:p w:rsidR="00000000" w:rsidDel="00000000" w:rsidP="00000000" w:rsidRDefault="00000000" w:rsidRPr="00000000" w14:paraId="0000000C">
      <w:pPr>
        <w:spacing w:after="0"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1"/>
          <w:iCs w:val="1"/>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1f1f1f"/>
          <w:sz w:val="22"/>
          <w:szCs w:val="22"/>
          <w:u w:val="none"/>
          <w:shd w:fill="auto" w:val="clear"/>
          <w:vertAlign w:val="baseline"/>
          <w:rtl w:val="0"/>
        </w:rPr>
        <w:t xml:space="preserve">Dinámica propuesta para la presentación de trabajos:</w:t>
      </w:r>
    </w:p>
    <w:p w:rsidR="00000000" w:rsidDel="00000000" w:rsidP="00000000" w:rsidRDefault="00000000" w:rsidRPr="00000000" w14:paraId="0000000F">
      <w:pPr>
        <w:spacing w:after="0"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010">
      <w:pPr>
        <w:spacing w:after="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Primer bloque</w:t>
      </w:r>
      <w:r w:rsidDel="00000000" w:rsidR="00000000" w:rsidRPr="00000000">
        <w:rPr>
          <w:rFonts w:ascii="Arial" w:cs="Arial" w:eastAsia="Arial" w:hAnsi="Arial"/>
          <w:color w:val="1f1f1f"/>
          <w:sz w:val="22"/>
          <w:szCs w:val="22"/>
          <w:rtl w:val="0"/>
        </w:rPr>
        <w:t xml:space="preserve">: se presentan los trabajos de los </w:t>
      </w:r>
      <w:r w:rsidDel="00000000" w:rsidR="00000000" w:rsidRPr="00000000">
        <w:rPr>
          <w:rFonts w:ascii="Arial" w:cs="Arial" w:eastAsia="Arial" w:hAnsi="Arial"/>
          <w:i w:val="1"/>
          <w:iCs w:val="1"/>
          <w:color w:val="1f1f1f"/>
          <w:sz w:val="22"/>
          <w:szCs w:val="22"/>
          <w:rtl w:val="0"/>
        </w:rPr>
        <w:t xml:space="preserve">Grupos 1 y 2</w:t>
      </w:r>
      <w:r w:rsidDel="00000000" w:rsidR="00000000" w:rsidRPr="00000000">
        <w:rPr>
          <w:rFonts w:ascii="Arial" w:cs="Arial" w:eastAsia="Arial" w:hAnsi="Arial"/>
          <w:color w:val="1f1f1f"/>
          <w:sz w:val="22"/>
          <w:szCs w:val="22"/>
          <w:rtl w:val="0"/>
        </w:rPr>
        <w:t xml:space="preserve"> (cada grupo tiene aproximadamente 15 minutos para la presentación) y se destinarán 30 minutos para los intercambios.</w:t>
      </w:r>
    </w:p>
    <w:p w:rsidR="00000000" w:rsidDel="00000000" w:rsidP="00000000" w:rsidRDefault="00000000" w:rsidRPr="00000000" w14:paraId="00000011">
      <w:pPr>
        <w:spacing w:after="0"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12">
      <w:pPr>
        <w:spacing w:after="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Segundo bloque</w:t>
      </w:r>
      <w:r w:rsidDel="00000000" w:rsidR="00000000" w:rsidRPr="00000000">
        <w:rPr>
          <w:rFonts w:ascii="Arial" w:cs="Arial" w:eastAsia="Arial" w:hAnsi="Arial"/>
          <w:color w:val="1f1f1f"/>
          <w:sz w:val="22"/>
          <w:szCs w:val="22"/>
          <w:rtl w:val="0"/>
        </w:rPr>
        <w:t xml:space="preserve">: se presentan los trabajos de los </w:t>
      </w:r>
      <w:r w:rsidDel="00000000" w:rsidR="00000000" w:rsidRPr="00000000">
        <w:rPr>
          <w:rFonts w:ascii="Arial" w:cs="Arial" w:eastAsia="Arial" w:hAnsi="Arial"/>
          <w:i w:val="1"/>
          <w:iCs w:val="1"/>
          <w:color w:val="1f1f1f"/>
          <w:sz w:val="22"/>
          <w:szCs w:val="22"/>
          <w:rtl w:val="0"/>
        </w:rPr>
        <w:t xml:space="preserve">Grupos 3 y 4</w:t>
      </w:r>
      <w:r w:rsidDel="00000000" w:rsidR="00000000" w:rsidRPr="00000000">
        <w:rPr>
          <w:rFonts w:ascii="Arial" w:cs="Arial" w:eastAsia="Arial" w:hAnsi="Arial"/>
          <w:color w:val="1f1f1f"/>
          <w:sz w:val="22"/>
          <w:szCs w:val="22"/>
          <w:rtl w:val="0"/>
        </w:rPr>
        <w:t xml:space="preserve"> (cada grupo tiene aproximadamente 15 minutos para la presentación) y se destinarán 30 minutos para los intercambios.</w:t>
      </w:r>
    </w:p>
    <w:p w:rsidR="00000000" w:rsidDel="00000000" w:rsidP="00000000" w:rsidRDefault="00000000" w:rsidRPr="00000000" w14:paraId="00000013">
      <w:pPr>
        <w:spacing w:after="0"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14">
      <w:pPr>
        <w:spacing w:after="0"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1f1f1f"/>
          <w:sz w:val="22"/>
          <w:szCs w:val="22"/>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single"/>
          <w:shd w:fill="auto" w:val="clear"/>
          <w:vertAlign w:val="baseline"/>
          <w:rtl w:val="0"/>
        </w:rPr>
        <w:t xml:space="preserve">Ejes para organizar los intercambios</w:t>
      </w:r>
    </w:p>
    <w:p w:rsidR="00000000" w:rsidDel="00000000" w:rsidP="00000000" w:rsidRDefault="00000000" w:rsidRPr="00000000" w14:paraId="00000016">
      <w:pPr>
        <w:spacing w:after="0" w:line="276" w:lineRule="auto"/>
        <w:jc w:val="both"/>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017">
      <w:pPr>
        <w:spacing w:after="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 base a los argumentos planteados por los y las participantes en esta sesión, se proponen algunos ejes principales para organizar los intercambios:</w:t>
      </w:r>
    </w:p>
    <w:p w:rsidR="00000000" w:rsidDel="00000000" w:rsidP="00000000" w:rsidRDefault="00000000" w:rsidRPr="00000000" w14:paraId="00000018">
      <w:pPr>
        <w:spacing w:after="0"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19">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 1: Desafíos de la Evaluación de Impacto</w:t>
      </w:r>
      <w:r w:rsidDel="00000000" w:rsidR="00000000" w:rsidRPr="00000000">
        <w:rPr>
          <w:rtl w:val="0"/>
        </w:rPr>
      </w:r>
    </w:p>
    <w:p w:rsidR="00000000" w:rsidDel="00000000" w:rsidP="00000000" w:rsidRDefault="00000000" w:rsidRPr="00000000" w14:paraId="0000001A">
      <w:pPr>
        <w:numPr>
          <w:ilvl w:val="0"/>
          <w:numId w:val="1"/>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Aunque ha crecido el uso de evaluaciones cuantitativas para medir trayectorias educativas, persisten barreras institucionales relacionadas con la </w:t>
      </w:r>
      <w:r w:rsidDel="00000000" w:rsidR="00000000" w:rsidRPr="00000000">
        <w:rPr>
          <w:rFonts w:ascii="Arial" w:cs="Arial" w:eastAsia="Arial" w:hAnsi="Arial"/>
          <w:b w:val="1"/>
          <w:bCs w:val="1"/>
          <w:sz w:val="22"/>
          <w:szCs w:val="22"/>
          <w:rtl w:val="0"/>
        </w:rPr>
        <w:t xml:space="preserve">disponibilidad de datos</w:t>
      </w:r>
      <w:r w:rsidDel="00000000" w:rsidR="00000000" w:rsidRPr="00000000">
        <w:rPr>
          <w:rFonts w:ascii="Arial" w:cs="Arial" w:eastAsia="Arial" w:hAnsi="Arial"/>
          <w:sz w:val="22"/>
          <w:szCs w:val="22"/>
          <w:rtl w:val="0"/>
        </w:rPr>
        <w:t xml:space="preserve">, la </w:t>
      </w:r>
      <w:r w:rsidDel="00000000" w:rsidR="00000000" w:rsidRPr="00000000">
        <w:rPr>
          <w:rFonts w:ascii="Arial" w:cs="Arial" w:eastAsia="Arial" w:hAnsi="Arial"/>
          <w:b w:val="1"/>
          <w:bCs w:val="1"/>
          <w:sz w:val="22"/>
          <w:szCs w:val="22"/>
          <w:rtl w:val="0"/>
        </w:rPr>
        <w:t xml:space="preserve">comunicación efectiva de los hallazgos</w:t>
      </w:r>
      <w:r w:rsidDel="00000000" w:rsidR="00000000" w:rsidRPr="00000000">
        <w:rPr>
          <w:rFonts w:ascii="Arial" w:cs="Arial" w:eastAsia="Arial" w:hAnsi="Arial"/>
          <w:sz w:val="22"/>
          <w:szCs w:val="22"/>
          <w:rtl w:val="0"/>
        </w:rPr>
        <w:t xml:space="preserve"> y su </w:t>
      </w:r>
      <w:r w:rsidDel="00000000" w:rsidR="00000000" w:rsidRPr="00000000">
        <w:rPr>
          <w:rFonts w:ascii="Arial" w:cs="Arial" w:eastAsia="Arial" w:hAnsi="Arial"/>
          <w:b w:val="1"/>
          <w:bCs w:val="1"/>
          <w:sz w:val="22"/>
          <w:szCs w:val="22"/>
          <w:rtl w:val="0"/>
        </w:rPr>
        <w:t xml:space="preserve">articulación con indagaciones cualitativas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B">
      <w:pPr>
        <w:numPr>
          <w:ilvl w:val="0"/>
          <w:numId w:val="1"/>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1C">
      <w:pPr>
        <w:numPr>
          <w:ilvl w:val="0"/>
          <w:numId w:val="9"/>
        </w:numPr>
        <w:spacing w:line="276" w:lineRule="auto"/>
        <w:ind w:left="1440" w:hanging="360"/>
        <w:jc w:val="both"/>
        <w:rPr>
          <w:sz w:val="22"/>
          <w:szCs w:val="22"/>
        </w:rPr>
      </w:pPr>
      <w:r w:rsidDel="00000000" w:rsidR="00000000" w:rsidRPr="00000000">
        <w:rPr>
          <w:rFonts w:ascii="Arial" w:cs="Arial" w:eastAsia="Arial" w:hAnsi="Arial"/>
          <w:b w:val="1"/>
          <w:bCs w:val="1"/>
          <w:sz w:val="22"/>
          <w:szCs w:val="22"/>
          <w:rtl w:val="0"/>
        </w:rPr>
        <w:t xml:space="preserve">Retroalimentación efectiva de políticas públicas:</w:t>
      </w:r>
      <w:r w:rsidDel="00000000" w:rsidR="00000000" w:rsidRPr="00000000">
        <w:rPr>
          <w:rFonts w:ascii="Arial" w:cs="Arial" w:eastAsia="Arial" w:hAnsi="Arial"/>
          <w:sz w:val="22"/>
          <w:szCs w:val="22"/>
          <w:rtl w:val="0"/>
        </w:rPr>
        <w:t xml:space="preserve"> ¿En qué medida los resultados de las evaluaciones de impacto generan información realmente valiosa y oportuna para ajustar las intervenciones en el aula?</w:t>
      </w:r>
    </w:p>
    <w:p w:rsidR="00000000" w:rsidDel="00000000" w:rsidP="00000000" w:rsidRDefault="00000000" w:rsidRPr="00000000" w14:paraId="0000001D">
      <w:pPr>
        <w:numPr>
          <w:ilvl w:val="0"/>
          <w:numId w:val="9"/>
        </w:numPr>
        <w:spacing w:line="276" w:lineRule="auto"/>
        <w:ind w:left="1440" w:hanging="360"/>
        <w:jc w:val="both"/>
        <w:rPr>
          <w:sz w:val="22"/>
          <w:szCs w:val="22"/>
        </w:rPr>
      </w:pPr>
      <w:r w:rsidDel="00000000" w:rsidR="00000000" w:rsidRPr="00000000">
        <w:rPr>
          <w:rFonts w:ascii="Arial" w:cs="Arial" w:eastAsia="Arial" w:hAnsi="Arial"/>
          <w:b w:val="1"/>
          <w:bCs w:val="1"/>
          <w:sz w:val="22"/>
          <w:szCs w:val="22"/>
          <w:rtl w:val="0"/>
        </w:rPr>
        <w:t xml:space="preserve">Complementariedad metodológica:</w:t>
      </w:r>
      <w:r w:rsidDel="00000000" w:rsidR="00000000" w:rsidRPr="00000000">
        <w:rPr>
          <w:rFonts w:ascii="Arial" w:cs="Arial" w:eastAsia="Arial" w:hAnsi="Arial"/>
          <w:sz w:val="22"/>
          <w:szCs w:val="22"/>
          <w:rtl w:val="0"/>
        </w:rPr>
        <w:t xml:space="preserve"> ¿Cómo dialogan e integran los resultados cuantitativos de impacto con las evaluaciones de procesos e indagaciones cualitativas para entender la complejidad escolar?</w:t>
      </w:r>
    </w:p>
    <w:p w:rsidR="00000000" w:rsidDel="00000000" w:rsidP="00000000" w:rsidRDefault="00000000" w:rsidRPr="00000000" w14:paraId="0000001E">
      <w:pPr>
        <w:numPr>
          <w:ilvl w:val="0"/>
          <w:numId w:val="9"/>
        </w:numPr>
        <w:spacing w:line="276" w:lineRule="auto"/>
        <w:ind w:left="1440" w:hanging="360"/>
        <w:jc w:val="both"/>
        <w:rPr>
          <w:sz w:val="22"/>
          <w:szCs w:val="22"/>
        </w:rPr>
      </w:pPr>
      <w:r w:rsidDel="00000000" w:rsidR="00000000" w:rsidRPr="00000000">
        <w:rPr>
          <w:rFonts w:ascii="Arial" w:cs="Arial" w:eastAsia="Arial" w:hAnsi="Arial"/>
          <w:b w:val="1"/>
          <w:bCs w:val="1"/>
          <w:sz w:val="22"/>
          <w:szCs w:val="22"/>
          <w:rtl w:val="0"/>
        </w:rPr>
        <w:t xml:space="preserve">Apropiación y transferencia:</w:t>
      </w:r>
      <w:r w:rsidDel="00000000" w:rsidR="00000000" w:rsidRPr="00000000">
        <w:rPr>
          <w:rFonts w:ascii="Arial" w:cs="Arial" w:eastAsia="Arial" w:hAnsi="Arial"/>
          <w:sz w:val="22"/>
          <w:szCs w:val="22"/>
          <w:rtl w:val="0"/>
        </w:rPr>
        <w:t xml:space="preserve"> ¿Cuáles son las estrategias más fructíferas para comunicar y trabajar los resultados de las evaluaciones junto a los referentes y tomadores de decisión de las políticas educativas?</w:t>
      </w:r>
    </w:p>
    <w:p w:rsidR="00000000" w:rsidDel="00000000" w:rsidP="00000000" w:rsidRDefault="00000000" w:rsidRPr="00000000" w14:paraId="0000001F">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 2: Integración de fuentes y sentido de uso de la información</w:t>
      </w:r>
      <w:r w:rsidDel="00000000" w:rsidR="00000000" w:rsidRPr="00000000">
        <w:rPr>
          <w:rtl w:val="0"/>
        </w:rPr>
      </w:r>
    </w:p>
    <w:p w:rsidR="00000000" w:rsidDel="00000000" w:rsidP="00000000" w:rsidRDefault="00000000" w:rsidRPr="00000000" w14:paraId="00000021">
      <w:pPr>
        <w:numPr>
          <w:ilvl w:val="0"/>
          <w:numId w:val="1"/>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La producción fragmentada de datos en circuitos, formatos y tiempos diversos (evaluaciones, registros administrativos, sistemas nominales) dificulta construir lecturas integrales del sistema educativo.</w:t>
      </w:r>
    </w:p>
    <w:p w:rsidR="00000000" w:rsidDel="00000000" w:rsidP="00000000" w:rsidRDefault="00000000" w:rsidRPr="00000000" w14:paraId="00000022">
      <w:pPr>
        <w:numPr>
          <w:ilvl w:val="0"/>
          <w:numId w:val="1"/>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23">
      <w:pPr>
        <w:numPr>
          <w:ilvl w:val="1"/>
          <w:numId w:val="1"/>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Superar la lógica del "cruce de bases":</w:t>
      </w:r>
      <w:r w:rsidDel="00000000" w:rsidR="00000000" w:rsidRPr="00000000">
        <w:rPr>
          <w:rFonts w:ascii="Arial" w:cs="Arial" w:eastAsia="Arial" w:hAnsi="Arial"/>
          <w:sz w:val="22"/>
          <w:szCs w:val="22"/>
          <w:rtl w:val="0"/>
        </w:rPr>
        <w:t xml:space="preserve"> Entender la integración no como un procedimiento puramente técnico, sino como la definición de </w:t>
      </w:r>
      <w:r w:rsidDel="00000000" w:rsidR="00000000" w:rsidRPr="00000000">
        <w:rPr>
          <w:rFonts w:ascii="Arial" w:cs="Arial" w:eastAsia="Arial" w:hAnsi="Arial"/>
          <w:b w:val="1"/>
          <w:bCs w:val="1"/>
          <w:sz w:val="22"/>
          <w:szCs w:val="22"/>
          <w:rtl w:val="0"/>
        </w:rPr>
        <w:t xml:space="preserve">sentidos de uso</w:t>
      </w:r>
      <w:r w:rsidDel="00000000" w:rsidR="00000000" w:rsidRPr="00000000">
        <w:rPr>
          <w:rFonts w:ascii="Arial" w:cs="Arial" w:eastAsia="Arial" w:hAnsi="Arial"/>
          <w:sz w:val="22"/>
          <w:szCs w:val="22"/>
          <w:rtl w:val="0"/>
        </w:rPr>
        <w:t xml:space="preserve"> (¿para qué se integra?, ¿quién consume la información?, ¿qué decisiones habilita o limita?).</w:t>
      </w:r>
    </w:p>
    <w:p w:rsidR="00000000" w:rsidDel="00000000" w:rsidP="00000000" w:rsidRDefault="00000000" w:rsidRPr="00000000" w14:paraId="00000024">
      <w:pPr>
        <w:numPr>
          <w:ilvl w:val="1"/>
          <w:numId w:val="1"/>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Construcción de "termómetros para la intervención":</w:t>
      </w:r>
      <w:r w:rsidDel="00000000" w:rsidR="00000000" w:rsidRPr="00000000">
        <w:rPr>
          <w:rFonts w:ascii="Arial" w:cs="Arial" w:eastAsia="Arial" w:hAnsi="Arial"/>
          <w:sz w:val="22"/>
          <w:szCs w:val="22"/>
          <w:rtl w:val="0"/>
        </w:rPr>
        <w:t xml:space="preserve"> Pasar del diagnóstico generalista a herramientas oportunas, situadas y operativas para todos los niveles educativos.</w:t>
      </w:r>
    </w:p>
    <w:p w:rsidR="00000000" w:rsidDel="00000000" w:rsidP="00000000" w:rsidRDefault="00000000" w:rsidRPr="00000000" w14:paraId="00000025">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 3: Escalas y temporalidades: Entre la mirada sistémica y la intervención situada</w:t>
      </w:r>
      <w:r w:rsidDel="00000000" w:rsidR="00000000" w:rsidRPr="00000000">
        <w:rPr>
          <w:rtl w:val="0"/>
        </w:rPr>
      </w:r>
    </w:p>
    <w:p w:rsidR="00000000" w:rsidDel="00000000" w:rsidP="00000000" w:rsidRDefault="00000000" w:rsidRPr="00000000" w14:paraId="00000027">
      <w:pPr>
        <w:numPr>
          <w:ilvl w:val="0"/>
          <w:numId w:val="2"/>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La tensión entre el seguimiento de la trayectoria individual (datos nominales) y la comprensión de las tendencias generales del sistema (datos agregados).</w:t>
      </w:r>
    </w:p>
    <w:p w:rsidR="00000000" w:rsidDel="00000000" w:rsidP="00000000" w:rsidRDefault="00000000" w:rsidRPr="00000000" w14:paraId="00000028">
      <w:pPr>
        <w:numPr>
          <w:ilvl w:val="0"/>
          <w:numId w:val="2"/>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29">
      <w:pPr>
        <w:numPr>
          <w:ilvl w:val="1"/>
          <w:numId w:val="2"/>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Riesgo de despolitización e individualización:</w:t>
      </w:r>
      <w:r w:rsidDel="00000000" w:rsidR="00000000" w:rsidRPr="00000000">
        <w:rPr>
          <w:rFonts w:ascii="Arial" w:cs="Arial" w:eastAsia="Arial" w:hAnsi="Arial"/>
          <w:sz w:val="22"/>
          <w:szCs w:val="22"/>
          <w:rtl w:val="0"/>
        </w:rPr>
        <w:t xml:space="preserve"> Atender casos puntuales no debe invisibilizar los problemas estructurales de aprendizaje, las desigualdades distributivas ni las condiciones institucionales.</w:t>
      </w:r>
    </w:p>
    <w:p w:rsidR="00000000" w:rsidDel="00000000" w:rsidP="00000000" w:rsidRDefault="00000000" w:rsidRPr="00000000" w14:paraId="0000002A">
      <w:pPr>
        <w:numPr>
          <w:ilvl w:val="1"/>
          <w:numId w:val="2"/>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Mediaciones articuladoras:</w:t>
      </w:r>
      <w:r w:rsidDel="00000000" w:rsidR="00000000" w:rsidRPr="00000000">
        <w:rPr>
          <w:rFonts w:ascii="Arial" w:cs="Arial" w:eastAsia="Arial" w:hAnsi="Arial"/>
          <w:sz w:val="22"/>
          <w:szCs w:val="22"/>
          <w:rtl w:val="0"/>
        </w:rPr>
        <w:t xml:space="preserve"> Diseñar dispositivos técnicos, pedagógicos y ético-políticos que permitan atender la trayectoria real del estudiante sin perder de vista la formulación de políticas educativas de alcance sistémico.</w:t>
      </w:r>
    </w:p>
    <w:p w:rsidR="00000000" w:rsidDel="00000000" w:rsidP="00000000" w:rsidRDefault="00000000" w:rsidRPr="00000000" w14:paraId="0000002B">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 4: Evaluación e interpretación pedagógica</w:t>
      </w:r>
      <w:r w:rsidDel="00000000" w:rsidR="00000000" w:rsidRPr="00000000">
        <w:rPr>
          <w:rtl w:val="0"/>
        </w:rPr>
      </w:r>
    </w:p>
    <w:p w:rsidR="00000000" w:rsidDel="00000000" w:rsidP="00000000" w:rsidRDefault="00000000" w:rsidRPr="00000000" w14:paraId="0000002D">
      <w:pPr>
        <w:numPr>
          <w:ilvl w:val="0"/>
          <w:numId w:val="3"/>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El riesgo de convertir el resultado de una evaluación en una medida autosuficiente, aislada y descontextualizada de la calidad educativa.</w:t>
      </w:r>
    </w:p>
    <w:p w:rsidR="00000000" w:rsidDel="00000000" w:rsidP="00000000" w:rsidRDefault="00000000" w:rsidRPr="00000000" w14:paraId="0000002E">
      <w:pPr>
        <w:numPr>
          <w:ilvl w:val="0"/>
          <w:numId w:val="3"/>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2F">
      <w:pPr>
        <w:numPr>
          <w:ilvl w:val="1"/>
          <w:numId w:val="3"/>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Lectura situada:</w:t>
      </w:r>
      <w:r w:rsidDel="00000000" w:rsidR="00000000" w:rsidRPr="00000000">
        <w:rPr>
          <w:rFonts w:ascii="Arial" w:cs="Arial" w:eastAsia="Arial" w:hAnsi="Arial"/>
          <w:sz w:val="22"/>
          <w:szCs w:val="22"/>
          <w:rtl w:val="0"/>
        </w:rPr>
        <w:t xml:space="preserve"> La necesidad de cruzar los resultados estandarizados o cuantitativos con las condiciones de producción pedagógicas y socioculturales de cada escuela.</w:t>
      </w:r>
    </w:p>
    <w:p w:rsidR="00000000" w:rsidDel="00000000" w:rsidP="00000000" w:rsidRDefault="00000000" w:rsidRPr="00000000" w14:paraId="00000030">
      <w:pPr>
        <w:numPr>
          <w:ilvl w:val="1"/>
          <w:numId w:val="3"/>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Mediaciones pedagógicas:</w:t>
      </w:r>
      <w:r w:rsidDel="00000000" w:rsidR="00000000" w:rsidRPr="00000000">
        <w:rPr>
          <w:rFonts w:ascii="Arial" w:cs="Arial" w:eastAsia="Arial" w:hAnsi="Arial"/>
          <w:sz w:val="22"/>
          <w:szCs w:val="22"/>
          <w:rtl w:val="0"/>
        </w:rPr>
        <w:t xml:space="preserve"> Transformar la mera difusión de reportes en preguntas de trabajo e interpretaciones útiles para que supervisores, directivos y docentes puedan actuar.</w:t>
      </w:r>
    </w:p>
    <w:p w:rsidR="00000000" w:rsidDel="00000000" w:rsidP="00000000" w:rsidRDefault="00000000" w:rsidRPr="00000000" w14:paraId="00000031">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 5: La dimensión ético-política del dato público y nominalizado</w:t>
      </w:r>
      <w:r w:rsidDel="00000000" w:rsidR="00000000" w:rsidRPr="00000000">
        <w:rPr>
          <w:rtl w:val="0"/>
        </w:rPr>
      </w:r>
    </w:p>
    <w:p w:rsidR="00000000" w:rsidDel="00000000" w:rsidP="00000000" w:rsidRDefault="00000000" w:rsidRPr="00000000" w14:paraId="00000033">
      <w:pPr>
        <w:numPr>
          <w:ilvl w:val="0"/>
          <w:numId w:val="4"/>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La evaluación como acto político que clasifica, visibiliza, genera discursos y produce consecuencias concretas sobre escuelas, docentes y estudiantes.</w:t>
      </w:r>
    </w:p>
    <w:p w:rsidR="00000000" w:rsidDel="00000000" w:rsidP="00000000" w:rsidRDefault="00000000" w:rsidRPr="00000000" w14:paraId="00000034">
      <w:pPr>
        <w:numPr>
          <w:ilvl w:val="0"/>
          <w:numId w:val="4"/>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35">
      <w:pPr>
        <w:numPr>
          <w:ilvl w:val="1"/>
          <w:numId w:val="4"/>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Responsabilidad en la circulación:</w:t>
      </w:r>
      <w:r w:rsidDel="00000000" w:rsidR="00000000" w:rsidRPr="00000000">
        <w:rPr>
          <w:rFonts w:ascii="Arial" w:cs="Arial" w:eastAsia="Arial" w:hAnsi="Arial"/>
          <w:sz w:val="22"/>
          <w:szCs w:val="22"/>
          <w:rtl w:val="0"/>
        </w:rPr>
        <w:t xml:space="preserve"> Establecer protocolos y criterios éticos para el acceso, uso y difusión de información sensible o nominalizada.</w:t>
      </w:r>
    </w:p>
    <w:p w:rsidR="00000000" w:rsidDel="00000000" w:rsidP="00000000" w:rsidRDefault="00000000" w:rsidRPr="00000000" w14:paraId="00000036">
      <w:pPr>
        <w:numPr>
          <w:ilvl w:val="1"/>
          <w:numId w:val="4"/>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Prevención de la estigmatización:</w:t>
      </w:r>
      <w:r w:rsidDel="00000000" w:rsidR="00000000" w:rsidRPr="00000000">
        <w:rPr>
          <w:rFonts w:ascii="Arial" w:cs="Arial" w:eastAsia="Arial" w:hAnsi="Arial"/>
          <w:sz w:val="22"/>
          <w:szCs w:val="22"/>
          <w:rtl w:val="0"/>
        </w:rPr>
        <w:t xml:space="preserve"> Evitar que los sistemas de datos nominales o los rankings implícitos refuercen etiquetas o prejuicios sobre determinadas comunidades educativas.</w:t>
      </w:r>
    </w:p>
    <w:p w:rsidR="00000000" w:rsidDel="00000000" w:rsidP="00000000" w:rsidRDefault="00000000" w:rsidRPr="00000000" w14:paraId="00000037">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Eje 6: Adaptabilidad de herramientas metodológicas (índice) frente al cambio de paradigma educativo (Secundaria Aprende)</w:t>
      </w:r>
    </w:p>
    <w:p w:rsidR="00000000" w:rsidDel="00000000" w:rsidP="00000000" w:rsidRDefault="00000000" w:rsidRPr="00000000" w14:paraId="00000039">
      <w:pPr>
        <w:numPr>
          <w:ilvl w:val="0"/>
          <w:numId w:val="5"/>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Validez de las métricas tradicionales frente a la transformación del régimen académico y la trayectoria escolar.</w:t>
      </w:r>
    </w:p>
    <w:p w:rsidR="00000000" w:rsidDel="00000000" w:rsidP="00000000" w:rsidRDefault="00000000" w:rsidRPr="00000000" w14:paraId="0000003A">
      <w:pPr>
        <w:numPr>
          <w:ilvl w:val="0"/>
          <w:numId w:val="5"/>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3B">
      <w:pPr>
        <w:numPr>
          <w:ilvl w:val="1"/>
          <w:numId w:val="5"/>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Pérdida de vigencia de indicadores clásicos:</w:t>
      </w:r>
      <w:r w:rsidDel="00000000" w:rsidR="00000000" w:rsidRPr="00000000">
        <w:rPr>
          <w:rFonts w:ascii="Arial" w:cs="Arial" w:eastAsia="Arial" w:hAnsi="Arial"/>
          <w:sz w:val="22"/>
          <w:szCs w:val="22"/>
          <w:rtl w:val="0"/>
        </w:rPr>
        <w:t xml:space="preserve"> Las categorías tradicionales como </w:t>
      </w:r>
      <w:r w:rsidDel="00000000" w:rsidR="00000000" w:rsidRPr="00000000">
        <w:rPr>
          <w:rFonts w:ascii="Arial" w:cs="Arial" w:eastAsia="Arial" w:hAnsi="Arial"/>
          <w:i w:val="1"/>
          <w:iCs w:val="1"/>
          <w:sz w:val="22"/>
          <w:szCs w:val="22"/>
          <w:rtl w:val="0"/>
        </w:rPr>
        <w:t xml:space="preserve">sobreedad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repitencia</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i w:val="1"/>
          <w:iCs w:val="1"/>
          <w:sz w:val="22"/>
          <w:szCs w:val="22"/>
          <w:rtl w:val="0"/>
        </w:rPr>
        <w:t xml:space="preserve">promoción</w:t>
      </w:r>
      <w:r w:rsidDel="00000000" w:rsidR="00000000" w:rsidRPr="00000000">
        <w:rPr>
          <w:rFonts w:ascii="Arial" w:cs="Arial" w:eastAsia="Arial" w:hAnsi="Arial"/>
          <w:sz w:val="22"/>
          <w:szCs w:val="22"/>
          <w:rtl w:val="0"/>
        </w:rPr>
        <w:t xml:space="preserve"> dejan de reflejar fielmente la trayectoria estudiantil en los nuevos modelos pedagógicos.</w:t>
      </w:r>
    </w:p>
    <w:p w:rsidR="00000000" w:rsidDel="00000000" w:rsidP="00000000" w:rsidRDefault="00000000" w:rsidRPr="00000000" w14:paraId="0000003C">
      <w:pPr>
        <w:numPr>
          <w:ilvl w:val="1"/>
          <w:numId w:val="5"/>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Flexibilidad y dinamismo de la fórmula:</w:t>
      </w:r>
      <w:r w:rsidDel="00000000" w:rsidR="00000000" w:rsidRPr="00000000">
        <w:rPr>
          <w:rFonts w:ascii="Arial" w:cs="Arial" w:eastAsia="Arial" w:hAnsi="Arial"/>
          <w:sz w:val="22"/>
          <w:szCs w:val="22"/>
          <w:rtl w:val="0"/>
        </w:rPr>
        <w:t xml:space="preserve"> Cómo rediseñar la operacionalización del índice de Logros (</w:t>
      </w:r>
      <w:r w:rsidDel="00000000" w:rsidR="00000000" w:rsidRPr="00000000">
        <w:rPr>
          <w:rFonts w:ascii="Arial" w:cs="Arial" w:eastAsia="Arial" w:hAnsi="Arial"/>
          <w:b w:val="1"/>
          <w:bCs w:val="1"/>
          <w:sz w:val="22"/>
          <w:szCs w:val="22"/>
          <w:rtl w:val="0"/>
        </w:rPr>
        <w:t xml:space="preserve">ITEP-ITES</w:t>
      </w:r>
      <w:r w:rsidDel="00000000" w:rsidR="00000000" w:rsidRPr="00000000">
        <w:rPr>
          <w:rFonts w:ascii="Arial" w:cs="Arial" w:eastAsia="Arial" w:hAnsi="Arial"/>
          <w:sz w:val="22"/>
          <w:szCs w:val="22"/>
          <w:rtl w:val="0"/>
        </w:rPr>
        <w:t xml:space="preserve">) para que pueda incorporar métricas emergentes sin perder comparabilidad histórica o consistencia estructural.</w:t>
      </w:r>
    </w:p>
    <w:p w:rsidR="00000000" w:rsidDel="00000000" w:rsidP="00000000" w:rsidRDefault="00000000" w:rsidRPr="00000000" w14:paraId="0000003D">
      <w:pPr>
        <w:numPr>
          <w:ilvl w:val="1"/>
          <w:numId w:val="5"/>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Definición de nuevos indicadores:</w:t>
      </w:r>
      <w:r w:rsidDel="00000000" w:rsidR="00000000" w:rsidRPr="00000000">
        <w:rPr>
          <w:rFonts w:ascii="Arial" w:cs="Arial" w:eastAsia="Arial" w:hAnsi="Arial"/>
          <w:sz w:val="22"/>
          <w:szCs w:val="22"/>
          <w:rtl w:val="0"/>
        </w:rPr>
        <w:t xml:space="preserve"> Qué variables permiten realizar un seguimiento continuo y cualitativo de los aprendizajes en lugar de mediciones estáticas de avance de año.</w:t>
      </w:r>
    </w:p>
    <w:p w:rsidR="00000000" w:rsidDel="00000000" w:rsidP="00000000" w:rsidRDefault="00000000" w:rsidRPr="00000000" w14:paraId="0000003E">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 7: Homogeneidad de la métrica vs. heterogeneidad sistémica</w:t>
      </w:r>
      <w:r w:rsidDel="00000000" w:rsidR="00000000" w:rsidRPr="00000000">
        <w:rPr>
          <w:rtl w:val="0"/>
        </w:rPr>
      </w:r>
    </w:p>
    <w:p w:rsidR="00000000" w:rsidDel="00000000" w:rsidP="00000000" w:rsidRDefault="00000000" w:rsidRPr="00000000" w14:paraId="00000040">
      <w:pPr>
        <w:numPr>
          <w:ilvl w:val="0"/>
          <w:numId w:val="6"/>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Aplicación de un instrumento de medición uniforme a un sistema educativo fragmentado socioeconómicamente y heterogéneo en sus formas de gestión.</w:t>
      </w:r>
    </w:p>
    <w:p w:rsidR="00000000" w:rsidDel="00000000" w:rsidP="00000000" w:rsidRDefault="00000000" w:rsidRPr="00000000" w14:paraId="00000041">
      <w:pPr>
        <w:numPr>
          <w:ilvl w:val="0"/>
          <w:numId w:val="6"/>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42">
      <w:pPr>
        <w:numPr>
          <w:ilvl w:val="1"/>
          <w:numId w:val="6"/>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Margen de gobernabilidad escolar:</w:t>
      </w:r>
      <w:r w:rsidDel="00000000" w:rsidR="00000000" w:rsidRPr="00000000">
        <w:rPr>
          <w:rFonts w:ascii="Arial" w:cs="Arial" w:eastAsia="Arial" w:hAnsi="Arial"/>
          <w:sz w:val="22"/>
          <w:szCs w:val="22"/>
          <w:rtl w:val="0"/>
        </w:rPr>
        <w:t xml:space="preserve"> Reconocimiento de que las instituciones no poseen la misma capacidad ni los mismos recursos de entorno para incidir sobre sus resultados.</w:t>
      </w:r>
    </w:p>
    <w:p w:rsidR="00000000" w:rsidDel="00000000" w:rsidP="00000000" w:rsidRDefault="00000000" w:rsidRPr="00000000" w14:paraId="00000043">
      <w:pPr>
        <w:numPr>
          <w:ilvl w:val="1"/>
          <w:numId w:val="6"/>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Equidad en la comparación:</w:t>
      </w:r>
      <w:r w:rsidDel="00000000" w:rsidR="00000000" w:rsidRPr="00000000">
        <w:rPr>
          <w:rFonts w:ascii="Arial" w:cs="Arial" w:eastAsia="Arial" w:hAnsi="Arial"/>
          <w:sz w:val="22"/>
          <w:szCs w:val="22"/>
          <w:rtl w:val="0"/>
        </w:rPr>
        <w:t xml:space="preserve"> Los riesgos de evaluar bajo la misma vara a escuelas del sector público y privado, o a establecimientos dentro del mismo sector que atienden a poblaciones con desiguales niveles de capital social y económico.</w:t>
      </w:r>
    </w:p>
    <w:p w:rsidR="00000000" w:rsidDel="00000000" w:rsidP="00000000" w:rsidRDefault="00000000" w:rsidRPr="00000000" w14:paraId="00000044">
      <w:pPr>
        <w:numPr>
          <w:ilvl w:val="1"/>
          <w:numId w:val="6"/>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Metodología de tipificación o contextualización:</w:t>
      </w:r>
      <w:r w:rsidDel="00000000" w:rsidR="00000000" w:rsidRPr="00000000">
        <w:rPr>
          <w:rFonts w:ascii="Arial" w:cs="Arial" w:eastAsia="Arial" w:hAnsi="Arial"/>
          <w:sz w:val="22"/>
          <w:szCs w:val="22"/>
          <w:rtl w:val="0"/>
        </w:rPr>
        <w:t xml:space="preserve"> Discusión sobre si las metodologías deben ponderar categorías de escuelas o si se deben establecer grupos de comparación entre pares.</w:t>
      </w:r>
    </w:p>
    <w:p w:rsidR="00000000" w:rsidDel="00000000" w:rsidP="00000000" w:rsidRDefault="00000000" w:rsidRPr="00000000" w14:paraId="00000045">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 8: Restricciones matemáticas, sesgo contextual y evaluación de políticas públicas</w:t>
      </w:r>
      <w:r w:rsidDel="00000000" w:rsidR="00000000" w:rsidRPr="00000000">
        <w:rPr>
          <w:rtl w:val="0"/>
        </w:rPr>
      </w:r>
    </w:p>
    <w:p w:rsidR="00000000" w:rsidDel="00000000" w:rsidP="00000000" w:rsidRDefault="00000000" w:rsidRPr="00000000" w14:paraId="00000047">
      <w:pPr>
        <w:numPr>
          <w:ilvl w:val="0"/>
          <w:numId w:val="7"/>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Problema central:</w:t>
      </w:r>
      <w:r w:rsidDel="00000000" w:rsidR="00000000" w:rsidRPr="00000000">
        <w:rPr>
          <w:rFonts w:ascii="Arial" w:cs="Arial" w:eastAsia="Arial" w:hAnsi="Arial"/>
          <w:sz w:val="22"/>
          <w:szCs w:val="22"/>
          <w:rtl w:val="0"/>
        </w:rPr>
        <w:t xml:space="preserve"> El peligro de penalizar a las escuelas más vulnerables mediante la medición de la eficiencia en la asignación de recursos.</w:t>
      </w:r>
    </w:p>
    <w:p w:rsidR="00000000" w:rsidDel="00000000" w:rsidP="00000000" w:rsidRDefault="00000000" w:rsidRPr="00000000" w14:paraId="00000048">
      <w:pPr>
        <w:numPr>
          <w:ilvl w:val="0"/>
          <w:numId w:val="7"/>
        </w:numPr>
        <w:spacing w:line="276" w:lineRule="auto"/>
        <w:ind w:left="720" w:hanging="360"/>
        <w:jc w:val="both"/>
        <w:rPr/>
      </w:pPr>
      <w:r w:rsidDel="00000000" w:rsidR="00000000" w:rsidRPr="00000000">
        <w:rPr>
          <w:rFonts w:ascii="Arial" w:cs="Arial" w:eastAsia="Arial" w:hAnsi="Arial"/>
          <w:b w:val="1"/>
          <w:bCs w:val="1"/>
          <w:sz w:val="22"/>
          <w:szCs w:val="22"/>
          <w:rtl w:val="0"/>
        </w:rPr>
        <w:t xml:space="preserve">Puntos clave para el debate:</w:t>
      </w:r>
      <w:r w:rsidDel="00000000" w:rsidR="00000000" w:rsidRPr="00000000">
        <w:rPr>
          <w:rtl w:val="0"/>
        </w:rPr>
      </w:r>
    </w:p>
    <w:p w:rsidR="00000000" w:rsidDel="00000000" w:rsidP="00000000" w:rsidRDefault="00000000" w:rsidRPr="00000000" w14:paraId="00000049">
      <w:pPr>
        <w:numPr>
          <w:ilvl w:val="1"/>
          <w:numId w:val="7"/>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Rendimientos no lineales de la inversión:</w:t>
      </w:r>
      <w:r w:rsidDel="00000000" w:rsidR="00000000" w:rsidRPr="00000000">
        <w:rPr>
          <w:rFonts w:ascii="Arial" w:cs="Arial" w:eastAsia="Arial" w:hAnsi="Arial"/>
          <w:sz w:val="22"/>
          <w:szCs w:val="22"/>
          <w:rtl w:val="0"/>
        </w:rPr>
        <w:t xml:space="preserve"> El impacto del incremento de recursos en contextos de vulnerabilidad extrema (privaciones de vivienda, nutrición o entorno) no genera resultados inmediatos ni de la misma magnitud que en contextos favorables.</w:t>
      </w:r>
    </w:p>
    <w:p w:rsidR="00000000" w:rsidDel="00000000" w:rsidP="00000000" w:rsidRDefault="00000000" w:rsidRPr="00000000" w14:paraId="0000004A">
      <w:pPr>
        <w:numPr>
          <w:ilvl w:val="1"/>
          <w:numId w:val="7"/>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Efecto de penalización injusta:</w:t>
      </w:r>
      <w:r w:rsidDel="00000000" w:rsidR="00000000" w:rsidRPr="00000000">
        <w:rPr>
          <w:rFonts w:ascii="Arial" w:cs="Arial" w:eastAsia="Arial" w:hAnsi="Arial"/>
          <w:sz w:val="22"/>
          <w:szCs w:val="22"/>
          <w:rtl w:val="0"/>
        </w:rPr>
        <w:t xml:space="preserve"> El riesgo de que las herramientas metodológicas interpreten la falta de resultados inmediatos tras la inyección de recursos como una falla de gestión de la escuela, omitiendo las barreras estructurales del alumnado.</w:t>
      </w:r>
    </w:p>
    <w:p w:rsidR="00000000" w:rsidDel="00000000" w:rsidP="00000000" w:rsidRDefault="00000000" w:rsidRPr="00000000" w14:paraId="0000004B">
      <w:pPr>
        <w:numPr>
          <w:ilvl w:val="1"/>
          <w:numId w:val="7"/>
        </w:numPr>
        <w:spacing w:line="276" w:lineRule="auto"/>
        <w:ind w:left="1440" w:hanging="360"/>
        <w:jc w:val="both"/>
        <w:rPr/>
      </w:pPr>
      <w:r w:rsidDel="00000000" w:rsidR="00000000" w:rsidRPr="00000000">
        <w:rPr>
          <w:rFonts w:ascii="Arial" w:cs="Arial" w:eastAsia="Arial" w:hAnsi="Arial"/>
          <w:b w:val="1"/>
          <w:bCs w:val="1"/>
          <w:sz w:val="22"/>
          <w:szCs w:val="22"/>
          <w:rtl w:val="0"/>
        </w:rPr>
        <w:t xml:space="preserve">Temporalidad y rezago del impacto:</w:t>
      </w:r>
      <w:r w:rsidDel="00000000" w:rsidR="00000000" w:rsidRPr="00000000">
        <w:rPr>
          <w:rFonts w:ascii="Arial" w:cs="Arial" w:eastAsia="Arial" w:hAnsi="Arial"/>
          <w:sz w:val="22"/>
          <w:szCs w:val="22"/>
          <w:rtl w:val="0"/>
        </w:rPr>
        <w:t xml:space="preserve"> Necesidad de contemplar horizontes temporales más amplios para evaluar trayectorias exitosas y aprendizajes significativos en sectores desfavorecidos.</w:t>
      </w:r>
    </w:p>
    <w:p w:rsidR="00000000" w:rsidDel="00000000" w:rsidP="00000000" w:rsidRDefault="00000000" w:rsidRPr="00000000" w14:paraId="0000004C">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spacing w:line="276" w:lineRule="auto"/>
        <w:jc w:val="both"/>
        <w:rPr>
          <w:rFonts w:ascii="Arial" w:cs="Arial" w:eastAsia="Arial" w:hAnsi="Arial"/>
          <w:sz w:val="22"/>
          <w:szCs w:val="22"/>
        </w:rPr>
      </w:pPr>
      <w:r w:rsidDel="00000000" w:rsidR="00000000" w:rsidRPr="00000000">
        <w:rPr>
          <w:rtl w:val="0"/>
        </w:rPr>
      </w:r>
    </w:p>
    <w:sectPr>
      <w:foot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43E5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3E5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3E5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3E5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43E5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43E5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43E5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43E5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43E5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3E5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3E5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3E5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3E5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3E5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3E5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3E52"/>
    <w:rPr>
      <w:i w:val="1"/>
      <w:iCs w:val="1"/>
      <w:color w:val="404040" w:themeColor="text1" w:themeTint="0000BF"/>
    </w:rPr>
  </w:style>
  <w:style w:type="paragraph" w:styleId="Prrafodelista">
    <w:name w:val="List Paragraph"/>
    <w:basedOn w:val="Normal"/>
    <w:uiPriority w:val="34"/>
    <w:qFormat w:val="1"/>
    <w:rsid w:val="00843E52"/>
    <w:pPr>
      <w:ind w:left="720"/>
      <w:contextualSpacing w:val="1"/>
    </w:pPr>
  </w:style>
  <w:style w:type="character" w:styleId="nfasisintenso">
    <w:name w:val="Intense Emphasis"/>
    <w:basedOn w:val="Fuentedeprrafopredeter"/>
    <w:uiPriority w:val="21"/>
    <w:qFormat w:val="1"/>
    <w:rsid w:val="00843E52"/>
    <w:rPr>
      <w:i w:val="1"/>
      <w:iCs w:val="1"/>
      <w:color w:val="0f4761" w:themeColor="accent1" w:themeShade="0000BF"/>
    </w:rPr>
  </w:style>
  <w:style w:type="paragraph" w:styleId="Citadestacada">
    <w:name w:val="Intense Quote"/>
    <w:basedOn w:val="Normal"/>
    <w:next w:val="Normal"/>
    <w:link w:val="CitadestacadaCar"/>
    <w:uiPriority w:val="30"/>
    <w:qFormat w:val="1"/>
    <w:rsid w:val="00843E5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43E52"/>
    <w:rPr>
      <w:i w:val="1"/>
      <w:iCs w:val="1"/>
      <w:color w:val="0f4761" w:themeColor="accent1" w:themeShade="0000BF"/>
    </w:rPr>
  </w:style>
  <w:style w:type="character" w:styleId="Referenciaintensa">
    <w:name w:val="Intense Reference"/>
    <w:basedOn w:val="Fuentedeprrafopredeter"/>
    <w:uiPriority w:val="32"/>
    <w:qFormat w:val="1"/>
    <w:rsid w:val="00843E52"/>
    <w:rPr>
      <w:b w:val="1"/>
      <w:bCs w:val="1"/>
      <w:smallCaps w:val="1"/>
      <w:color w:val="0f4761" w:themeColor="accent1" w:themeShade="0000BF"/>
      <w:spacing w:val="5"/>
    </w:rPr>
  </w:style>
  <w:style w:type="character" w:styleId="Hipervnculo">
    <w:name w:val="Hyperlink"/>
    <w:basedOn w:val="Fuentedeprrafopredeter"/>
    <w:uiPriority w:val="99"/>
    <w:unhideWhenUsed w:val="1"/>
    <w:rsid w:val="003F5566"/>
    <w:rPr>
      <w:color w:val="467886" w:themeColor="hyperlink"/>
      <w:u w:val="single"/>
    </w:rPr>
  </w:style>
  <w:style w:type="character" w:styleId="Mencinsinresolver">
    <w:name w:val="Unresolved Mention"/>
    <w:basedOn w:val="Fuentedeprrafopredeter"/>
    <w:uiPriority w:val="99"/>
    <w:semiHidden w:val="1"/>
    <w:unhideWhenUsed w:val="1"/>
    <w:rsid w:val="003F5566"/>
    <w:rPr>
      <w:color w:val="605e5c"/>
      <w:shd w:color="auto" w:fill="e1dfdd" w:val="clear"/>
    </w:rPr>
  </w:style>
  <w:style w:type="paragraph" w:styleId="Encabezado">
    <w:name w:val="header"/>
    <w:basedOn w:val="Normal"/>
    <w:link w:val="EncabezadoCar"/>
    <w:uiPriority w:val="99"/>
    <w:unhideWhenUsed w:val="1"/>
    <w:rsid w:val="004E037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4E037A"/>
  </w:style>
  <w:style w:type="paragraph" w:styleId="Piedepgina">
    <w:name w:val="footer"/>
    <w:basedOn w:val="Normal"/>
    <w:link w:val="PiedepginaCar"/>
    <w:uiPriority w:val="99"/>
    <w:unhideWhenUsed w:val="1"/>
    <w:rsid w:val="004E037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4E037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57v/NKiEAsKRIqIeVp1+hNic8w==">CgMxLjA4AHIhMUZaUlBiRVB0WWFRSVZnVUhhVmxOcU9OOXQwX25fS2hY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2026-09-10T14:11:00Z</dcterms:created>
  <dc:creator>Nancy Montes</dc:creator>
</cp:coreProperties>
</file>