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F35770" w14:textId="77777777" w:rsidR="00856361" w:rsidRDefault="00C32BF3">
      <w:pPr>
        <w:pStyle w:val="Ttulo1"/>
        <w:keepNext w:val="0"/>
        <w:keepLines w:val="0"/>
        <w:shd w:val="clear" w:color="auto" w:fill="BFBFBF"/>
        <w:spacing w:before="480" w:after="120" w:line="240" w:lineRule="auto"/>
        <w:ind w:left="400"/>
        <w:jc w:val="center"/>
        <w:rPr>
          <w:rFonts w:ascii="Times New Roman" w:eastAsia="Times New Roman" w:hAnsi="Times New Roman" w:cs="Times New Roman"/>
          <w:b/>
          <w:bCs/>
          <w:color w:val="0E233D"/>
          <w:sz w:val="40"/>
          <w:szCs w:val="40"/>
        </w:rPr>
      </w:pPr>
      <w:bookmarkStart w:id="0" w:name="_heading=h.8gwxxcbbwigm" w:colFirst="0" w:colLast="0"/>
      <w:bookmarkEnd w:id="0"/>
      <w:r>
        <w:rPr>
          <w:rFonts w:ascii="Times New Roman" w:eastAsia="Times New Roman" w:hAnsi="Times New Roman" w:cs="Times New Roman"/>
          <w:b/>
          <w:bCs/>
          <w:color w:val="0E233D"/>
          <w:sz w:val="40"/>
          <w:szCs w:val="40"/>
        </w:rPr>
        <w:t>VI COLOQUIO DE INVESTIGACIÓN EDUCATIVA EN ARGENTINA</w:t>
      </w:r>
    </w:p>
    <w:p w14:paraId="7F6E4504" w14:textId="77777777" w:rsidR="00856361" w:rsidRDefault="00C32BF3">
      <w:pPr>
        <w:pStyle w:val="Ttulo1"/>
        <w:keepNext w:val="0"/>
        <w:keepLines w:val="0"/>
        <w:shd w:val="clear" w:color="auto" w:fill="BFBFBF"/>
        <w:spacing w:before="480" w:after="120" w:line="240" w:lineRule="auto"/>
        <w:ind w:left="400"/>
        <w:jc w:val="center"/>
        <w:rPr>
          <w:rFonts w:ascii="Times New Roman" w:eastAsia="Times New Roman" w:hAnsi="Times New Roman" w:cs="Times New Roman"/>
          <w:b/>
          <w:bCs/>
          <w:color w:val="404040"/>
          <w:sz w:val="40"/>
          <w:szCs w:val="40"/>
        </w:rPr>
      </w:pPr>
      <w:bookmarkStart w:id="1" w:name="_heading=h.y7ezshmcvsag" w:colFirst="0" w:colLast="0"/>
      <w:bookmarkEnd w:id="1"/>
      <w:r>
        <w:rPr>
          <w:rFonts w:ascii="Times New Roman" w:eastAsia="Times New Roman" w:hAnsi="Times New Roman" w:cs="Times New Roman"/>
          <w:b/>
          <w:bCs/>
          <w:color w:val="404040"/>
          <w:sz w:val="40"/>
          <w:szCs w:val="40"/>
        </w:rPr>
        <w:t xml:space="preserve"> Desafíos para la investigación educativa en escenarios de crisis. Construyendo comunidades y futuros posibles</w:t>
      </w:r>
    </w:p>
    <w:p w14:paraId="00FA4DF5" w14:textId="77777777" w:rsidR="00297297" w:rsidRDefault="00297297">
      <w:pPr>
        <w:pBdr>
          <w:top w:val="nil"/>
          <w:left w:val="nil"/>
          <w:bottom w:val="nil"/>
          <w:right w:val="nil"/>
          <w:between w:val="nil"/>
        </w:pBdr>
        <w:spacing w:line="360" w:lineRule="auto"/>
        <w:jc w:val="center"/>
        <w:rPr>
          <w:rFonts w:ascii="Times New Roman" w:eastAsia="Times New Roman" w:hAnsi="Times New Roman" w:cs="Times New Roman"/>
          <w:b/>
          <w:bCs/>
          <w:color w:val="3B3838"/>
          <w:sz w:val="24"/>
          <w:szCs w:val="24"/>
        </w:rPr>
      </w:pPr>
    </w:p>
    <w:p w14:paraId="6509E416" w14:textId="0EF8FC78" w:rsidR="00856361" w:rsidRPr="00297297" w:rsidRDefault="00C32BF3">
      <w:pPr>
        <w:pBdr>
          <w:top w:val="nil"/>
          <w:left w:val="nil"/>
          <w:bottom w:val="nil"/>
          <w:right w:val="nil"/>
          <w:between w:val="nil"/>
        </w:pBdr>
        <w:spacing w:line="360" w:lineRule="auto"/>
        <w:jc w:val="center"/>
        <w:rPr>
          <w:rFonts w:ascii="Times New Roman" w:eastAsia="Times New Roman" w:hAnsi="Times New Roman" w:cs="Times New Roman"/>
          <w:b/>
          <w:bCs/>
          <w:color w:val="3B3838"/>
          <w:sz w:val="24"/>
          <w:szCs w:val="24"/>
        </w:rPr>
      </w:pPr>
      <w:r w:rsidRPr="00297297">
        <w:rPr>
          <w:rFonts w:ascii="Times New Roman" w:eastAsia="Times New Roman" w:hAnsi="Times New Roman" w:cs="Times New Roman"/>
          <w:b/>
          <w:bCs/>
          <w:color w:val="3B3838"/>
          <w:sz w:val="24"/>
          <w:szCs w:val="24"/>
        </w:rPr>
        <w:t xml:space="preserve">Resumen Ampliado para Sesiones de </w:t>
      </w:r>
      <w:proofErr w:type="spellStart"/>
      <w:r w:rsidRPr="00297297">
        <w:rPr>
          <w:rFonts w:ascii="Times New Roman" w:eastAsia="Times New Roman" w:hAnsi="Times New Roman" w:cs="Times New Roman"/>
          <w:b/>
          <w:bCs/>
          <w:color w:val="3B3838"/>
          <w:sz w:val="24"/>
          <w:szCs w:val="24"/>
        </w:rPr>
        <w:t>ATs</w:t>
      </w:r>
      <w:proofErr w:type="spellEnd"/>
      <w:r w:rsidRPr="00297297">
        <w:rPr>
          <w:rFonts w:ascii="Times New Roman" w:eastAsia="Times New Roman" w:hAnsi="Times New Roman" w:cs="Times New Roman"/>
          <w:b/>
          <w:bCs/>
          <w:color w:val="3B3838"/>
          <w:sz w:val="24"/>
          <w:szCs w:val="24"/>
        </w:rPr>
        <w:t>/</w:t>
      </w:r>
      <w:proofErr w:type="spellStart"/>
      <w:r w:rsidRPr="00297297">
        <w:rPr>
          <w:rFonts w:ascii="Times New Roman" w:eastAsia="Times New Roman" w:hAnsi="Times New Roman" w:cs="Times New Roman"/>
          <w:b/>
          <w:bCs/>
          <w:color w:val="3B3838"/>
          <w:sz w:val="24"/>
          <w:szCs w:val="24"/>
        </w:rPr>
        <w:t>GTs</w:t>
      </w:r>
      <w:proofErr w:type="spellEnd"/>
    </w:p>
    <w:p w14:paraId="13D6CF99" w14:textId="5897232D" w:rsidR="00856361" w:rsidRPr="00E53345" w:rsidRDefault="00C32BF3">
      <w:pPr>
        <w:numPr>
          <w:ilvl w:val="0"/>
          <w:numId w:val="1"/>
        </w:numPr>
        <w:pBdr>
          <w:top w:val="nil"/>
          <w:left w:val="nil"/>
          <w:bottom w:val="nil"/>
          <w:right w:val="nil"/>
          <w:between w:val="nil"/>
        </w:pBdr>
        <w:spacing w:after="0" w:line="360" w:lineRule="auto"/>
        <w:ind w:left="0"/>
        <w:jc w:val="both"/>
        <w:rPr>
          <w:rFonts w:ascii="Times New Roman" w:eastAsia="Times New Roman" w:hAnsi="Times New Roman" w:cs="Times New Roman"/>
          <w:b/>
          <w:bCs/>
          <w:color w:val="3B3838"/>
          <w:sz w:val="24"/>
          <w:szCs w:val="24"/>
        </w:rPr>
      </w:pPr>
      <w:bookmarkStart w:id="2" w:name="_heading=h.gjdgxs" w:colFirst="0" w:colLast="0"/>
      <w:bookmarkEnd w:id="2"/>
      <w:r>
        <w:rPr>
          <w:rFonts w:ascii="Times New Roman" w:eastAsia="Times New Roman" w:hAnsi="Times New Roman" w:cs="Times New Roman"/>
          <w:b/>
          <w:bCs/>
          <w:color w:val="3B3838"/>
          <w:sz w:val="24"/>
          <w:szCs w:val="24"/>
        </w:rPr>
        <w:t>Área temática:</w:t>
      </w:r>
      <w:r w:rsidR="00724FAC">
        <w:rPr>
          <w:color w:val="000000"/>
        </w:rPr>
        <w:t xml:space="preserve"> </w:t>
      </w:r>
      <w:r w:rsidR="00724FAC" w:rsidRPr="00E53345">
        <w:rPr>
          <w:rFonts w:ascii="Times New Roman" w:hAnsi="Times New Roman" w:cs="Times New Roman"/>
          <w:color w:val="000000"/>
          <w:sz w:val="24"/>
          <w:szCs w:val="24"/>
        </w:rPr>
        <w:t>GT Usos de información estadística y acceso a datos públicos</w:t>
      </w:r>
    </w:p>
    <w:p w14:paraId="392D64C4" w14:textId="77777777" w:rsidR="00E53345" w:rsidRPr="00E53345" w:rsidRDefault="00E53345" w:rsidP="00E53345">
      <w:pPr>
        <w:pBdr>
          <w:top w:val="nil"/>
          <w:left w:val="nil"/>
          <w:bottom w:val="nil"/>
          <w:right w:val="nil"/>
          <w:between w:val="nil"/>
        </w:pBdr>
        <w:spacing w:after="0" w:line="360" w:lineRule="auto"/>
        <w:jc w:val="both"/>
        <w:rPr>
          <w:rFonts w:ascii="Times New Roman" w:eastAsia="Times New Roman" w:hAnsi="Times New Roman" w:cs="Times New Roman"/>
          <w:b/>
          <w:bCs/>
          <w:color w:val="3B3838"/>
          <w:sz w:val="24"/>
          <w:szCs w:val="24"/>
        </w:rPr>
      </w:pPr>
    </w:p>
    <w:p w14:paraId="32E6D209" w14:textId="085E0468" w:rsidR="00856361" w:rsidRPr="004B3E4A" w:rsidRDefault="00C32BF3">
      <w:pPr>
        <w:numPr>
          <w:ilvl w:val="0"/>
          <w:numId w:val="1"/>
        </w:numPr>
        <w:pBdr>
          <w:top w:val="nil"/>
          <w:left w:val="nil"/>
          <w:bottom w:val="nil"/>
          <w:right w:val="nil"/>
          <w:between w:val="nil"/>
        </w:pBdr>
        <w:spacing w:after="0" w:line="360" w:lineRule="auto"/>
        <w:ind w:left="0"/>
        <w:jc w:val="both"/>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3B3838"/>
          <w:sz w:val="24"/>
          <w:szCs w:val="24"/>
        </w:rPr>
        <w:t>Título del Trabajo:</w:t>
      </w:r>
      <w:r w:rsidR="00724FAC">
        <w:rPr>
          <w:rFonts w:ascii="Times New Roman" w:eastAsia="Times New Roman" w:hAnsi="Times New Roman" w:cs="Times New Roman"/>
          <w:b/>
          <w:bCs/>
          <w:color w:val="3B3838"/>
          <w:sz w:val="24"/>
          <w:szCs w:val="24"/>
        </w:rPr>
        <w:t xml:space="preserve"> </w:t>
      </w:r>
      <w:r w:rsidR="00BD59FE" w:rsidRPr="00BD59FE">
        <w:rPr>
          <w:rFonts w:ascii="Times New Roman" w:eastAsia="Times New Roman" w:hAnsi="Times New Roman" w:cs="Times New Roman"/>
          <w:color w:val="000000" w:themeColor="text1"/>
          <w:sz w:val="24"/>
          <w:szCs w:val="24"/>
        </w:rPr>
        <w:t>Las pruebas Aprender en la construcción de diagnósticos educativos provinciales: decisiones metodológicas, usos y límites de los indicadores</w:t>
      </w:r>
      <w:r w:rsidR="00DB615B" w:rsidRPr="00DB615B">
        <w:rPr>
          <w:rFonts w:ascii="Times New Roman" w:eastAsia="Times New Roman" w:hAnsi="Times New Roman" w:cs="Times New Roman"/>
          <w:color w:val="000000" w:themeColor="text1"/>
          <w:sz w:val="24"/>
          <w:szCs w:val="24"/>
        </w:rPr>
        <w:t>. El caso de Tucumán (2012-2024)</w:t>
      </w:r>
      <w:r w:rsidR="00DB615B">
        <w:rPr>
          <w:rFonts w:ascii="Times New Roman" w:eastAsia="Times New Roman" w:hAnsi="Times New Roman" w:cs="Times New Roman"/>
          <w:color w:val="000000" w:themeColor="text1"/>
          <w:sz w:val="24"/>
          <w:szCs w:val="24"/>
        </w:rPr>
        <w:t>.</w:t>
      </w:r>
    </w:p>
    <w:p w14:paraId="41E54A13" w14:textId="77777777" w:rsidR="00E53345" w:rsidRDefault="00E53345" w:rsidP="00E53345">
      <w:pPr>
        <w:pBdr>
          <w:top w:val="nil"/>
          <w:left w:val="nil"/>
          <w:bottom w:val="nil"/>
          <w:right w:val="nil"/>
          <w:between w:val="nil"/>
        </w:pBdr>
        <w:spacing w:after="0" w:line="360" w:lineRule="auto"/>
        <w:jc w:val="both"/>
        <w:rPr>
          <w:rFonts w:ascii="Times New Roman" w:eastAsia="Times New Roman" w:hAnsi="Times New Roman" w:cs="Times New Roman"/>
          <w:b/>
          <w:bCs/>
          <w:color w:val="3B3838"/>
          <w:sz w:val="24"/>
          <w:szCs w:val="24"/>
        </w:rPr>
      </w:pPr>
    </w:p>
    <w:p w14:paraId="02EA664A" w14:textId="77777777" w:rsidR="008A13D5" w:rsidRDefault="00C32BF3" w:rsidP="00297297">
      <w:pPr>
        <w:numPr>
          <w:ilvl w:val="0"/>
          <w:numId w:val="1"/>
        </w:numPr>
        <w:pBdr>
          <w:top w:val="nil"/>
          <w:left w:val="nil"/>
          <w:bottom w:val="nil"/>
          <w:right w:val="nil"/>
          <w:between w:val="nil"/>
        </w:pBdr>
        <w:spacing w:after="0" w:line="360" w:lineRule="auto"/>
        <w:ind w:left="0"/>
        <w:jc w:val="both"/>
        <w:rPr>
          <w:rFonts w:ascii="Times New Roman" w:eastAsia="Times New Roman" w:hAnsi="Times New Roman" w:cs="Times New Roman"/>
          <w:b/>
          <w:bCs/>
          <w:color w:val="3B3838"/>
          <w:sz w:val="24"/>
          <w:szCs w:val="24"/>
        </w:rPr>
      </w:pPr>
      <w:r>
        <w:rPr>
          <w:rFonts w:ascii="Times New Roman" w:eastAsia="Times New Roman" w:hAnsi="Times New Roman" w:cs="Times New Roman"/>
          <w:b/>
          <w:bCs/>
          <w:color w:val="3B3838"/>
          <w:sz w:val="24"/>
          <w:szCs w:val="24"/>
        </w:rPr>
        <w:t>Autor</w:t>
      </w:r>
      <w:r w:rsidR="00E53345">
        <w:rPr>
          <w:rFonts w:ascii="Times New Roman" w:eastAsia="Times New Roman" w:hAnsi="Times New Roman" w:cs="Times New Roman"/>
          <w:b/>
          <w:bCs/>
          <w:color w:val="3B3838"/>
          <w:sz w:val="24"/>
          <w:szCs w:val="24"/>
        </w:rPr>
        <w:t>a</w:t>
      </w:r>
      <w:r>
        <w:rPr>
          <w:rFonts w:ascii="Times New Roman" w:eastAsia="Times New Roman" w:hAnsi="Times New Roman" w:cs="Times New Roman"/>
          <w:b/>
          <w:bCs/>
          <w:color w:val="3B3838"/>
          <w:sz w:val="24"/>
          <w:szCs w:val="24"/>
        </w:rPr>
        <w:t>:</w:t>
      </w:r>
      <w:r w:rsidR="00297297">
        <w:rPr>
          <w:rFonts w:ascii="Times New Roman" w:eastAsia="Times New Roman" w:hAnsi="Times New Roman" w:cs="Times New Roman"/>
          <w:b/>
          <w:bCs/>
          <w:color w:val="3B3838"/>
          <w:sz w:val="24"/>
          <w:szCs w:val="24"/>
        </w:rPr>
        <w:t xml:space="preserve"> </w:t>
      </w:r>
    </w:p>
    <w:p w14:paraId="1863F49B" w14:textId="5CAA0E10" w:rsidR="00856361" w:rsidRPr="00297297" w:rsidRDefault="00E53345" w:rsidP="008A13D5">
      <w:pPr>
        <w:pBdr>
          <w:top w:val="nil"/>
          <w:left w:val="nil"/>
          <w:bottom w:val="nil"/>
          <w:right w:val="nil"/>
          <w:between w:val="nil"/>
        </w:pBdr>
        <w:spacing w:after="0" w:line="360" w:lineRule="auto"/>
        <w:jc w:val="both"/>
        <w:rPr>
          <w:rFonts w:ascii="Times New Roman" w:eastAsia="Times New Roman" w:hAnsi="Times New Roman" w:cs="Times New Roman"/>
          <w:b/>
          <w:bCs/>
          <w:color w:val="3B3838"/>
          <w:sz w:val="24"/>
          <w:szCs w:val="24"/>
        </w:rPr>
      </w:pPr>
      <w:r w:rsidRPr="008A13D5">
        <w:rPr>
          <w:rFonts w:ascii="Times New Roman" w:eastAsia="Times New Roman" w:hAnsi="Times New Roman" w:cs="Times New Roman"/>
          <w:b/>
          <w:bCs/>
          <w:color w:val="000000" w:themeColor="text1"/>
          <w:sz w:val="24"/>
          <w:szCs w:val="24"/>
        </w:rPr>
        <w:t>Más Rocha, Stella Maris</w:t>
      </w:r>
    </w:p>
    <w:p w14:paraId="201FFA06" w14:textId="7B231620" w:rsidR="00E53345" w:rsidRDefault="00E53345">
      <w:pPr>
        <w:spacing w:after="0" w:line="360" w:lineRule="auto"/>
        <w:jc w:val="both"/>
        <w:rPr>
          <w:rFonts w:ascii="Times New Roman" w:eastAsia="Times New Roman" w:hAnsi="Times New Roman" w:cs="Times New Roman"/>
          <w:color w:val="3B3838"/>
          <w:sz w:val="24"/>
          <w:szCs w:val="24"/>
        </w:rPr>
      </w:pPr>
      <w:r w:rsidRPr="004B3E4A">
        <w:rPr>
          <w:rFonts w:ascii="Times New Roman" w:eastAsia="Times New Roman" w:hAnsi="Times New Roman" w:cs="Times New Roman"/>
          <w:color w:val="000000" w:themeColor="text1"/>
          <w:sz w:val="24"/>
          <w:szCs w:val="24"/>
        </w:rPr>
        <w:t xml:space="preserve">Universidad Nacional de San Martín – </w:t>
      </w:r>
      <w:hyperlink r:id="rId9" w:history="1">
        <w:r w:rsidRPr="00C74FCF">
          <w:rPr>
            <w:rStyle w:val="Hipervnculo"/>
            <w:rFonts w:ascii="Times New Roman" w:eastAsia="Times New Roman" w:hAnsi="Times New Roman" w:cs="Times New Roman"/>
            <w:sz w:val="24"/>
            <w:szCs w:val="24"/>
          </w:rPr>
          <w:t>smas@unsam.edu.ar</w:t>
        </w:r>
      </w:hyperlink>
      <w:r w:rsidR="00F4391D" w:rsidRPr="00F4391D">
        <w:rPr>
          <w:rStyle w:val="Hipervnculo"/>
          <w:rFonts w:ascii="Times New Roman" w:eastAsia="Times New Roman" w:hAnsi="Times New Roman" w:cs="Times New Roman"/>
          <w:color w:val="auto"/>
          <w:sz w:val="24"/>
          <w:szCs w:val="24"/>
          <w:u w:val="none"/>
        </w:rPr>
        <w:t xml:space="preserve"> / </w:t>
      </w:r>
      <w:r w:rsidRPr="004B3E4A">
        <w:rPr>
          <w:rFonts w:ascii="Times New Roman" w:eastAsia="Times New Roman" w:hAnsi="Times New Roman" w:cs="Times New Roman"/>
          <w:color w:val="000000" w:themeColor="text1"/>
          <w:sz w:val="24"/>
          <w:szCs w:val="24"/>
        </w:rPr>
        <w:t xml:space="preserve">Universidad Nacional de Luján – </w:t>
      </w:r>
      <w:hyperlink r:id="rId10" w:history="1">
        <w:r w:rsidRPr="00C74FCF">
          <w:rPr>
            <w:rStyle w:val="Hipervnculo"/>
            <w:rFonts w:ascii="Times New Roman" w:eastAsia="Times New Roman" w:hAnsi="Times New Roman" w:cs="Times New Roman"/>
            <w:sz w:val="24"/>
            <w:szCs w:val="24"/>
          </w:rPr>
          <w:t>stellamasrocha@unlu.edu.ar</w:t>
        </w:r>
      </w:hyperlink>
    </w:p>
    <w:p w14:paraId="0820C980" w14:textId="77777777" w:rsidR="00E53345" w:rsidRDefault="00E53345">
      <w:pPr>
        <w:spacing w:after="0" w:line="360" w:lineRule="auto"/>
        <w:jc w:val="both"/>
        <w:rPr>
          <w:rFonts w:ascii="Times New Roman" w:eastAsia="Times New Roman" w:hAnsi="Times New Roman" w:cs="Times New Roman"/>
          <w:color w:val="3B3838"/>
          <w:sz w:val="24"/>
          <w:szCs w:val="24"/>
        </w:rPr>
      </w:pPr>
    </w:p>
    <w:p w14:paraId="4D73372A" w14:textId="13B3EBC3" w:rsidR="00856361" w:rsidRPr="004B3E4A" w:rsidRDefault="00C32BF3">
      <w:pPr>
        <w:numPr>
          <w:ilvl w:val="0"/>
          <w:numId w:val="1"/>
        </w:numPr>
        <w:pBdr>
          <w:top w:val="nil"/>
          <w:left w:val="nil"/>
          <w:bottom w:val="nil"/>
          <w:right w:val="nil"/>
          <w:between w:val="nil"/>
        </w:pBdr>
        <w:spacing w:after="0" w:line="360" w:lineRule="auto"/>
        <w:ind w:left="0"/>
        <w:jc w:val="both"/>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3B3838"/>
          <w:sz w:val="24"/>
          <w:szCs w:val="24"/>
        </w:rPr>
        <w:t>Título del Proyecto / identificación de la investigación e institución en la que se inscribe el trabajo:</w:t>
      </w:r>
      <w:r w:rsidR="00E53345">
        <w:rPr>
          <w:rFonts w:ascii="Times New Roman" w:eastAsia="Times New Roman" w:hAnsi="Times New Roman" w:cs="Times New Roman"/>
          <w:b/>
          <w:bCs/>
          <w:color w:val="3B3838"/>
          <w:sz w:val="24"/>
          <w:szCs w:val="24"/>
        </w:rPr>
        <w:t xml:space="preserve"> </w:t>
      </w:r>
      <w:r w:rsidR="00D704D2">
        <w:rPr>
          <w:rFonts w:ascii="Times New Roman" w:eastAsia="Times New Roman" w:hAnsi="Times New Roman" w:cs="Times New Roman"/>
          <w:sz w:val="24"/>
          <w:szCs w:val="24"/>
        </w:rPr>
        <w:t>D</w:t>
      </w:r>
      <w:r w:rsidR="00D704D2" w:rsidRPr="00D704D2">
        <w:rPr>
          <w:rFonts w:ascii="Times New Roman" w:eastAsia="Times New Roman" w:hAnsi="Times New Roman" w:cs="Times New Roman"/>
          <w:sz w:val="24"/>
          <w:szCs w:val="24"/>
        </w:rPr>
        <w:t xml:space="preserve">iagnóstico de la situación educativa de la provincia de Tucumán (2012-2024) </w:t>
      </w:r>
      <w:r w:rsidR="00E53345" w:rsidRPr="00D704D2">
        <w:rPr>
          <w:rFonts w:ascii="Times New Roman" w:eastAsia="Times New Roman" w:hAnsi="Times New Roman" w:cs="Times New Roman"/>
          <w:sz w:val="24"/>
          <w:szCs w:val="24"/>
        </w:rPr>
        <w:t>/ UNTREF-UNIPE</w:t>
      </w:r>
      <w:r w:rsidR="00D704D2">
        <w:rPr>
          <w:rFonts w:ascii="Times New Roman" w:eastAsia="Times New Roman" w:hAnsi="Times New Roman" w:cs="Times New Roman"/>
          <w:sz w:val="24"/>
          <w:szCs w:val="24"/>
        </w:rPr>
        <w:t>.</w:t>
      </w:r>
    </w:p>
    <w:p w14:paraId="58181ED2" w14:textId="77777777" w:rsidR="00856361" w:rsidRDefault="00856361">
      <w:pPr>
        <w:pBdr>
          <w:top w:val="nil"/>
          <w:left w:val="nil"/>
          <w:bottom w:val="nil"/>
          <w:right w:val="nil"/>
          <w:between w:val="nil"/>
        </w:pBdr>
        <w:spacing w:after="0" w:line="360" w:lineRule="auto"/>
        <w:jc w:val="both"/>
        <w:rPr>
          <w:rFonts w:ascii="Times New Roman" w:eastAsia="Times New Roman" w:hAnsi="Times New Roman" w:cs="Times New Roman"/>
          <w:b/>
          <w:bCs/>
          <w:color w:val="3B3838"/>
          <w:sz w:val="24"/>
          <w:szCs w:val="24"/>
        </w:rPr>
      </w:pPr>
    </w:p>
    <w:p w14:paraId="306352F4" w14:textId="233C1F1D" w:rsidR="00856361" w:rsidRPr="004B3E4A" w:rsidRDefault="00C32BF3">
      <w:pPr>
        <w:numPr>
          <w:ilvl w:val="0"/>
          <w:numId w:val="1"/>
        </w:numPr>
        <w:pBdr>
          <w:top w:val="nil"/>
          <w:left w:val="nil"/>
          <w:bottom w:val="nil"/>
          <w:right w:val="nil"/>
          <w:between w:val="nil"/>
        </w:pBdr>
        <w:spacing w:after="0" w:line="360" w:lineRule="auto"/>
        <w:ind w:left="0"/>
        <w:jc w:val="both"/>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3B3838"/>
          <w:sz w:val="24"/>
          <w:szCs w:val="24"/>
        </w:rPr>
        <w:t xml:space="preserve">Palabras clave: </w:t>
      </w:r>
      <w:r w:rsidR="00F4391D" w:rsidRPr="00BD0C66">
        <w:rPr>
          <w:rFonts w:ascii="Times New Roman" w:eastAsia="Times New Roman" w:hAnsi="Times New Roman" w:cs="Times New Roman"/>
          <w:sz w:val="24"/>
          <w:szCs w:val="24"/>
        </w:rPr>
        <w:t>diag</w:t>
      </w:r>
      <w:r w:rsidR="00F4391D" w:rsidRPr="00F4391D">
        <w:rPr>
          <w:rFonts w:ascii="Times New Roman" w:eastAsia="Times New Roman" w:hAnsi="Times New Roman" w:cs="Times New Roman"/>
          <w:color w:val="000000" w:themeColor="text1"/>
          <w:sz w:val="24"/>
          <w:szCs w:val="24"/>
        </w:rPr>
        <w:t>nóstico educativo</w:t>
      </w:r>
      <w:r w:rsidR="00F4391D">
        <w:rPr>
          <w:rFonts w:ascii="Times New Roman" w:eastAsia="Times New Roman" w:hAnsi="Times New Roman" w:cs="Times New Roman"/>
          <w:color w:val="000000" w:themeColor="text1"/>
          <w:sz w:val="24"/>
          <w:szCs w:val="24"/>
        </w:rPr>
        <w:t>,</w:t>
      </w:r>
      <w:r w:rsidR="00F4391D" w:rsidRPr="00F4391D">
        <w:rPr>
          <w:rFonts w:ascii="Times New Roman" w:eastAsia="Times New Roman" w:hAnsi="Times New Roman" w:cs="Times New Roman"/>
          <w:color w:val="000000" w:themeColor="text1"/>
          <w:sz w:val="24"/>
          <w:szCs w:val="24"/>
        </w:rPr>
        <w:t xml:space="preserve"> evaluaciones estandarizadas indicadores educativos</w:t>
      </w:r>
      <w:r w:rsidR="00F4391D">
        <w:rPr>
          <w:rFonts w:ascii="Times New Roman" w:eastAsia="Times New Roman" w:hAnsi="Times New Roman" w:cs="Times New Roman"/>
          <w:color w:val="000000" w:themeColor="text1"/>
          <w:sz w:val="24"/>
          <w:szCs w:val="24"/>
        </w:rPr>
        <w:t>,</w:t>
      </w:r>
      <w:r w:rsidR="00F4391D" w:rsidRPr="00F4391D">
        <w:rPr>
          <w:rFonts w:ascii="Times New Roman" w:eastAsia="Times New Roman" w:hAnsi="Times New Roman" w:cs="Times New Roman"/>
          <w:color w:val="000000" w:themeColor="text1"/>
          <w:sz w:val="24"/>
          <w:szCs w:val="24"/>
        </w:rPr>
        <w:t xml:space="preserve"> desigualdades educativas</w:t>
      </w:r>
      <w:r w:rsidR="00F4391D">
        <w:rPr>
          <w:rFonts w:ascii="Times New Roman" w:eastAsia="Times New Roman" w:hAnsi="Times New Roman" w:cs="Times New Roman"/>
          <w:color w:val="000000" w:themeColor="text1"/>
          <w:sz w:val="24"/>
          <w:szCs w:val="24"/>
        </w:rPr>
        <w:t xml:space="preserve">, escalas </w:t>
      </w:r>
      <w:r w:rsidR="00036B86">
        <w:rPr>
          <w:rFonts w:ascii="Times New Roman" w:eastAsia="Times New Roman" w:hAnsi="Times New Roman" w:cs="Times New Roman"/>
          <w:color w:val="000000" w:themeColor="text1"/>
          <w:sz w:val="24"/>
          <w:szCs w:val="24"/>
        </w:rPr>
        <w:t>territoriales</w:t>
      </w:r>
      <w:r w:rsidR="00F4391D">
        <w:rPr>
          <w:rFonts w:ascii="Times New Roman" w:eastAsia="Times New Roman" w:hAnsi="Times New Roman" w:cs="Times New Roman"/>
          <w:color w:val="000000" w:themeColor="text1"/>
          <w:sz w:val="24"/>
          <w:szCs w:val="24"/>
        </w:rPr>
        <w:t>.</w:t>
      </w:r>
    </w:p>
    <w:p w14:paraId="6D722D5C" w14:textId="4CD7C625" w:rsidR="00856361" w:rsidRDefault="00856361">
      <w:pPr>
        <w:pBdr>
          <w:top w:val="nil"/>
          <w:left w:val="nil"/>
          <w:bottom w:val="nil"/>
          <w:right w:val="nil"/>
          <w:between w:val="nil"/>
        </w:pBdr>
        <w:spacing w:after="0" w:line="360" w:lineRule="auto"/>
        <w:jc w:val="both"/>
        <w:rPr>
          <w:rFonts w:ascii="Times New Roman" w:eastAsia="Times New Roman" w:hAnsi="Times New Roman" w:cs="Times New Roman"/>
          <w:b/>
          <w:bCs/>
          <w:color w:val="3B3838"/>
          <w:sz w:val="24"/>
          <w:szCs w:val="24"/>
        </w:rPr>
      </w:pPr>
    </w:p>
    <w:p w14:paraId="0CD94FFD" w14:textId="07DE4886" w:rsidR="008A13D5" w:rsidRDefault="008A13D5">
      <w:pPr>
        <w:pBdr>
          <w:top w:val="nil"/>
          <w:left w:val="nil"/>
          <w:bottom w:val="nil"/>
          <w:right w:val="nil"/>
          <w:between w:val="nil"/>
        </w:pBdr>
        <w:spacing w:after="0" w:line="360" w:lineRule="auto"/>
        <w:jc w:val="both"/>
        <w:rPr>
          <w:rFonts w:ascii="Times New Roman" w:eastAsia="Times New Roman" w:hAnsi="Times New Roman" w:cs="Times New Roman"/>
          <w:b/>
          <w:bCs/>
          <w:color w:val="3B3838"/>
          <w:sz w:val="24"/>
          <w:szCs w:val="24"/>
        </w:rPr>
      </w:pPr>
    </w:p>
    <w:p w14:paraId="7590E537" w14:textId="77777777" w:rsidR="008A13D5" w:rsidRDefault="008A13D5">
      <w:pPr>
        <w:pBdr>
          <w:top w:val="nil"/>
          <w:left w:val="nil"/>
          <w:bottom w:val="nil"/>
          <w:right w:val="nil"/>
          <w:between w:val="nil"/>
        </w:pBdr>
        <w:spacing w:after="0" w:line="360" w:lineRule="auto"/>
        <w:jc w:val="both"/>
        <w:rPr>
          <w:rFonts w:ascii="Times New Roman" w:eastAsia="Times New Roman" w:hAnsi="Times New Roman" w:cs="Times New Roman"/>
          <w:b/>
          <w:bCs/>
          <w:color w:val="3B3838"/>
          <w:sz w:val="24"/>
          <w:szCs w:val="24"/>
        </w:rPr>
      </w:pPr>
    </w:p>
    <w:p w14:paraId="7BC8F335" w14:textId="19DBCB1F" w:rsidR="00E53345" w:rsidRPr="00113B80" w:rsidRDefault="00E53345" w:rsidP="00E53345">
      <w:pPr>
        <w:pStyle w:val="isselectedend"/>
        <w:spacing w:before="0" w:beforeAutospacing="0" w:after="0" w:afterAutospacing="0" w:line="360" w:lineRule="auto"/>
        <w:jc w:val="both"/>
        <w:rPr>
          <w:b/>
          <w:bCs/>
        </w:rPr>
      </w:pPr>
      <w:r w:rsidRPr="00113B80">
        <w:rPr>
          <w:b/>
          <w:bCs/>
        </w:rPr>
        <w:lastRenderedPageBreak/>
        <w:t>Introducción</w:t>
      </w:r>
    </w:p>
    <w:p w14:paraId="7A82BA16" w14:textId="600A5733" w:rsidR="00926E02" w:rsidRDefault="00523986" w:rsidP="004B7166">
      <w:pPr>
        <w:pStyle w:val="isselectedend"/>
        <w:spacing w:before="0" w:beforeAutospacing="0" w:after="0" w:afterAutospacing="0" w:line="360" w:lineRule="auto"/>
        <w:ind w:firstLine="708"/>
        <w:jc w:val="both"/>
      </w:pPr>
      <w:r w:rsidRPr="00523986">
        <w:t>En las últimas décadas, la producción de información estadística educativa adquirió una creciente relevancia para la investigación, la planificación y la evaluación de políticas públicas. La consolidación de sistemas de información y la disponibilidad de datos públicos ampliaron las posibilidades de elaborar diagnósticos sobre los sistemas educativos a distintas escalas territoriales (</w:t>
      </w:r>
      <w:proofErr w:type="spellStart"/>
      <w:r w:rsidRPr="00523986">
        <w:t>Suasnábar</w:t>
      </w:r>
      <w:proofErr w:type="spellEnd"/>
      <w:r w:rsidRPr="00523986">
        <w:t xml:space="preserve"> &amp; Valencia, 2022), pasando incluso de un enfoque basado en datos agregados y anuales hacia sistemas de información nominalizada y en tiempo real (</w:t>
      </w:r>
      <w:proofErr w:type="spellStart"/>
      <w:r w:rsidRPr="00523986">
        <w:t>Suasnábar</w:t>
      </w:r>
      <w:proofErr w:type="spellEnd"/>
      <w:r w:rsidRPr="00523986">
        <w:t xml:space="preserve"> &amp; Valencia, 2024). En este contexto, los indicadores se constituyen en herramientas centrales para describir tendencias, identificar problemas y producir evidencia para la gestión educativa</w:t>
      </w:r>
      <w:r w:rsidR="00926E02" w:rsidRPr="00926E02">
        <w:t>.</w:t>
      </w:r>
    </w:p>
    <w:p w14:paraId="5965EC27" w14:textId="216F3EDE" w:rsidR="00F4391D" w:rsidRDefault="00523986" w:rsidP="004B3E4A">
      <w:pPr>
        <w:pStyle w:val="isselectedend"/>
        <w:spacing w:before="0" w:beforeAutospacing="0" w:after="0" w:afterAutospacing="0" w:line="360" w:lineRule="auto"/>
        <w:ind w:firstLine="708"/>
        <w:jc w:val="both"/>
      </w:pPr>
      <w:r w:rsidRPr="00523986">
        <w:t xml:space="preserve">En el marco de esta expansión de los sistemas de información, las pruebas Aprender ocupan actualmente un lugar central dentro de los dispositivos de evaluación educativa en Argentina. Sus resultados son utilizados para monitorear aprendizajes, identificar brechas de desempeño y orientar procesos de planificación y toma de decisiones (Montes &amp; Valencia, 2021; </w:t>
      </w:r>
      <w:proofErr w:type="spellStart"/>
      <w:r w:rsidRPr="00523986">
        <w:t>Pinkasz</w:t>
      </w:r>
      <w:proofErr w:type="spellEnd"/>
      <w:r w:rsidRPr="00523986">
        <w:t xml:space="preserve">, 2021). </w:t>
      </w:r>
      <w:r w:rsidR="001F2A31">
        <w:t>Junto con ello</w:t>
      </w:r>
      <w:r w:rsidRPr="00523986">
        <w:t>, los cuestionarios complementarios aportan información sobre características sociales, institucionales y pedagógicas asociadas a los aprendizajes. Diversas investigaciones han señalado que los resultados de las evaluaciones estandarizadas adquieren mayor capacidad explicativa cuando son analizados junto con información relativa a los contextos en los que se producen los aprendizajes (Gutiérrez, 2017; UNICEF, 2023). En este sentido, una de las discusiones presentes en el campo de la evaluación educativa refiere a las posibilidades y limitaciones que ofrecen estas pruebas para comprender problemas educativos complejos y a la necesidad de articular sus resultados con otras fuentes de información estadística</w:t>
      </w:r>
      <w:r w:rsidR="00F4391D" w:rsidRPr="00F4391D">
        <w:t>.</w:t>
      </w:r>
    </w:p>
    <w:p w14:paraId="00B8ECCE" w14:textId="7E352F42" w:rsidR="004B3E4A" w:rsidRDefault="00523986" w:rsidP="004B3E4A">
      <w:pPr>
        <w:pStyle w:val="isselectedend"/>
        <w:spacing w:before="0" w:beforeAutospacing="0" w:after="0" w:afterAutospacing="0" w:line="360" w:lineRule="auto"/>
        <w:ind w:firstLine="708"/>
        <w:jc w:val="both"/>
      </w:pPr>
      <w:r w:rsidRPr="00523986">
        <w:t>La presente ponencia recupera una investigación previa orientada a elaborar un diagnóstico de la situación educativa de la provincia de Tucumán para el período 2012-2024. El trabajo se desarrolló en el marco de la Especialización en Estadísticas e Indicadores Educativos (UNTREF/UNIPE) a partir de información proveniente de diversas publicaciones y fuentes estadísticas elaboradas por organismos nacionales y provinciales. El diagnóstico consideró dimensiones vinculadas con el contexto social, la escolarización, las trayectorias educativas, los resultados de aprendizaje y los recursos destinados al sector educativo</w:t>
      </w:r>
      <w:r w:rsidR="004B3E4A" w:rsidRPr="00113B80">
        <w:t>.</w:t>
      </w:r>
    </w:p>
    <w:p w14:paraId="0D3B2D84" w14:textId="08EFB923" w:rsidR="00925A5A" w:rsidRDefault="00523986" w:rsidP="00925A5A">
      <w:pPr>
        <w:pStyle w:val="isselectedend"/>
        <w:spacing w:before="0" w:beforeAutospacing="0" w:after="0" w:afterAutospacing="0" w:line="360" w:lineRule="auto"/>
        <w:ind w:firstLine="708"/>
        <w:jc w:val="both"/>
      </w:pPr>
      <w:r w:rsidRPr="00523986">
        <w:lastRenderedPageBreak/>
        <w:t xml:space="preserve">Mientras la investigación original tuvo como propósito describir la situación educativa de la jurisdicción, esta presentación desplaza el foco hacia las decisiones metodológicas involucradas en la construcción del diagnóstico. En particular, analiza los aportes y las limitaciones de las pruebas Aprender para la comprensión de los problemas educativos provinciales y examina cómo la articulación entre resultados de aprendizaje, factores asociados, indicadores de contexto social y distintas escalas territoriales de análisis contribuye a construir interpretaciones más complejas sobre las desigualdades educativas. </w:t>
      </w:r>
    </w:p>
    <w:p w14:paraId="6F9E2983" w14:textId="77777777" w:rsidR="00D91E68" w:rsidRPr="00113B80" w:rsidRDefault="00D91E68" w:rsidP="00925A5A">
      <w:pPr>
        <w:pStyle w:val="isselectedend"/>
        <w:spacing w:before="0" w:beforeAutospacing="0" w:after="0" w:afterAutospacing="0" w:line="360" w:lineRule="auto"/>
        <w:ind w:firstLine="708"/>
        <w:jc w:val="both"/>
      </w:pPr>
    </w:p>
    <w:p w14:paraId="4D1973EC" w14:textId="77777777" w:rsidR="00E53345" w:rsidRPr="00123F74" w:rsidRDefault="00E53345" w:rsidP="00E53345">
      <w:pPr>
        <w:pStyle w:val="NormalWeb"/>
        <w:spacing w:before="0" w:beforeAutospacing="0" w:after="0" w:afterAutospacing="0" w:line="360" w:lineRule="auto"/>
        <w:jc w:val="both"/>
        <w:rPr>
          <w:b/>
          <w:bCs/>
        </w:rPr>
      </w:pPr>
      <w:r w:rsidRPr="00123F74">
        <w:rPr>
          <w:b/>
          <w:bCs/>
        </w:rPr>
        <w:t>Aspectos metodológicos</w:t>
      </w:r>
    </w:p>
    <w:p w14:paraId="70DC7970" w14:textId="77777777" w:rsidR="00523986" w:rsidRDefault="00523986" w:rsidP="00E53345">
      <w:pPr>
        <w:pStyle w:val="isselectedend"/>
        <w:spacing w:before="0" w:beforeAutospacing="0" w:after="0" w:afterAutospacing="0" w:line="360" w:lineRule="auto"/>
        <w:ind w:firstLine="708"/>
        <w:jc w:val="both"/>
      </w:pPr>
      <w:r w:rsidRPr="00523986">
        <w:t>El análisis de los sistemas educativos a partir de información estadística involucra decisiones conceptuales y metodológicas que condicionan aquello que puede observarse y las interpretaciones que se construyen sobre la realidad educativa. Los indicadores pueden entenderse como construcciones analíticas que permiten representar fenómenos complejos mediante procesos de selección, clasificación y síntesis de información (</w:t>
      </w:r>
      <w:proofErr w:type="spellStart"/>
      <w:r w:rsidRPr="00523986">
        <w:t>Scasso</w:t>
      </w:r>
      <w:proofErr w:type="spellEnd"/>
      <w:r w:rsidRPr="00523986">
        <w:t xml:space="preserve"> &amp; Claus, 2023). En consecuencia, no constituyen representaciones directas de la realidad, sino herramientas que vuelven observables determinados procesos mientras otros permanecen fuera del campo de observación (</w:t>
      </w:r>
      <w:proofErr w:type="spellStart"/>
      <w:r w:rsidRPr="00523986">
        <w:t>Morduchowicz</w:t>
      </w:r>
      <w:proofErr w:type="spellEnd"/>
      <w:r w:rsidRPr="00523986">
        <w:t>, 2018).</w:t>
      </w:r>
    </w:p>
    <w:p w14:paraId="5E49AB60" w14:textId="7FFC925E" w:rsidR="00925A5A" w:rsidRDefault="00523986" w:rsidP="00E53345">
      <w:pPr>
        <w:pStyle w:val="isselectedend"/>
        <w:spacing w:before="0" w:beforeAutospacing="0" w:after="0" w:afterAutospacing="0" w:line="360" w:lineRule="auto"/>
        <w:ind w:firstLine="708"/>
        <w:jc w:val="both"/>
      </w:pPr>
      <w:r w:rsidRPr="00523986">
        <w:t xml:space="preserve">La construcción de diagnósticos educativos requiere considerar múltiples dimensiones de análisis orientadas a transformar datos dispersos en herramientas capaces de iluminar problemas relevantes (Montes, 2022). Los procesos de escolarización, los aprendizajes y las trayectorias educativas se encuentran atravesados por factores sociales, económicos, institucionales y pedagógicos que difícilmente puedan comprenderse a partir de una única fuente de información. Esta perspectiva se encuentra presente en el Sistema Nacional de Indicadores Educativos, que propone analizar los sistemas educativos considerando simultáneamente el contexto en el que se desarrollan, los recursos disponibles, los procesos de escolarización y los resultados obtenidos (Ministerio de Educación, 2007; </w:t>
      </w:r>
      <w:proofErr w:type="spellStart"/>
      <w:r w:rsidRPr="00523986">
        <w:t>Dabegnino</w:t>
      </w:r>
      <w:proofErr w:type="spellEnd"/>
      <w:r w:rsidRPr="00523986">
        <w:t xml:space="preserve"> &amp; </w:t>
      </w:r>
      <w:proofErr w:type="spellStart"/>
      <w:r w:rsidRPr="00523986">
        <w:t>Bottinelli</w:t>
      </w:r>
      <w:proofErr w:type="spellEnd"/>
      <w:r w:rsidRPr="00523986">
        <w:t>, 2022).</w:t>
      </w:r>
    </w:p>
    <w:p w14:paraId="5DDEB7A2" w14:textId="598DE649" w:rsidR="00E53345" w:rsidRDefault="00523986" w:rsidP="00E53345">
      <w:pPr>
        <w:pStyle w:val="isselectedend"/>
        <w:spacing w:before="0" w:beforeAutospacing="0" w:after="0" w:afterAutospacing="0" w:line="360" w:lineRule="auto"/>
        <w:ind w:firstLine="708"/>
        <w:jc w:val="both"/>
      </w:pPr>
      <w:r w:rsidRPr="00523986">
        <w:t xml:space="preserve">La investigación que dio origen a esta ponencia se desarrolló a partir de un diseño descriptivo basado en el análisis de fuentes estadísticas públicas. El propósito consistió en reconstruir la situación educativa de la provincia de Tucumán durante el período 2012-2024 mediante un conjunto de indicadores organizados en torno a cuatro dimensiones: </w:t>
      </w:r>
      <w:r w:rsidRPr="00523986">
        <w:lastRenderedPageBreak/>
        <w:t>contexto sociodemográfico y socioeconómico, acceso y escolarización, trayectorias y resultados educativos, y recursos destinados a la educación. Las principales fuentes utilizadas fueron el Relevamiento Anual (RA) de la Secretaría de Educación de la Nación, el Sistema Integrado de Consulta de Datos e Indicadores Educativos (SICDIE), las pruebas Aprender, el Censo Nacional de Población, Hogares y Viviendas, la Encuesta Permanente de Hogares, los datos de la Coordinación General de Estudio de Costos del Sistema Educativo y diversas publicaciones elaboradas por organismos nacionales y provinciales. El trabajo se complementó con la revisión de normativa, informes técnicos, investigaciones sobre la situación educativa de Tucumán y documentos de planificación</w:t>
      </w:r>
      <w:r w:rsidR="00E53345" w:rsidRPr="00113B80">
        <w:t>.</w:t>
      </w:r>
    </w:p>
    <w:p w14:paraId="50589311" w14:textId="6CD6C3C3" w:rsidR="00925A5A" w:rsidRDefault="00523986" w:rsidP="00E53345">
      <w:pPr>
        <w:pStyle w:val="isselectedend"/>
        <w:spacing w:before="0" w:beforeAutospacing="0" w:after="0" w:afterAutospacing="0" w:line="360" w:lineRule="auto"/>
        <w:ind w:firstLine="708"/>
        <w:jc w:val="both"/>
      </w:pPr>
      <w:r w:rsidRPr="00523986">
        <w:t>La estrategia analítica se basó en la triangulación de fuentes estadísticas producidas por distintos organismos y referidas a dimensiones diversas del sistema educativo. Los resultados de aprendizaje obtenidos a través de las pruebas Aprender fueron puestos en relación con indicadores de contexto social, condiciones de vida, trayectorias educativas y recursos escolares. Asimismo, se incorporó información proveniente de los cuestionarios complementarios de Aprender, particularmente aquella vinculada con el nivel socioeconómico de los estudiantes. Esta decisión metodológica permitió examinar los desempeños en función de los contextos territoriales y sociales en los que se producen e identificar regularidades que no resultan visibles cuando cada fuente es considerada por separado</w:t>
      </w:r>
      <w:r w:rsidR="00925A5A" w:rsidRPr="00925A5A">
        <w:t>.</w:t>
      </w:r>
    </w:p>
    <w:p w14:paraId="4437B41E" w14:textId="0BA65849" w:rsidR="00E53345" w:rsidRDefault="00523986" w:rsidP="00E53345">
      <w:pPr>
        <w:pStyle w:val="isselectedend"/>
        <w:spacing w:before="0" w:beforeAutospacing="0" w:after="0" w:afterAutospacing="0" w:line="360" w:lineRule="auto"/>
        <w:ind w:firstLine="708"/>
        <w:jc w:val="both"/>
      </w:pPr>
      <w:r w:rsidRPr="00523986">
        <w:t>El análisis combinó distintas escalas territoriales de observación. Los indicadores correspondientes a Tucumán fueron examinados en relación con la situación de las provincias que integran el NOA y, cuando la información disponible lo permitió, se incorporaron desagregaciones departamentales. Esta estrategia permitió identificar tanto tendencias generales del sistema educativo provincial como desigualdades territoriales que permanecen invisibles en los datos agregado</w:t>
      </w:r>
      <w:r w:rsidR="00E60222">
        <w:t>s</w:t>
      </w:r>
      <w:r w:rsidR="00E53345" w:rsidRPr="00113B80">
        <w:t>.</w:t>
      </w:r>
    </w:p>
    <w:p w14:paraId="7F295033" w14:textId="38F34B88" w:rsidR="00E53345" w:rsidRDefault="00523986" w:rsidP="00E53345">
      <w:pPr>
        <w:pStyle w:val="isselectedend"/>
        <w:spacing w:before="0" w:beforeAutospacing="0" w:after="0" w:afterAutospacing="0" w:line="360" w:lineRule="auto"/>
        <w:ind w:firstLine="708"/>
        <w:jc w:val="both"/>
      </w:pPr>
      <w:r w:rsidRPr="00523986">
        <w:t>La presente ponencia recupera ese proceso de investigación y centra la atención en los aportes y limitaciones de las pruebas Aprender para la construcción de diagnósticos educativos provinciales.</w:t>
      </w:r>
    </w:p>
    <w:p w14:paraId="76C210A9" w14:textId="77777777" w:rsidR="00925A5A" w:rsidRDefault="00925A5A" w:rsidP="00E53345">
      <w:pPr>
        <w:pStyle w:val="isselectedend"/>
        <w:spacing w:before="0" w:beforeAutospacing="0" w:after="0" w:afterAutospacing="0" w:line="360" w:lineRule="auto"/>
        <w:ind w:firstLine="708"/>
        <w:jc w:val="both"/>
      </w:pPr>
    </w:p>
    <w:p w14:paraId="6EF6B028" w14:textId="77777777" w:rsidR="00E53345" w:rsidRPr="00123F74" w:rsidRDefault="00E53345" w:rsidP="00E53345">
      <w:pPr>
        <w:pStyle w:val="isselectedend"/>
        <w:spacing w:before="0" w:beforeAutospacing="0" w:after="0" w:afterAutospacing="0" w:line="360" w:lineRule="auto"/>
        <w:jc w:val="both"/>
        <w:rPr>
          <w:b/>
          <w:bCs/>
        </w:rPr>
      </w:pPr>
      <w:r w:rsidRPr="00123F74">
        <w:rPr>
          <w:b/>
          <w:bCs/>
        </w:rPr>
        <w:t>Hallazgos</w:t>
      </w:r>
    </w:p>
    <w:p w14:paraId="08D0E3A6" w14:textId="6582623A" w:rsidR="00E53345" w:rsidRDefault="000B0590" w:rsidP="00E53345">
      <w:pPr>
        <w:pStyle w:val="isselectedend"/>
        <w:spacing w:before="0" w:beforeAutospacing="0" w:after="0" w:afterAutospacing="0" w:line="360" w:lineRule="auto"/>
        <w:ind w:firstLine="720"/>
        <w:jc w:val="both"/>
      </w:pPr>
      <w:r w:rsidRPr="000B0590">
        <w:lastRenderedPageBreak/>
        <w:t>A partir de la experiencia en Tucumán, los hallazgos se estructuran en dos ejes conceptuales: la implicancia de las escalas territoriales de análisis y los aportes de la triangulación de fuentes para construir diagnósticos integrales</w:t>
      </w:r>
      <w:r w:rsidR="00E53345" w:rsidRPr="00E53345">
        <w:t>.</w:t>
      </w:r>
    </w:p>
    <w:p w14:paraId="42E76EA4" w14:textId="77777777" w:rsidR="00E53345" w:rsidRDefault="00E53345" w:rsidP="00E53345">
      <w:pPr>
        <w:pStyle w:val="isselectedend"/>
        <w:spacing w:before="0" w:beforeAutospacing="0" w:after="0" w:afterAutospacing="0" w:line="360" w:lineRule="auto"/>
        <w:jc w:val="both"/>
      </w:pPr>
    </w:p>
    <w:p w14:paraId="50BA072F" w14:textId="77777777" w:rsidR="00E53345" w:rsidRPr="00113B80" w:rsidRDefault="00E53345" w:rsidP="00E53345">
      <w:pPr>
        <w:pStyle w:val="isselectedend"/>
        <w:spacing w:before="0" w:beforeAutospacing="0" w:after="0" w:afterAutospacing="0" w:line="360" w:lineRule="auto"/>
        <w:jc w:val="both"/>
        <w:rPr>
          <w:i/>
          <w:iCs/>
        </w:rPr>
      </w:pPr>
      <w:r w:rsidRPr="00113B80">
        <w:rPr>
          <w:i/>
          <w:iCs/>
        </w:rPr>
        <w:t>Las escalas de análisis y la interpretación de los resultados de aprendizaje</w:t>
      </w:r>
    </w:p>
    <w:p w14:paraId="0BB2728A" w14:textId="20C52AF8" w:rsidR="00E53345" w:rsidRDefault="00363294" w:rsidP="00E53345">
      <w:pPr>
        <w:pStyle w:val="isselectedend"/>
        <w:spacing w:before="0" w:beforeAutospacing="0" w:after="0" w:afterAutospacing="0" w:line="360" w:lineRule="auto"/>
        <w:ind w:firstLine="708"/>
        <w:jc w:val="both"/>
      </w:pPr>
      <w:r w:rsidRPr="00363294">
        <w:t>Una de las principales cuestiones que emergió durante la elaboración del diagnóstico educativo de Tucumán refiere a las implicancias que tienen las escalas de análisis en la interpretación de los indicadores. La información agregada a nivel provincial resulta indispensable para describir tendencias generales, realizar comparaciones temporales y situar a la jurisdicción en relación con la región o el país. Sin embargo, esas tendencias adquieren significados diferentes cuando se incorporan niveles más desagregados de observación</w:t>
      </w:r>
      <w:r w:rsidR="00E53345" w:rsidRPr="00113B80">
        <w:t>.</w:t>
      </w:r>
    </w:p>
    <w:p w14:paraId="57E0D127" w14:textId="50A5DECF" w:rsidR="00E53345" w:rsidRDefault="00196161" w:rsidP="00E53345">
      <w:pPr>
        <w:pStyle w:val="isselectedend"/>
        <w:spacing w:before="0" w:beforeAutospacing="0" w:after="0" w:afterAutospacing="0" w:line="360" w:lineRule="auto"/>
        <w:ind w:firstLine="708"/>
        <w:jc w:val="both"/>
      </w:pPr>
      <w:r>
        <w:t>V</w:t>
      </w:r>
      <w:r w:rsidR="00E53345" w:rsidRPr="00113B80">
        <w:t xml:space="preserve">arios indicadores </w:t>
      </w:r>
      <w:r w:rsidR="00260BC2">
        <w:t>socio</w:t>
      </w:r>
      <w:r w:rsidR="00E53345" w:rsidRPr="00113B80">
        <w:t xml:space="preserve">educativos de Tucumán </w:t>
      </w:r>
      <w:r w:rsidR="003176F3">
        <w:t>(</w:t>
      </w:r>
      <w:r w:rsidR="003176F3" w:rsidRPr="003176F3">
        <w:t>como los niveles de NBI, la pobreza por ingresos, el desempleo juvenil y las tasas de escolarización</w:t>
      </w:r>
      <w:r w:rsidR="003176F3">
        <w:t xml:space="preserve"> y de no asistencia) </w:t>
      </w:r>
      <w:r w:rsidR="00E53345" w:rsidRPr="00113B80">
        <w:t>presentan comportamientos relativamente próximos a los promedios regionales del NOA</w:t>
      </w:r>
      <w:r w:rsidR="00655CA4">
        <w:t xml:space="preserve">, </w:t>
      </w:r>
      <w:r w:rsidR="003176F3">
        <w:t>incluyendo</w:t>
      </w:r>
      <w:r w:rsidR="001F2A31">
        <w:t xml:space="preserve"> los logros de aprendizaje. </w:t>
      </w:r>
      <w:r w:rsidR="006319A5">
        <w:t xml:space="preserve">Sin embargo, </w:t>
      </w:r>
      <w:r w:rsidR="003176F3" w:rsidRPr="003176F3">
        <w:t xml:space="preserve">este alineamiento </w:t>
      </w:r>
      <w:r w:rsidR="003176F3">
        <w:t>se modifica</w:t>
      </w:r>
      <w:r w:rsidR="003176F3" w:rsidRPr="003176F3">
        <w:t xml:space="preserve"> en la dimensión del financiamiento educativo, donde la jurisdicción se distancia de la situación regional al registrar el gasto por alumno y los salarios docentes más bajos del país</w:t>
      </w:r>
      <w:r w:rsidR="003176F3">
        <w:t xml:space="preserve">. Esto se complejiza al </w:t>
      </w:r>
      <w:r w:rsidR="00E53345" w:rsidRPr="00113B80">
        <w:t>incorpora</w:t>
      </w:r>
      <w:r w:rsidR="003176F3">
        <w:t>r</w:t>
      </w:r>
      <w:r w:rsidR="00E53345" w:rsidRPr="00113B80">
        <w:t xml:space="preserve"> información departamental </w:t>
      </w:r>
      <w:r w:rsidR="003176F3">
        <w:t>ya que se advierten</w:t>
      </w:r>
      <w:r w:rsidR="00E53345" w:rsidRPr="00113B80">
        <w:t xml:space="preserve"> diferencias territoriales vinculadas con las condiciones socioeconómicas</w:t>
      </w:r>
      <w:r w:rsidR="00363294">
        <w:t xml:space="preserve"> y educativas de la población</w:t>
      </w:r>
      <w:r w:rsidR="00E53345" w:rsidRPr="00113B80">
        <w:t xml:space="preserve">. </w:t>
      </w:r>
      <w:r>
        <w:t>Así</w:t>
      </w:r>
      <w:r w:rsidR="00E53345" w:rsidRPr="00113B80">
        <w:t xml:space="preserve">, la provincia </w:t>
      </w:r>
      <w:r w:rsidR="00363294">
        <w:t>se configura</w:t>
      </w:r>
      <w:r w:rsidR="00E53345" w:rsidRPr="00113B80">
        <w:t xml:space="preserve"> como un espacio atravesado por desigualdades internas de considerable magnitud. Esta heterogeneidad se observa con claridad en indicadores socioeconómicos: mientras Yerba Buena registra un Índice de Calidad de Vida </w:t>
      </w:r>
      <w:r>
        <w:t>(</w:t>
      </w:r>
      <w:proofErr w:type="spellStart"/>
      <w:r>
        <w:t>Celemin</w:t>
      </w:r>
      <w:proofErr w:type="spellEnd"/>
      <w:r>
        <w:t xml:space="preserve"> </w:t>
      </w:r>
      <w:r w:rsidRPr="00196161">
        <w:rPr>
          <w:i/>
          <w:iCs/>
        </w:rPr>
        <w:t>et al</w:t>
      </w:r>
      <w:r>
        <w:t xml:space="preserve">., 2025) </w:t>
      </w:r>
      <w:r w:rsidR="00E53345" w:rsidRPr="00113B80">
        <w:t xml:space="preserve">de 8,68 y ocupa el tercer puesto entre 513 unidades territoriales del país, Graneros alcanza un valor de 4,22 y se ubica en la posición 467. Del mismo modo, el Índice de Contexto Social de la Educación (ICSE) muestra situaciones contrastantes entre departamentos como Yerba Buena (0,16) y </w:t>
      </w:r>
      <w:proofErr w:type="spellStart"/>
      <w:r w:rsidR="00E53345" w:rsidRPr="00113B80">
        <w:t>Burruyacú</w:t>
      </w:r>
      <w:proofErr w:type="spellEnd"/>
      <w:r w:rsidR="00E53345" w:rsidRPr="00113B80">
        <w:t xml:space="preserve"> (0,40), lo que evidencia </w:t>
      </w:r>
      <w:r w:rsidR="00363294">
        <w:t>q</w:t>
      </w:r>
      <w:r w:rsidR="00363294" w:rsidRPr="00363294">
        <w:t xml:space="preserve">ue los estudiantes </w:t>
      </w:r>
      <w:r w:rsidR="00363294">
        <w:t>de la provincia</w:t>
      </w:r>
      <w:r w:rsidR="00363294" w:rsidRPr="00363294">
        <w:t xml:space="preserve"> transitan su escolaridad en contextos sociales muy diferentes, aun cuando forman parte de un mismo sistema </w:t>
      </w:r>
      <w:r w:rsidR="00363294">
        <w:t>educativo</w:t>
      </w:r>
      <w:r w:rsidR="005827A2">
        <w:t xml:space="preserve"> (MCH, 2025)</w:t>
      </w:r>
      <w:r w:rsidR="00E53345" w:rsidRPr="00113B80">
        <w:t>.</w:t>
      </w:r>
    </w:p>
    <w:p w14:paraId="3A2CBA57" w14:textId="77777777" w:rsidR="006319A5" w:rsidRDefault="006319A5" w:rsidP="006319A5">
      <w:pPr>
        <w:pStyle w:val="isselectedend"/>
        <w:spacing w:before="0" w:beforeAutospacing="0" w:after="0" w:afterAutospacing="0" w:line="360" w:lineRule="auto"/>
        <w:jc w:val="both"/>
      </w:pPr>
    </w:p>
    <w:tbl>
      <w:tblPr>
        <w:tblStyle w:val="Tablaconcuadrcula"/>
        <w:tblW w:w="8157" w:type="dxa"/>
        <w:tblLayout w:type="fixed"/>
        <w:tblLook w:val="04A0" w:firstRow="1" w:lastRow="0" w:firstColumn="1" w:lastColumn="0" w:noHBand="0" w:noVBand="1"/>
      </w:tblPr>
      <w:tblGrid>
        <w:gridCol w:w="4917"/>
        <w:gridCol w:w="3240"/>
      </w:tblGrid>
      <w:tr w:rsidR="001F3D37" w:rsidRPr="00B74B6E" w14:paraId="1DC61DE3" w14:textId="77777777" w:rsidTr="001F3D37">
        <w:trPr>
          <w:trHeight w:val="7038"/>
        </w:trPr>
        <w:tc>
          <w:tcPr>
            <w:tcW w:w="4917" w:type="dxa"/>
            <w:tcBorders>
              <w:top w:val="nil"/>
              <w:left w:val="nil"/>
              <w:bottom w:val="nil"/>
              <w:right w:val="nil"/>
            </w:tcBorders>
          </w:tcPr>
          <w:p w14:paraId="2735EED9" w14:textId="77777777" w:rsidR="001F3D37" w:rsidRPr="00B74B6E" w:rsidRDefault="001F3D37" w:rsidP="00413F08">
            <w:pPr>
              <w:pStyle w:val="Descripcin"/>
              <w:keepNext/>
              <w:rPr>
                <w:rFonts w:ascii="Arial" w:hAnsi="Arial" w:cs="Arial"/>
                <w:b w:val="0"/>
                <w:bCs w:val="0"/>
                <w:smallCaps w:val="0"/>
                <w:color w:val="002060"/>
                <w:sz w:val="20"/>
                <w:szCs w:val="20"/>
              </w:rPr>
            </w:pPr>
            <w:bookmarkStart w:id="3" w:name="_Toc227339429"/>
            <w:r w:rsidRPr="00B74B6E">
              <w:rPr>
                <w:rFonts w:ascii="Times New Roman" w:hAnsi="Times New Roman" w:cs="Times New Roman"/>
                <w:smallCaps w:val="0"/>
                <w:color w:val="002060"/>
                <w:sz w:val="20"/>
                <w:szCs w:val="20"/>
              </w:rPr>
              <w:lastRenderedPageBreak/>
              <w:t xml:space="preserve">Cuadro </w:t>
            </w:r>
            <w:r w:rsidRPr="00B74B6E">
              <w:rPr>
                <w:rFonts w:ascii="Times New Roman" w:hAnsi="Times New Roman" w:cs="Times New Roman"/>
                <w:smallCaps w:val="0"/>
                <w:color w:val="002060"/>
                <w:sz w:val="20"/>
                <w:szCs w:val="20"/>
              </w:rPr>
              <w:fldChar w:fldCharType="begin"/>
            </w:r>
            <w:r w:rsidRPr="00B74B6E">
              <w:rPr>
                <w:rFonts w:ascii="Times New Roman" w:hAnsi="Times New Roman" w:cs="Times New Roman"/>
                <w:smallCaps w:val="0"/>
                <w:color w:val="002060"/>
                <w:sz w:val="20"/>
                <w:szCs w:val="20"/>
              </w:rPr>
              <w:instrText xml:space="preserve"> SEQ Cuadro \* ARABIC </w:instrText>
            </w:r>
            <w:r w:rsidRPr="00B74B6E">
              <w:rPr>
                <w:rFonts w:ascii="Times New Roman" w:hAnsi="Times New Roman" w:cs="Times New Roman"/>
                <w:smallCaps w:val="0"/>
                <w:color w:val="002060"/>
                <w:sz w:val="20"/>
                <w:szCs w:val="20"/>
              </w:rPr>
              <w:fldChar w:fldCharType="separate"/>
            </w:r>
            <w:r w:rsidRPr="00B74B6E">
              <w:rPr>
                <w:rFonts w:ascii="Times New Roman" w:hAnsi="Times New Roman" w:cs="Times New Roman"/>
                <w:smallCaps w:val="0"/>
                <w:noProof/>
                <w:color w:val="002060"/>
                <w:sz w:val="20"/>
                <w:szCs w:val="20"/>
              </w:rPr>
              <w:t>1</w:t>
            </w:r>
            <w:r w:rsidRPr="00B74B6E">
              <w:rPr>
                <w:rFonts w:ascii="Times New Roman" w:hAnsi="Times New Roman" w:cs="Times New Roman"/>
                <w:smallCaps w:val="0"/>
                <w:color w:val="002060"/>
                <w:sz w:val="20"/>
                <w:szCs w:val="20"/>
              </w:rPr>
              <w:fldChar w:fldCharType="end"/>
            </w:r>
            <w:r w:rsidRPr="00B74B6E">
              <w:rPr>
                <w:rFonts w:ascii="Times New Roman" w:hAnsi="Times New Roman" w:cs="Times New Roman"/>
                <w:bCs w:val="0"/>
                <w:smallCaps w:val="0"/>
                <w:color w:val="002060"/>
                <w:sz w:val="20"/>
                <w:szCs w:val="20"/>
              </w:rPr>
              <w:t>:</w:t>
            </w:r>
            <w:r w:rsidRPr="00B74B6E">
              <w:rPr>
                <w:rFonts w:ascii="Times New Roman" w:hAnsi="Times New Roman" w:cs="Times New Roman"/>
                <w:b w:val="0"/>
                <w:bCs w:val="0"/>
                <w:smallCaps w:val="0"/>
                <w:color w:val="002060"/>
                <w:sz w:val="20"/>
                <w:szCs w:val="20"/>
              </w:rPr>
              <w:t xml:space="preserve"> Índice de Calidad de Vida, rankings provinciales, regional (NOA) y nacional, según departamentos. Tucumán, 2022</w:t>
            </w:r>
            <w:r w:rsidRPr="00B74B6E">
              <w:rPr>
                <w:rFonts w:ascii="Arial" w:hAnsi="Arial" w:cs="Arial"/>
                <w:b w:val="0"/>
                <w:bCs w:val="0"/>
                <w:smallCaps w:val="0"/>
                <w:color w:val="002060"/>
                <w:sz w:val="20"/>
                <w:szCs w:val="20"/>
              </w:rPr>
              <w:t>.</w:t>
            </w:r>
            <w:bookmarkEnd w:id="3"/>
          </w:p>
          <w:tbl>
            <w:tblPr>
              <w:tblStyle w:val="Tablaconcuadrcula"/>
              <w:tblW w:w="4582" w:type="dxa"/>
              <w:tblLayout w:type="fixed"/>
              <w:tblLook w:val="04A0" w:firstRow="1" w:lastRow="0" w:firstColumn="1" w:lastColumn="0" w:noHBand="0" w:noVBand="1"/>
            </w:tblPr>
            <w:tblGrid>
              <w:gridCol w:w="1223"/>
              <w:gridCol w:w="721"/>
              <w:gridCol w:w="958"/>
              <w:gridCol w:w="840"/>
              <w:gridCol w:w="840"/>
            </w:tblGrid>
            <w:tr w:rsidR="001F3D37" w:rsidRPr="00B74B6E" w14:paraId="6157ABBB" w14:textId="77777777" w:rsidTr="001F3D37">
              <w:trPr>
                <w:cantSplit/>
                <w:trHeight w:val="858"/>
              </w:trPr>
              <w:tc>
                <w:tcPr>
                  <w:tcW w:w="122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noWrap/>
                  <w:vAlign w:val="center"/>
                  <w:hideMark/>
                </w:tcPr>
                <w:p w14:paraId="5B18D14D" w14:textId="77777777" w:rsidR="001F3D37" w:rsidRPr="00B74B6E" w:rsidRDefault="001F3D37" w:rsidP="00413F08">
                  <w:pPr>
                    <w:jc w:val="center"/>
                    <w:rPr>
                      <w:rFonts w:asciiTheme="minorHAnsi" w:eastAsia="Times New Roman" w:hAnsiTheme="minorHAnsi" w:cstheme="minorHAnsi"/>
                      <w:b/>
                      <w:bCs/>
                      <w:color w:val="FFFFFF" w:themeColor="background1"/>
                      <w:sz w:val="18"/>
                      <w:szCs w:val="18"/>
                    </w:rPr>
                  </w:pPr>
                  <w:r w:rsidRPr="00B74B6E">
                    <w:rPr>
                      <w:rFonts w:asciiTheme="minorHAnsi" w:eastAsia="Times New Roman" w:hAnsiTheme="minorHAnsi" w:cstheme="minorHAnsi"/>
                      <w:b/>
                      <w:bCs/>
                      <w:color w:val="FFFFFF" w:themeColor="background1"/>
                      <w:sz w:val="18"/>
                      <w:szCs w:val="18"/>
                    </w:rPr>
                    <w:t>Departamento</w:t>
                  </w:r>
                </w:p>
              </w:tc>
              <w:tc>
                <w:tcPr>
                  <w:tcW w:w="72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vAlign w:val="center"/>
                  <w:hideMark/>
                </w:tcPr>
                <w:p w14:paraId="622258FA" w14:textId="77777777" w:rsidR="001F3D37" w:rsidRPr="00B74B6E" w:rsidRDefault="001F3D37" w:rsidP="00413F08">
                  <w:pPr>
                    <w:jc w:val="center"/>
                    <w:rPr>
                      <w:rFonts w:asciiTheme="minorHAnsi" w:eastAsia="Times New Roman" w:hAnsiTheme="minorHAnsi" w:cstheme="minorHAnsi"/>
                      <w:b/>
                      <w:bCs/>
                      <w:color w:val="FFFFFF" w:themeColor="background1"/>
                      <w:sz w:val="18"/>
                      <w:szCs w:val="18"/>
                    </w:rPr>
                  </w:pPr>
                  <w:r w:rsidRPr="00B74B6E">
                    <w:rPr>
                      <w:rFonts w:asciiTheme="minorHAnsi" w:eastAsia="Times New Roman" w:hAnsiTheme="minorHAnsi" w:cstheme="minorHAnsi"/>
                      <w:b/>
                      <w:bCs/>
                      <w:color w:val="FFFFFF" w:themeColor="background1"/>
                      <w:sz w:val="18"/>
                      <w:szCs w:val="18"/>
                    </w:rPr>
                    <w:t>ICV</w:t>
                  </w:r>
                </w:p>
              </w:tc>
              <w:tc>
                <w:tcPr>
                  <w:tcW w:w="95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vAlign w:val="center"/>
                  <w:hideMark/>
                </w:tcPr>
                <w:p w14:paraId="5ABC5F23" w14:textId="77777777" w:rsidR="001F3D37" w:rsidRPr="00B74B6E" w:rsidRDefault="001F3D37" w:rsidP="00413F08">
                  <w:pPr>
                    <w:jc w:val="center"/>
                    <w:rPr>
                      <w:rFonts w:asciiTheme="minorHAnsi" w:eastAsia="Times New Roman" w:hAnsiTheme="minorHAnsi" w:cstheme="minorHAnsi"/>
                      <w:b/>
                      <w:bCs/>
                      <w:color w:val="FFFFFF" w:themeColor="background1"/>
                      <w:sz w:val="18"/>
                      <w:szCs w:val="18"/>
                    </w:rPr>
                  </w:pPr>
                  <w:r w:rsidRPr="00B74B6E">
                    <w:rPr>
                      <w:rFonts w:asciiTheme="minorHAnsi" w:eastAsia="Times New Roman" w:hAnsiTheme="minorHAnsi" w:cstheme="minorHAnsi"/>
                      <w:b/>
                      <w:bCs/>
                      <w:color w:val="FFFFFF" w:themeColor="background1"/>
                      <w:sz w:val="18"/>
                      <w:szCs w:val="18"/>
                    </w:rPr>
                    <w:t>Ranking provincial / 17</w:t>
                  </w:r>
                </w:p>
              </w:tc>
              <w:tc>
                <w:tcPr>
                  <w:tcW w:w="8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vAlign w:val="center"/>
                </w:tcPr>
                <w:p w14:paraId="079AA646" w14:textId="77777777" w:rsidR="001F3D37" w:rsidRPr="00B74B6E" w:rsidRDefault="001F3D37" w:rsidP="00413F08">
                  <w:pPr>
                    <w:jc w:val="center"/>
                    <w:rPr>
                      <w:rFonts w:asciiTheme="minorHAnsi" w:eastAsia="Times New Roman" w:hAnsiTheme="minorHAnsi" w:cstheme="minorHAnsi"/>
                      <w:b/>
                      <w:bCs/>
                      <w:color w:val="FFFFFF" w:themeColor="background1"/>
                      <w:sz w:val="18"/>
                      <w:szCs w:val="18"/>
                    </w:rPr>
                  </w:pPr>
                  <w:r w:rsidRPr="00B74B6E">
                    <w:rPr>
                      <w:rFonts w:asciiTheme="minorHAnsi" w:eastAsia="Times New Roman" w:hAnsiTheme="minorHAnsi" w:cstheme="minorHAnsi"/>
                      <w:b/>
                      <w:bCs/>
                      <w:color w:val="FFFFFF" w:themeColor="background1"/>
                      <w:sz w:val="18"/>
                      <w:szCs w:val="18"/>
                    </w:rPr>
                    <w:t>Ranking NOA / 117</w:t>
                  </w:r>
                </w:p>
              </w:tc>
              <w:tc>
                <w:tcPr>
                  <w:tcW w:w="8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vAlign w:val="center"/>
                  <w:hideMark/>
                </w:tcPr>
                <w:p w14:paraId="52E975C3" w14:textId="77777777" w:rsidR="001F3D37" w:rsidRPr="00B74B6E" w:rsidRDefault="001F3D37" w:rsidP="00413F08">
                  <w:pPr>
                    <w:jc w:val="center"/>
                    <w:rPr>
                      <w:rFonts w:asciiTheme="minorHAnsi" w:eastAsia="Times New Roman" w:hAnsiTheme="minorHAnsi" w:cstheme="minorHAnsi"/>
                      <w:b/>
                      <w:bCs/>
                      <w:color w:val="FFFFFF" w:themeColor="background1"/>
                      <w:sz w:val="18"/>
                      <w:szCs w:val="18"/>
                    </w:rPr>
                  </w:pPr>
                  <w:r w:rsidRPr="00B74B6E">
                    <w:rPr>
                      <w:rFonts w:asciiTheme="minorHAnsi" w:eastAsia="Times New Roman" w:hAnsiTheme="minorHAnsi" w:cstheme="minorHAnsi"/>
                      <w:b/>
                      <w:bCs/>
                      <w:color w:val="FFFFFF" w:themeColor="background1"/>
                      <w:sz w:val="18"/>
                      <w:szCs w:val="18"/>
                    </w:rPr>
                    <w:t>Ranking Nacional / 513</w:t>
                  </w:r>
                </w:p>
              </w:tc>
            </w:tr>
            <w:tr w:rsidR="001F3D37" w:rsidRPr="00B74B6E" w14:paraId="1261663A" w14:textId="77777777" w:rsidTr="001F3D37">
              <w:trPr>
                <w:cantSplit/>
                <w:trHeight w:val="266"/>
              </w:trPr>
              <w:tc>
                <w:tcPr>
                  <w:tcW w:w="122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CC2E5" w:themeFill="accent1" w:themeFillTint="99"/>
                  <w:noWrap/>
                  <w:hideMark/>
                </w:tcPr>
                <w:p w14:paraId="7B64025E" w14:textId="77777777" w:rsidR="001F3D37" w:rsidRPr="00B74B6E" w:rsidRDefault="001F3D37" w:rsidP="00413F08">
                  <w:pPr>
                    <w:jc w:val="both"/>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Yerba Buena</w:t>
                  </w:r>
                </w:p>
              </w:tc>
              <w:tc>
                <w:tcPr>
                  <w:tcW w:w="721" w:type="dxa"/>
                  <w:tcBorders>
                    <w:top w:val="single" w:sz="4" w:space="0" w:color="FFFFFF" w:themeColor="background1"/>
                    <w:left w:val="single" w:sz="4" w:space="0" w:color="FFFFFF" w:themeColor="background1"/>
                    <w:bottom w:val="single" w:sz="4" w:space="0" w:color="8EAADB" w:themeColor="accent5" w:themeTint="99"/>
                    <w:right w:val="single" w:sz="4" w:space="0" w:color="8EAADB" w:themeColor="accent5" w:themeTint="99"/>
                  </w:tcBorders>
                  <w:noWrap/>
                  <w:hideMark/>
                </w:tcPr>
                <w:p w14:paraId="46BBBD65" w14:textId="77777777" w:rsidR="001F3D37" w:rsidRPr="00B74B6E" w:rsidRDefault="001F3D37" w:rsidP="00413F08">
                  <w:pPr>
                    <w:jc w:val="right"/>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8,677</w:t>
                  </w:r>
                </w:p>
              </w:tc>
              <w:tc>
                <w:tcPr>
                  <w:tcW w:w="958" w:type="dxa"/>
                  <w:tcBorders>
                    <w:top w:val="single" w:sz="4" w:space="0" w:color="FFFFFF" w:themeColor="background1"/>
                    <w:left w:val="single" w:sz="4" w:space="0" w:color="8EAADB" w:themeColor="accent5" w:themeTint="99"/>
                    <w:bottom w:val="single" w:sz="4" w:space="0" w:color="8EAADB" w:themeColor="accent5" w:themeTint="99"/>
                    <w:right w:val="single" w:sz="4" w:space="0" w:color="8EAADB" w:themeColor="accent5" w:themeTint="99"/>
                  </w:tcBorders>
                  <w:noWrap/>
                  <w:hideMark/>
                </w:tcPr>
                <w:p w14:paraId="2B5D9F3D" w14:textId="77777777" w:rsidR="001F3D37" w:rsidRPr="00B74B6E" w:rsidRDefault="001F3D37" w:rsidP="00413F08">
                  <w:pPr>
                    <w:jc w:val="right"/>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1°</w:t>
                  </w:r>
                </w:p>
              </w:tc>
              <w:tc>
                <w:tcPr>
                  <w:tcW w:w="840" w:type="dxa"/>
                  <w:tcBorders>
                    <w:top w:val="single" w:sz="4" w:space="0" w:color="FFFFFF" w:themeColor="background1"/>
                    <w:left w:val="single" w:sz="4" w:space="0" w:color="8EAADB" w:themeColor="accent5" w:themeTint="99"/>
                    <w:bottom w:val="single" w:sz="4" w:space="0" w:color="8EAADB" w:themeColor="accent5" w:themeTint="99"/>
                    <w:right w:val="single" w:sz="4" w:space="0" w:color="8EAADB" w:themeColor="accent5" w:themeTint="99"/>
                  </w:tcBorders>
                </w:tcPr>
                <w:p w14:paraId="41B2AEF1" w14:textId="77777777" w:rsidR="001F3D37" w:rsidRPr="00B74B6E" w:rsidRDefault="001F3D37" w:rsidP="00413F08">
                  <w:pPr>
                    <w:jc w:val="right"/>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1°</w:t>
                  </w:r>
                </w:p>
              </w:tc>
              <w:tc>
                <w:tcPr>
                  <w:tcW w:w="840" w:type="dxa"/>
                  <w:tcBorders>
                    <w:top w:val="single" w:sz="4" w:space="0" w:color="FFFFFF" w:themeColor="background1"/>
                    <w:left w:val="single" w:sz="4" w:space="0" w:color="8EAADB" w:themeColor="accent5" w:themeTint="99"/>
                    <w:bottom w:val="single" w:sz="4" w:space="0" w:color="8EAADB" w:themeColor="accent5" w:themeTint="99"/>
                    <w:right w:val="single" w:sz="4" w:space="0" w:color="8EAADB" w:themeColor="accent5" w:themeTint="99"/>
                  </w:tcBorders>
                  <w:noWrap/>
                  <w:hideMark/>
                </w:tcPr>
                <w:p w14:paraId="7EEE2DD6" w14:textId="77777777" w:rsidR="001F3D37" w:rsidRPr="00B74B6E" w:rsidRDefault="001F3D37" w:rsidP="00413F08">
                  <w:pPr>
                    <w:jc w:val="right"/>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3°</w:t>
                  </w:r>
                </w:p>
              </w:tc>
            </w:tr>
            <w:tr w:rsidR="001F3D37" w:rsidRPr="00B74B6E" w14:paraId="3BD9D026" w14:textId="77777777" w:rsidTr="001F3D37">
              <w:trPr>
                <w:cantSplit/>
                <w:trHeight w:val="285"/>
              </w:trPr>
              <w:tc>
                <w:tcPr>
                  <w:tcW w:w="122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CC2E5" w:themeFill="accent1" w:themeFillTint="99"/>
                  <w:noWrap/>
                  <w:hideMark/>
                </w:tcPr>
                <w:p w14:paraId="3D9B7FBC" w14:textId="77777777" w:rsidR="001F3D37" w:rsidRPr="00B74B6E" w:rsidRDefault="001F3D37" w:rsidP="00413F08">
                  <w:pPr>
                    <w:jc w:val="both"/>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Capital</w:t>
                  </w:r>
                </w:p>
              </w:tc>
              <w:tc>
                <w:tcPr>
                  <w:tcW w:w="721" w:type="dxa"/>
                  <w:tcBorders>
                    <w:top w:val="single" w:sz="4" w:space="0" w:color="8EAADB" w:themeColor="accent5" w:themeTint="99"/>
                    <w:left w:val="single" w:sz="4" w:space="0" w:color="FFFFFF" w:themeColor="background1"/>
                    <w:bottom w:val="single" w:sz="4" w:space="0" w:color="8EAADB" w:themeColor="accent5" w:themeTint="99"/>
                    <w:right w:val="single" w:sz="4" w:space="0" w:color="8EAADB" w:themeColor="accent5" w:themeTint="99"/>
                  </w:tcBorders>
                  <w:noWrap/>
                  <w:hideMark/>
                </w:tcPr>
                <w:p w14:paraId="11801FC6" w14:textId="77777777" w:rsidR="001F3D37" w:rsidRPr="00B74B6E" w:rsidRDefault="001F3D37" w:rsidP="00413F08">
                  <w:pPr>
                    <w:jc w:val="right"/>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7,157</w:t>
                  </w:r>
                </w:p>
              </w:tc>
              <w:tc>
                <w:tcPr>
                  <w:tcW w:w="958" w:type="dxa"/>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noWrap/>
                  <w:hideMark/>
                </w:tcPr>
                <w:p w14:paraId="7B4FA58D" w14:textId="77777777" w:rsidR="001F3D37" w:rsidRPr="00B74B6E" w:rsidRDefault="001F3D37" w:rsidP="00413F08">
                  <w:pPr>
                    <w:jc w:val="right"/>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2°</w:t>
                  </w:r>
                </w:p>
              </w:tc>
              <w:tc>
                <w:tcPr>
                  <w:tcW w:w="840" w:type="dxa"/>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tcPr>
                <w:p w14:paraId="398EFC06" w14:textId="77777777" w:rsidR="001F3D37" w:rsidRPr="00B74B6E" w:rsidRDefault="001F3D37" w:rsidP="00413F08">
                  <w:pPr>
                    <w:jc w:val="right"/>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9°</w:t>
                  </w:r>
                </w:p>
              </w:tc>
              <w:tc>
                <w:tcPr>
                  <w:tcW w:w="840" w:type="dxa"/>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noWrap/>
                  <w:hideMark/>
                </w:tcPr>
                <w:p w14:paraId="3D6737F0" w14:textId="77777777" w:rsidR="001F3D37" w:rsidRPr="00B74B6E" w:rsidRDefault="001F3D37" w:rsidP="00413F08">
                  <w:pPr>
                    <w:jc w:val="right"/>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65°</w:t>
                  </w:r>
                </w:p>
              </w:tc>
            </w:tr>
            <w:tr w:rsidR="001F3D37" w:rsidRPr="00B74B6E" w14:paraId="7EF5ED6C" w14:textId="77777777" w:rsidTr="001F3D37">
              <w:trPr>
                <w:cantSplit/>
                <w:trHeight w:val="266"/>
              </w:trPr>
              <w:tc>
                <w:tcPr>
                  <w:tcW w:w="122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CC2E5" w:themeFill="accent1" w:themeFillTint="99"/>
                  <w:noWrap/>
                  <w:hideMark/>
                </w:tcPr>
                <w:p w14:paraId="2E13131A" w14:textId="77777777" w:rsidR="001F3D37" w:rsidRPr="00B74B6E" w:rsidRDefault="001F3D37" w:rsidP="00413F08">
                  <w:pPr>
                    <w:jc w:val="both"/>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Tafí del Valle</w:t>
                  </w:r>
                </w:p>
              </w:tc>
              <w:tc>
                <w:tcPr>
                  <w:tcW w:w="721" w:type="dxa"/>
                  <w:tcBorders>
                    <w:top w:val="single" w:sz="4" w:space="0" w:color="8EAADB" w:themeColor="accent5" w:themeTint="99"/>
                    <w:left w:val="single" w:sz="4" w:space="0" w:color="FFFFFF" w:themeColor="background1"/>
                    <w:bottom w:val="single" w:sz="4" w:space="0" w:color="8EAADB" w:themeColor="accent5" w:themeTint="99"/>
                    <w:right w:val="single" w:sz="4" w:space="0" w:color="8EAADB" w:themeColor="accent5" w:themeTint="99"/>
                  </w:tcBorders>
                  <w:noWrap/>
                  <w:hideMark/>
                </w:tcPr>
                <w:p w14:paraId="2CD0A95C" w14:textId="77777777" w:rsidR="001F3D37" w:rsidRPr="00B74B6E" w:rsidRDefault="001F3D37" w:rsidP="00413F08">
                  <w:pPr>
                    <w:jc w:val="right"/>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7,077</w:t>
                  </w:r>
                </w:p>
              </w:tc>
              <w:tc>
                <w:tcPr>
                  <w:tcW w:w="958" w:type="dxa"/>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noWrap/>
                  <w:hideMark/>
                </w:tcPr>
                <w:p w14:paraId="5BFDEAE3" w14:textId="77777777" w:rsidR="001F3D37" w:rsidRPr="00B74B6E" w:rsidRDefault="001F3D37" w:rsidP="00413F08">
                  <w:pPr>
                    <w:jc w:val="right"/>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3°</w:t>
                  </w:r>
                </w:p>
              </w:tc>
              <w:tc>
                <w:tcPr>
                  <w:tcW w:w="840" w:type="dxa"/>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tcPr>
                <w:p w14:paraId="3728F6B5" w14:textId="77777777" w:rsidR="001F3D37" w:rsidRPr="00B74B6E" w:rsidRDefault="001F3D37" w:rsidP="00413F08">
                  <w:pPr>
                    <w:jc w:val="right"/>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14°</w:t>
                  </w:r>
                </w:p>
              </w:tc>
              <w:tc>
                <w:tcPr>
                  <w:tcW w:w="840" w:type="dxa"/>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noWrap/>
                  <w:hideMark/>
                </w:tcPr>
                <w:p w14:paraId="398D5B57" w14:textId="77777777" w:rsidR="001F3D37" w:rsidRPr="00B74B6E" w:rsidRDefault="001F3D37" w:rsidP="00413F08">
                  <w:pPr>
                    <w:jc w:val="right"/>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72°</w:t>
                  </w:r>
                </w:p>
              </w:tc>
            </w:tr>
            <w:tr w:rsidR="001F3D37" w:rsidRPr="00B74B6E" w14:paraId="0440E267" w14:textId="77777777" w:rsidTr="001F3D37">
              <w:trPr>
                <w:cantSplit/>
                <w:trHeight w:val="266"/>
              </w:trPr>
              <w:tc>
                <w:tcPr>
                  <w:tcW w:w="122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CC2E5" w:themeFill="accent1" w:themeFillTint="99"/>
                  <w:noWrap/>
                  <w:hideMark/>
                </w:tcPr>
                <w:p w14:paraId="3BA239C0" w14:textId="77777777" w:rsidR="001F3D37" w:rsidRPr="00B74B6E" w:rsidRDefault="001F3D37" w:rsidP="00413F08">
                  <w:pPr>
                    <w:jc w:val="both"/>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Tafí Viejo</w:t>
                  </w:r>
                </w:p>
              </w:tc>
              <w:tc>
                <w:tcPr>
                  <w:tcW w:w="721" w:type="dxa"/>
                  <w:tcBorders>
                    <w:top w:val="single" w:sz="4" w:space="0" w:color="8EAADB" w:themeColor="accent5" w:themeTint="99"/>
                    <w:left w:val="single" w:sz="4" w:space="0" w:color="FFFFFF" w:themeColor="background1"/>
                    <w:bottom w:val="single" w:sz="4" w:space="0" w:color="8EAADB" w:themeColor="accent5" w:themeTint="99"/>
                    <w:right w:val="single" w:sz="4" w:space="0" w:color="8EAADB" w:themeColor="accent5" w:themeTint="99"/>
                  </w:tcBorders>
                  <w:noWrap/>
                  <w:hideMark/>
                </w:tcPr>
                <w:p w14:paraId="598E5BC8" w14:textId="77777777" w:rsidR="001F3D37" w:rsidRPr="00B74B6E" w:rsidRDefault="001F3D37" w:rsidP="00413F08">
                  <w:pPr>
                    <w:jc w:val="right"/>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6,630</w:t>
                  </w:r>
                </w:p>
              </w:tc>
              <w:tc>
                <w:tcPr>
                  <w:tcW w:w="958" w:type="dxa"/>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noWrap/>
                  <w:hideMark/>
                </w:tcPr>
                <w:p w14:paraId="4563EA1D" w14:textId="77777777" w:rsidR="001F3D37" w:rsidRPr="00B74B6E" w:rsidRDefault="001F3D37" w:rsidP="00413F08">
                  <w:pPr>
                    <w:jc w:val="right"/>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4°</w:t>
                  </w:r>
                </w:p>
              </w:tc>
              <w:tc>
                <w:tcPr>
                  <w:tcW w:w="840" w:type="dxa"/>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tcPr>
                <w:p w14:paraId="251927F0" w14:textId="77777777" w:rsidR="001F3D37" w:rsidRPr="00B74B6E" w:rsidRDefault="001F3D37" w:rsidP="00413F08">
                  <w:pPr>
                    <w:jc w:val="right"/>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29°</w:t>
                  </w:r>
                </w:p>
              </w:tc>
              <w:tc>
                <w:tcPr>
                  <w:tcW w:w="840" w:type="dxa"/>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noWrap/>
                  <w:hideMark/>
                </w:tcPr>
                <w:p w14:paraId="511DEE04" w14:textId="77777777" w:rsidR="001F3D37" w:rsidRPr="00B74B6E" w:rsidRDefault="001F3D37" w:rsidP="00413F08">
                  <w:pPr>
                    <w:jc w:val="right"/>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128°</w:t>
                  </w:r>
                </w:p>
              </w:tc>
            </w:tr>
            <w:tr w:rsidR="001F3D37" w:rsidRPr="00B74B6E" w14:paraId="1038B25D" w14:textId="77777777" w:rsidTr="001F3D37">
              <w:trPr>
                <w:cantSplit/>
                <w:trHeight w:val="266"/>
              </w:trPr>
              <w:tc>
                <w:tcPr>
                  <w:tcW w:w="122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CC2E5" w:themeFill="accent1" w:themeFillTint="99"/>
                  <w:noWrap/>
                  <w:hideMark/>
                </w:tcPr>
                <w:p w14:paraId="483A3FD1" w14:textId="77777777" w:rsidR="001F3D37" w:rsidRPr="00B74B6E" w:rsidRDefault="001F3D37" w:rsidP="00413F08">
                  <w:pPr>
                    <w:jc w:val="both"/>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Lules</w:t>
                  </w:r>
                </w:p>
              </w:tc>
              <w:tc>
                <w:tcPr>
                  <w:tcW w:w="721" w:type="dxa"/>
                  <w:tcBorders>
                    <w:top w:val="single" w:sz="4" w:space="0" w:color="8EAADB" w:themeColor="accent5" w:themeTint="99"/>
                    <w:left w:val="single" w:sz="4" w:space="0" w:color="FFFFFF" w:themeColor="background1"/>
                    <w:bottom w:val="single" w:sz="4" w:space="0" w:color="8EAADB" w:themeColor="accent5" w:themeTint="99"/>
                    <w:right w:val="single" w:sz="4" w:space="0" w:color="8EAADB" w:themeColor="accent5" w:themeTint="99"/>
                  </w:tcBorders>
                  <w:noWrap/>
                  <w:hideMark/>
                </w:tcPr>
                <w:p w14:paraId="7DAF09D1" w14:textId="77777777" w:rsidR="001F3D37" w:rsidRPr="00B74B6E" w:rsidRDefault="001F3D37" w:rsidP="00413F08">
                  <w:pPr>
                    <w:jc w:val="right"/>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6,419</w:t>
                  </w:r>
                </w:p>
              </w:tc>
              <w:tc>
                <w:tcPr>
                  <w:tcW w:w="958" w:type="dxa"/>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noWrap/>
                  <w:hideMark/>
                </w:tcPr>
                <w:p w14:paraId="3F188F69" w14:textId="77777777" w:rsidR="001F3D37" w:rsidRPr="00B74B6E" w:rsidRDefault="001F3D37" w:rsidP="00413F08">
                  <w:pPr>
                    <w:jc w:val="right"/>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5°</w:t>
                  </w:r>
                </w:p>
              </w:tc>
              <w:tc>
                <w:tcPr>
                  <w:tcW w:w="840" w:type="dxa"/>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tcPr>
                <w:p w14:paraId="2C428BFB" w14:textId="77777777" w:rsidR="001F3D37" w:rsidRPr="00B74B6E" w:rsidRDefault="001F3D37" w:rsidP="00413F08">
                  <w:pPr>
                    <w:jc w:val="right"/>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36°</w:t>
                  </w:r>
                </w:p>
              </w:tc>
              <w:tc>
                <w:tcPr>
                  <w:tcW w:w="840" w:type="dxa"/>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noWrap/>
                  <w:hideMark/>
                </w:tcPr>
                <w:p w14:paraId="1000F80D" w14:textId="77777777" w:rsidR="001F3D37" w:rsidRPr="00B74B6E" w:rsidRDefault="001F3D37" w:rsidP="00413F08">
                  <w:pPr>
                    <w:jc w:val="right"/>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162°</w:t>
                  </w:r>
                </w:p>
              </w:tc>
            </w:tr>
            <w:tr w:rsidR="001F3D37" w:rsidRPr="00B74B6E" w14:paraId="599772D2" w14:textId="77777777" w:rsidTr="001F3D37">
              <w:trPr>
                <w:cantSplit/>
                <w:trHeight w:val="333"/>
              </w:trPr>
              <w:tc>
                <w:tcPr>
                  <w:tcW w:w="122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CC2E5" w:themeFill="accent1" w:themeFillTint="99"/>
                  <w:noWrap/>
                  <w:hideMark/>
                </w:tcPr>
                <w:p w14:paraId="6A1F50A1" w14:textId="77777777" w:rsidR="001F3D37" w:rsidRPr="00B74B6E" w:rsidRDefault="001F3D37" w:rsidP="00413F08">
                  <w:pPr>
                    <w:jc w:val="both"/>
                    <w:rPr>
                      <w:rFonts w:asciiTheme="minorHAnsi" w:eastAsia="Times New Roman" w:hAnsiTheme="minorHAnsi" w:cstheme="minorHAnsi"/>
                      <w:color w:val="000000"/>
                      <w:sz w:val="18"/>
                      <w:szCs w:val="18"/>
                    </w:rPr>
                  </w:pPr>
                  <w:proofErr w:type="spellStart"/>
                  <w:r w:rsidRPr="00B74B6E">
                    <w:rPr>
                      <w:rFonts w:asciiTheme="minorHAnsi" w:eastAsia="Times New Roman" w:hAnsiTheme="minorHAnsi" w:cstheme="minorHAnsi"/>
                      <w:color w:val="000000"/>
                      <w:sz w:val="18"/>
                      <w:szCs w:val="18"/>
                    </w:rPr>
                    <w:t>Chicligasta</w:t>
                  </w:r>
                  <w:proofErr w:type="spellEnd"/>
                </w:p>
              </w:tc>
              <w:tc>
                <w:tcPr>
                  <w:tcW w:w="721" w:type="dxa"/>
                  <w:tcBorders>
                    <w:top w:val="single" w:sz="4" w:space="0" w:color="8EAADB" w:themeColor="accent5" w:themeTint="99"/>
                    <w:left w:val="single" w:sz="4" w:space="0" w:color="FFFFFF" w:themeColor="background1"/>
                    <w:bottom w:val="single" w:sz="4" w:space="0" w:color="8EAADB" w:themeColor="accent5" w:themeTint="99"/>
                    <w:right w:val="single" w:sz="4" w:space="0" w:color="8EAADB" w:themeColor="accent5" w:themeTint="99"/>
                  </w:tcBorders>
                  <w:noWrap/>
                  <w:hideMark/>
                </w:tcPr>
                <w:p w14:paraId="4E652F31" w14:textId="77777777" w:rsidR="001F3D37" w:rsidRPr="00B74B6E" w:rsidRDefault="001F3D37" w:rsidP="00413F08">
                  <w:pPr>
                    <w:jc w:val="right"/>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6,142</w:t>
                  </w:r>
                </w:p>
              </w:tc>
              <w:tc>
                <w:tcPr>
                  <w:tcW w:w="958" w:type="dxa"/>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noWrap/>
                  <w:hideMark/>
                </w:tcPr>
                <w:p w14:paraId="1AD04A90" w14:textId="77777777" w:rsidR="001F3D37" w:rsidRPr="00B74B6E" w:rsidRDefault="001F3D37" w:rsidP="00413F08">
                  <w:pPr>
                    <w:jc w:val="right"/>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6°</w:t>
                  </w:r>
                </w:p>
              </w:tc>
              <w:tc>
                <w:tcPr>
                  <w:tcW w:w="840" w:type="dxa"/>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tcPr>
                <w:p w14:paraId="43C92F09" w14:textId="77777777" w:rsidR="001F3D37" w:rsidRPr="00B74B6E" w:rsidRDefault="001F3D37" w:rsidP="00413F08">
                  <w:pPr>
                    <w:jc w:val="right"/>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49°</w:t>
                  </w:r>
                </w:p>
              </w:tc>
              <w:tc>
                <w:tcPr>
                  <w:tcW w:w="840" w:type="dxa"/>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noWrap/>
                  <w:hideMark/>
                </w:tcPr>
                <w:p w14:paraId="181E3301" w14:textId="77777777" w:rsidR="001F3D37" w:rsidRPr="00B74B6E" w:rsidRDefault="001F3D37" w:rsidP="00413F08">
                  <w:pPr>
                    <w:jc w:val="right"/>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214°</w:t>
                  </w:r>
                </w:p>
              </w:tc>
            </w:tr>
            <w:tr w:rsidR="001F3D37" w:rsidRPr="00B74B6E" w14:paraId="7171524F" w14:textId="77777777" w:rsidTr="001F3D37">
              <w:trPr>
                <w:cantSplit/>
                <w:trHeight w:val="266"/>
              </w:trPr>
              <w:tc>
                <w:tcPr>
                  <w:tcW w:w="122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CC2E5" w:themeFill="accent1" w:themeFillTint="99"/>
                  <w:noWrap/>
                  <w:hideMark/>
                </w:tcPr>
                <w:p w14:paraId="221CCABE" w14:textId="77777777" w:rsidR="001F3D37" w:rsidRPr="00B74B6E" w:rsidRDefault="001F3D37" w:rsidP="00413F08">
                  <w:pPr>
                    <w:jc w:val="both"/>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Monteros</w:t>
                  </w:r>
                </w:p>
              </w:tc>
              <w:tc>
                <w:tcPr>
                  <w:tcW w:w="721" w:type="dxa"/>
                  <w:tcBorders>
                    <w:top w:val="single" w:sz="4" w:space="0" w:color="8EAADB" w:themeColor="accent5" w:themeTint="99"/>
                    <w:left w:val="single" w:sz="4" w:space="0" w:color="FFFFFF" w:themeColor="background1"/>
                    <w:bottom w:val="single" w:sz="4" w:space="0" w:color="8EAADB" w:themeColor="accent5" w:themeTint="99"/>
                    <w:right w:val="single" w:sz="4" w:space="0" w:color="8EAADB" w:themeColor="accent5" w:themeTint="99"/>
                  </w:tcBorders>
                  <w:noWrap/>
                  <w:hideMark/>
                </w:tcPr>
                <w:p w14:paraId="459A9671" w14:textId="77777777" w:rsidR="001F3D37" w:rsidRPr="00B74B6E" w:rsidRDefault="001F3D37" w:rsidP="00413F08">
                  <w:pPr>
                    <w:jc w:val="right"/>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6,030</w:t>
                  </w:r>
                </w:p>
              </w:tc>
              <w:tc>
                <w:tcPr>
                  <w:tcW w:w="958" w:type="dxa"/>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noWrap/>
                  <w:hideMark/>
                </w:tcPr>
                <w:p w14:paraId="568A4876" w14:textId="77777777" w:rsidR="001F3D37" w:rsidRPr="00B74B6E" w:rsidRDefault="001F3D37" w:rsidP="00413F08">
                  <w:pPr>
                    <w:jc w:val="right"/>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7°</w:t>
                  </w:r>
                </w:p>
              </w:tc>
              <w:tc>
                <w:tcPr>
                  <w:tcW w:w="840" w:type="dxa"/>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tcPr>
                <w:p w14:paraId="120AC7CA" w14:textId="77777777" w:rsidR="001F3D37" w:rsidRPr="00B74B6E" w:rsidRDefault="001F3D37" w:rsidP="00413F08">
                  <w:pPr>
                    <w:jc w:val="right"/>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51°</w:t>
                  </w:r>
                </w:p>
              </w:tc>
              <w:tc>
                <w:tcPr>
                  <w:tcW w:w="840" w:type="dxa"/>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noWrap/>
                  <w:hideMark/>
                </w:tcPr>
                <w:p w14:paraId="429F3998" w14:textId="77777777" w:rsidR="001F3D37" w:rsidRPr="00B74B6E" w:rsidRDefault="001F3D37" w:rsidP="00413F08">
                  <w:pPr>
                    <w:jc w:val="right"/>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236°</w:t>
                  </w:r>
                </w:p>
              </w:tc>
            </w:tr>
            <w:tr w:rsidR="001F3D37" w:rsidRPr="00B74B6E" w14:paraId="758E17FC" w14:textId="77777777" w:rsidTr="001F3D37">
              <w:trPr>
                <w:cantSplit/>
                <w:trHeight w:val="266"/>
              </w:trPr>
              <w:tc>
                <w:tcPr>
                  <w:tcW w:w="122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CC2E5" w:themeFill="accent1" w:themeFillTint="99"/>
                  <w:noWrap/>
                  <w:hideMark/>
                </w:tcPr>
                <w:p w14:paraId="236F9597" w14:textId="77777777" w:rsidR="001F3D37" w:rsidRPr="00B74B6E" w:rsidRDefault="001F3D37" w:rsidP="00413F08">
                  <w:pPr>
                    <w:jc w:val="both"/>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La Cocha</w:t>
                  </w:r>
                </w:p>
              </w:tc>
              <w:tc>
                <w:tcPr>
                  <w:tcW w:w="721" w:type="dxa"/>
                  <w:tcBorders>
                    <w:top w:val="single" w:sz="4" w:space="0" w:color="8EAADB" w:themeColor="accent5" w:themeTint="99"/>
                    <w:left w:val="single" w:sz="4" w:space="0" w:color="FFFFFF" w:themeColor="background1"/>
                    <w:bottom w:val="single" w:sz="4" w:space="0" w:color="8EAADB" w:themeColor="accent5" w:themeTint="99"/>
                    <w:right w:val="single" w:sz="4" w:space="0" w:color="8EAADB" w:themeColor="accent5" w:themeTint="99"/>
                  </w:tcBorders>
                  <w:noWrap/>
                  <w:hideMark/>
                </w:tcPr>
                <w:p w14:paraId="0ACA831F" w14:textId="77777777" w:rsidR="001F3D37" w:rsidRPr="00B74B6E" w:rsidRDefault="001F3D37" w:rsidP="00413F08">
                  <w:pPr>
                    <w:jc w:val="right"/>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6,017</w:t>
                  </w:r>
                </w:p>
              </w:tc>
              <w:tc>
                <w:tcPr>
                  <w:tcW w:w="958" w:type="dxa"/>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noWrap/>
                  <w:hideMark/>
                </w:tcPr>
                <w:p w14:paraId="1614F7C2" w14:textId="77777777" w:rsidR="001F3D37" w:rsidRPr="00B74B6E" w:rsidRDefault="001F3D37" w:rsidP="00413F08">
                  <w:pPr>
                    <w:jc w:val="right"/>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8°</w:t>
                  </w:r>
                </w:p>
              </w:tc>
              <w:tc>
                <w:tcPr>
                  <w:tcW w:w="840" w:type="dxa"/>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tcPr>
                <w:p w14:paraId="3D71897F" w14:textId="77777777" w:rsidR="001F3D37" w:rsidRPr="00B74B6E" w:rsidRDefault="001F3D37" w:rsidP="00413F08">
                  <w:pPr>
                    <w:jc w:val="right"/>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52°</w:t>
                  </w:r>
                </w:p>
              </w:tc>
              <w:tc>
                <w:tcPr>
                  <w:tcW w:w="840" w:type="dxa"/>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noWrap/>
                  <w:hideMark/>
                </w:tcPr>
                <w:p w14:paraId="47B49392" w14:textId="77777777" w:rsidR="001F3D37" w:rsidRPr="00B74B6E" w:rsidRDefault="001F3D37" w:rsidP="00413F08">
                  <w:pPr>
                    <w:jc w:val="right"/>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238°</w:t>
                  </w:r>
                </w:p>
              </w:tc>
            </w:tr>
            <w:tr w:rsidR="001F3D37" w:rsidRPr="00B74B6E" w14:paraId="1EB1A184" w14:textId="77777777" w:rsidTr="001F3D37">
              <w:trPr>
                <w:cantSplit/>
                <w:trHeight w:val="266"/>
              </w:trPr>
              <w:tc>
                <w:tcPr>
                  <w:tcW w:w="122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CC2E5" w:themeFill="accent1" w:themeFillTint="99"/>
                  <w:noWrap/>
                  <w:hideMark/>
                </w:tcPr>
                <w:p w14:paraId="673B177B" w14:textId="77777777" w:rsidR="001F3D37" w:rsidRPr="00B74B6E" w:rsidRDefault="001F3D37" w:rsidP="00413F08">
                  <w:pPr>
                    <w:jc w:val="both"/>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J. B. Alberdi</w:t>
                  </w:r>
                </w:p>
              </w:tc>
              <w:tc>
                <w:tcPr>
                  <w:tcW w:w="721" w:type="dxa"/>
                  <w:tcBorders>
                    <w:top w:val="single" w:sz="4" w:space="0" w:color="8EAADB" w:themeColor="accent5" w:themeTint="99"/>
                    <w:left w:val="single" w:sz="4" w:space="0" w:color="FFFFFF" w:themeColor="background1"/>
                    <w:bottom w:val="single" w:sz="4" w:space="0" w:color="8EAADB" w:themeColor="accent5" w:themeTint="99"/>
                    <w:right w:val="single" w:sz="4" w:space="0" w:color="8EAADB" w:themeColor="accent5" w:themeTint="99"/>
                  </w:tcBorders>
                  <w:noWrap/>
                  <w:hideMark/>
                </w:tcPr>
                <w:p w14:paraId="6100AA1D" w14:textId="77777777" w:rsidR="001F3D37" w:rsidRPr="00B74B6E" w:rsidRDefault="001F3D37" w:rsidP="00413F08">
                  <w:pPr>
                    <w:jc w:val="right"/>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5,945</w:t>
                  </w:r>
                </w:p>
              </w:tc>
              <w:tc>
                <w:tcPr>
                  <w:tcW w:w="958" w:type="dxa"/>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noWrap/>
                  <w:hideMark/>
                </w:tcPr>
                <w:p w14:paraId="718B11F8" w14:textId="77777777" w:rsidR="001F3D37" w:rsidRPr="00B74B6E" w:rsidRDefault="001F3D37" w:rsidP="00413F08">
                  <w:pPr>
                    <w:jc w:val="right"/>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9°</w:t>
                  </w:r>
                </w:p>
              </w:tc>
              <w:tc>
                <w:tcPr>
                  <w:tcW w:w="840" w:type="dxa"/>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tcPr>
                <w:p w14:paraId="7F3D4576" w14:textId="77777777" w:rsidR="001F3D37" w:rsidRPr="00B74B6E" w:rsidRDefault="001F3D37" w:rsidP="00413F08">
                  <w:pPr>
                    <w:jc w:val="right"/>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54°</w:t>
                  </w:r>
                </w:p>
              </w:tc>
              <w:tc>
                <w:tcPr>
                  <w:tcW w:w="840" w:type="dxa"/>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noWrap/>
                  <w:hideMark/>
                </w:tcPr>
                <w:p w14:paraId="6C9EAF22" w14:textId="77777777" w:rsidR="001F3D37" w:rsidRPr="00B74B6E" w:rsidRDefault="001F3D37" w:rsidP="00413F08">
                  <w:pPr>
                    <w:jc w:val="right"/>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253°</w:t>
                  </w:r>
                </w:p>
              </w:tc>
            </w:tr>
            <w:tr w:rsidR="001F3D37" w:rsidRPr="00B74B6E" w14:paraId="2ADFE4F6" w14:textId="77777777" w:rsidTr="001F3D37">
              <w:trPr>
                <w:cantSplit/>
                <w:trHeight w:val="266"/>
              </w:trPr>
              <w:tc>
                <w:tcPr>
                  <w:tcW w:w="122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CC2E5" w:themeFill="accent1" w:themeFillTint="99"/>
                  <w:noWrap/>
                  <w:hideMark/>
                </w:tcPr>
                <w:p w14:paraId="1F8E09AA" w14:textId="77777777" w:rsidR="001F3D37" w:rsidRPr="00B74B6E" w:rsidRDefault="001F3D37" w:rsidP="00413F08">
                  <w:pPr>
                    <w:jc w:val="both"/>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Trancas</w:t>
                  </w:r>
                </w:p>
              </w:tc>
              <w:tc>
                <w:tcPr>
                  <w:tcW w:w="721" w:type="dxa"/>
                  <w:tcBorders>
                    <w:top w:val="single" w:sz="4" w:space="0" w:color="8EAADB" w:themeColor="accent5" w:themeTint="99"/>
                    <w:left w:val="single" w:sz="4" w:space="0" w:color="FFFFFF" w:themeColor="background1"/>
                    <w:bottom w:val="single" w:sz="4" w:space="0" w:color="8EAADB" w:themeColor="accent5" w:themeTint="99"/>
                    <w:right w:val="single" w:sz="4" w:space="0" w:color="8EAADB" w:themeColor="accent5" w:themeTint="99"/>
                  </w:tcBorders>
                  <w:noWrap/>
                  <w:hideMark/>
                </w:tcPr>
                <w:p w14:paraId="271587E4" w14:textId="77777777" w:rsidR="001F3D37" w:rsidRPr="00B74B6E" w:rsidRDefault="001F3D37" w:rsidP="00413F08">
                  <w:pPr>
                    <w:jc w:val="right"/>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5,797</w:t>
                  </w:r>
                </w:p>
              </w:tc>
              <w:tc>
                <w:tcPr>
                  <w:tcW w:w="958" w:type="dxa"/>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noWrap/>
                  <w:hideMark/>
                </w:tcPr>
                <w:p w14:paraId="000AF419" w14:textId="77777777" w:rsidR="001F3D37" w:rsidRPr="00B74B6E" w:rsidRDefault="001F3D37" w:rsidP="00413F08">
                  <w:pPr>
                    <w:jc w:val="right"/>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10°</w:t>
                  </w:r>
                </w:p>
              </w:tc>
              <w:tc>
                <w:tcPr>
                  <w:tcW w:w="840" w:type="dxa"/>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tcPr>
                <w:p w14:paraId="3F431463" w14:textId="77777777" w:rsidR="001F3D37" w:rsidRPr="00B74B6E" w:rsidRDefault="001F3D37" w:rsidP="00413F08">
                  <w:pPr>
                    <w:jc w:val="right"/>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57°</w:t>
                  </w:r>
                </w:p>
              </w:tc>
              <w:tc>
                <w:tcPr>
                  <w:tcW w:w="840" w:type="dxa"/>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noWrap/>
                  <w:hideMark/>
                </w:tcPr>
                <w:p w14:paraId="0B71E160" w14:textId="77777777" w:rsidR="001F3D37" w:rsidRPr="00B74B6E" w:rsidRDefault="001F3D37" w:rsidP="00413F08">
                  <w:pPr>
                    <w:jc w:val="right"/>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271°</w:t>
                  </w:r>
                </w:p>
              </w:tc>
            </w:tr>
            <w:tr w:rsidR="001F3D37" w:rsidRPr="00B74B6E" w14:paraId="277F7A18" w14:textId="77777777" w:rsidTr="001F3D37">
              <w:trPr>
                <w:cantSplit/>
                <w:trHeight w:val="266"/>
              </w:trPr>
              <w:tc>
                <w:tcPr>
                  <w:tcW w:w="122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CC2E5" w:themeFill="accent1" w:themeFillTint="99"/>
                  <w:noWrap/>
                  <w:hideMark/>
                </w:tcPr>
                <w:p w14:paraId="6A5F76F9" w14:textId="77777777" w:rsidR="001F3D37" w:rsidRPr="00B74B6E" w:rsidRDefault="001F3D37" w:rsidP="00413F08">
                  <w:pPr>
                    <w:jc w:val="both"/>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Famaillá</w:t>
                  </w:r>
                </w:p>
              </w:tc>
              <w:tc>
                <w:tcPr>
                  <w:tcW w:w="721" w:type="dxa"/>
                  <w:tcBorders>
                    <w:top w:val="single" w:sz="4" w:space="0" w:color="8EAADB" w:themeColor="accent5" w:themeTint="99"/>
                    <w:left w:val="single" w:sz="4" w:space="0" w:color="FFFFFF" w:themeColor="background1"/>
                    <w:bottom w:val="single" w:sz="4" w:space="0" w:color="8EAADB" w:themeColor="accent5" w:themeTint="99"/>
                    <w:right w:val="single" w:sz="4" w:space="0" w:color="8EAADB" w:themeColor="accent5" w:themeTint="99"/>
                  </w:tcBorders>
                  <w:noWrap/>
                  <w:hideMark/>
                </w:tcPr>
                <w:p w14:paraId="6B6424D7" w14:textId="77777777" w:rsidR="001F3D37" w:rsidRPr="00B74B6E" w:rsidRDefault="001F3D37" w:rsidP="00413F08">
                  <w:pPr>
                    <w:jc w:val="right"/>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5,776</w:t>
                  </w:r>
                </w:p>
              </w:tc>
              <w:tc>
                <w:tcPr>
                  <w:tcW w:w="958" w:type="dxa"/>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noWrap/>
                  <w:hideMark/>
                </w:tcPr>
                <w:p w14:paraId="7BE64C01" w14:textId="77777777" w:rsidR="001F3D37" w:rsidRPr="00B74B6E" w:rsidRDefault="001F3D37" w:rsidP="00413F08">
                  <w:pPr>
                    <w:jc w:val="right"/>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11°</w:t>
                  </w:r>
                </w:p>
              </w:tc>
              <w:tc>
                <w:tcPr>
                  <w:tcW w:w="840" w:type="dxa"/>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tcPr>
                <w:p w14:paraId="4CFEC4F6" w14:textId="77777777" w:rsidR="001F3D37" w:rsidRPr="00B74B6E" w:rsidRDefault="001F3D37" w:rsidP="00413F08">
                  <w:pPr>
                    <w:jc w:val="right"/>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58°</w:t>
                  </w:r>
                </w:p>
              </w:tc>
              <w:tc>
                <w:tcPr>
                  <w:tcW w:w="840" w:type="dxa"/>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noWrap/>
                  <w:hideMark/>
                </w:tcPr>
                <w:p w14:paraId="64D70248" w14:textId="77777777" w:rsidR="001F3D37" w:rsidRPr="00B74B6E" w:rsidRDefault="001F3D37" w:rsidP="00413F08">
                  <w:pPr>
                    <w:jc w:val="right"/>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274°</w:t>
                  </w:r>
                </w:p>
              </w:tc>
            </w:tr>
            <w:tr w:rsidR="001F3D37" w:rsidRPr="00B74B6E" w14:paraId="5882E025" w14:textId="77777777" w:rsidTr="001F3D37">
              <w:trPr>
                <w:cantSplit/>
                <w:trHeight w:val="266"/>
              </w:trPr>
              <w:tc>
                <w:tcPr>
                  <w:tcW w:w="122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CC2E5" w:themeFill="accent1" w:themeFillTint="99"/>
                  <w:noWrap/>
                  <w:hideMark/>
                </w:tcPr>
                <w:p w14:paraId="607BC0CF" w14:textId="77777777" w:rsidR="001F3D37" w:rsidRPr="00B74B6E" w:rsidRDefault="001F3D37" w:rsidP="00413F08">
                  <w:pPr>
                    <w:jc w:val="both"/>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Cruz Alta</w:t>
                  </w:r>
                </w:p>
              </w:tc>
              <w:tc>
                <w:tcPr>
                  <w:tcW w:w="721" w:type="dxa"/>
                  <w:tcBorders>
                    <w:top w:val="single" w:sz="4" w:space="0" w:color="8EAADB" w:themeColor="accent5" w:themeTint="99"/>
                    <w:left w:val="single" w:sz="4" w:space="0" w:color="FFFFFF" w:themeColor="background1"/>
                    <w:bottom w:val="single" w:sz="4" w:space="0" w:color="8EAADB" w:themeColor="accent5" w:themeTint="99"/>
                    <w:right w:val="single" w:sz="4" w:space="0" w:color="8EAADB" w:themeColor="accent5" w:themeTint="99"/>
                  </w:tcBorders>
                  <w:noWrap/>
                  <w:hideMark/>
                </w:tcPr>
                <w:p w14:paraId="06A0BA17" w14:textId="77777777" w:rsidR="001F3D37" w:rsidRPr="00B74B6E" w:rsidRDefault="001F3D37" w:rsidP="00413F08">
                  <w:pPr>
                    <w:jc w:val="right"/>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5,650</w:t>
                  </w:r>
                </w:p>
              </w:tc>
              <w:tc>
                <w:tcPr>
                  <w:tcW w:w="958" w:type="dxa"/>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noWrap/>
                  <w:hideMark/>
                </w:tcPr>
                <w:p w14:paraId="5F0FC59E" w14:textId="77777777" w:rsidR="001F3D37" w:rsidRPr="00B74B6E" w:rsidRDefault="001F3D37" w:rsidP="00413F08">
                  <w:pPr>
                    <w:jc w:val="right"/>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12°</w:t>
                  </w:r>
                </w:p>
              </w:tc>
              <w:tc>
                <w:tcPr>
                  <w:tcW w:w="840" w:type="dxa"/>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tcPr>
                <w:p w14:paraId="7B1D2040" w14:textId="77777777" w:rsidR="001F3D37" w:rsidRPr="00B74B6E" w:rsidRDefault="001F3D37" w:rsidP="00413F08">
                  <w:pPr>
                    <w:jc w:val="right"/>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64°</w:t>
                  </w:r>
                </w:p>
              </w:tc>
              <w:tc>
                <w:tcPr>
                  <w:tcW w:w="840" w:type="dxa"/>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noWrap/>
                  <w:hideMark/>
                </w:tcPr>
                <w:p w14:paraId="276B3FFF" w14:textId="77777777" w:rsidR="001F3D37" w:rsidRPr="00B74B6E" w:rsidRDefault="001F3D37" w:rsidP="00413F08">
                  <w:pPr>
                    <w:jc w:val="right"/>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299°</w:t>
                  </w:r>
                </w:p>
              </w:tc>
            </w:tr>
            <w:tr w:rsidR="001F3D37" w:rsidRPr="00B74B6E" w14:paraId="61EB272E" w14:textId="77777777" w:rsidTr="001F3D37">
              <w:trPr>
                <w:cantSplit/>
                <w:trHeight w:val="266"/>
              </w:trPr>
              <w:tc>
                <w:tcPr>
                  <w:tcW w:w="122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CC2E5" w:themeFill="accent1" w:themeFillTint="99"/>
                  <w:noWrap/>
                  <w:hideMark/>
                </w:tcPr>
                <w:p w14:paraId="2FDDC25C" w14:textId="77777777" w:rsidR="001F3D37" w:rsidRPr="00B74B6E" w:rsidRDefault="001F3D37" w:rsidP="00413F08">
                  <w:pPr>
                    <w:jc w:val="both"/>
                    <w:rPr>
                      <w:rFonts w:asciiTheme="minorHAnsi" w:eastAsia="Times New Roman" w:hAnsiTheme="minorHAnsi" w:cstheme="minorHAnsi"/>
                      <w:color w:val="000000"/>
                      <w:sz w:val="18"/>
                      <w:szCs w:val="18"/>
                    </w:rPr>
                  </w:pPr>
                  <w:proofErr w:type="spellStart"/>
                  <w:r w:rsidRPr="00B74B6E">
                    <w:rPr>
                      <w:rFonts w:asciiTheme="minorHAnsi" w:eastAsia="Times New Roman" w:hAnsiTheme="minorHAnsi" w:cstheme="minorHAnsi"/>
                      <w:color w:val="000000"/>
                      <w:sz w:val="18"/>
                      <w:szCs w:val="18"/>
                    </w:rPr>
                    <w:t>Simoca</w:t>
                  </w:r>
                  <w:proofErr w:type="spellEnd"/>
                </w:p>
              </w:tc>
              <w:tc>
                <w:tcPr>
                  <w:tcW w:w="721" w:type="dxa"/>
                  <w:tcBorders>
                    <w:top w:val="single" w:sz="4" w:space="0" w:color="8EAADB" w:themeColor="accent5" w:themeTint="99"/>
                    <w:left w:val="single" w:sz="4" w:space="0" w:color="FFFFFF" w:themeColor="background1"/>
                    <w:bottom w:val="single" w:sz="4" w:space="0" w:color="8EAADB" w:themeColor="accent5" w:themeTint="99"/>
                    <w:right w:val="single" w:sz="4" w:space="0" w:color="8EAADB" w:themeColor="accent5" w:themeTint="99"/>
                  </w:tcBorders>
                  <w:noWrap/>
                  <w:hideMark/>
                </w:tcPr>
                <w:p w14:paraId="697611DF" w14:textId="77777777" w:rsidR="001F3D37" w:rsidRPr="00B74B6E" w:rsidRDefault="001F3D37" w:rsidP="00413F08">
                  <w:pPr>
                    <w:jc w:val="right"/>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5,547</w:t>
                  </w:r>
                </w:p>
              </w:tc>
              <w:tc>
                <w:tcPr>
                  <w:tcW w:w="958" w:type="dxa"/>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noWrap/>
                  <w:hideMark/>
                </w:tcPr>
                <w:p w14:paraId="719878AB" w14:textId="77777777" w:rsidR="001F3D37" w:rsidRPr="00B74B6E" w:rsidRDefault="001F3D37" w:rsidP="00413F08">
                  <w:pPr>
                    <w:jc w:val="right"/>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13°</w:t>
                  </w:r>
                </w:p>
              </w:tc>
              <w:tc>
                <w:tcPr>
                  <w:tcW w:w="840" w:type="dxa"/>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tcPr>
                <w:p w14:paraId="015A1E1A" w14:textId="77777777" w:rsidR="001F3D37" w:rsidRPr="00B74B6E" w:rsidRDefault="001F3D37" w:rsidP="00413F08">
                  <w:pPr>
                    <w:jc w:val="right"/>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68°</w:t>
                  </w:r>
                </w:p>
              </w:tc>
              <w:tc>
                <w:tcPr>
                  <w:tcW w:w="840" w:type="dxa"/>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noWrap/>
                  <w:hideMark/>
                </w:tcPr>
                <w:p w14:paraId="79418729" w14:textId="77777777" w:rsidR="001F3D37" w:rsidRPr="00B74B6E" w:rsidRDefault="001F3D37" w:rsidP="00413F08">
                  <w:pPr>
                    <w:jc w:val="right"/>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310°</w:t>
                  </w:r>
                </w:p>
              </w:tc>
            </w:tr>
            <w:tr w:rsidR="001F3D37" w:rsidRPr="00B74B6E" w14:paraId="010161CB" w14:textId="77777777" w:rsidTr="001F3D37">
              <w:trPr>
                <w:cantSplit/>
                <w:trHeight w:val="266"/>
              </w:trPr>
              <w:tc>
                <w:tcPr>
                  <w:tcW w:w="122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CC2E5" w:themeFill="accent1" w:themeFillTint="99"/>
                  <w:noWrap/>
                  <w:hideMark/>
                </w:tcPr>
                <w:p w14:paraId="154AFBAF" w14:textId="77777777" w:rsidR="001F3D37" w:rsidRPr="00B74B6E" w:rsidRDefault="001F3D37" w:rsidP="00413F08">
                  <w:pPr>
                    <w:jc w:val="both"/>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Río Chico</w:t>
                  </w:r>
                </w:p>
              </w:tc>
              <w:tc>
                <w:tcPr>
                  <w:tcW w:w="721" w:type="dxa"/>
                  <w:tcBorders>
                    <w:top w:val="single" w:sz="4" w:space="0" w:color="8EAADB" w:themeColor="accent5" w:themeTint="99"/>
                    <w:left w:val="single" w:sz="4" w:space="0" w:color="FFFFFF" w:themeColor="background1"/>
                    <w:bottom w:val="single" w:sz="4" w:space="0" w:color="8EAADB" w:themeColor="accent5" w:themeTint="99"/>
                    <w:right w:val="single" w:sz="4" w:space="0" w:color="8EAADB" w:themeColor="accent5" w:themeTint="99"/>
                  </w:tcBorders>
                  <w:noWrap/>
                  <w:hideMark/>
                </w:tcPr>
                <w:p w14:paraId="78A63898" w14:textId="77777777" w:rsidR="001F3D37" w:rsidRPr="00B74B6E" w:rsidRDefault="001F3D37" w:rsidP="00413F08">
                  <w:pPr>
                    <w:jc w:val="right"/>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5,489</w:t>
                  </w:r>
                </w:p>
              </w:tc>
              <w:tc>
                <w:tcPr>
                  <w:tcW w:w="958" w:type="dxa"/>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noWrap/>
                  <w:hideMark/>
                </w:tcPr>
                <w:p w14:paraId="1BD61F20" w14:textId="77777777" w:rsidR="001F3D37" w:rsidRPr="00B74B6E" w:rsidRDefault="001F3D37" w:rsidP="00413F08">
                  <w:pPr>
                    <w:jc w:val="right"/>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14°</w:t>
                  </w:r>
                </w:p>
              </w:tc>
              <w:tc>
                <w:tcPr>
                  <w:tcW w:w="840" w:type="dxa"/>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tcPr>
                <w:p w14:paraId="0074C481" w14:textId="77777777" w:rsidR="001F3D37" w:rsidRPr="00B74B6E" w:rsidRDefault="001F3D37" w:rsidP="00413F08">
                  <w:pPr>
                    <w:jc w:val="right"/>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72°</w:t>
                  </w:r>
                </w:p>
              </w:tc>
              <w:tc>
                <w:tcPr>
                  <w:tcW w:w="840" w:type="dxa"/>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noWrap/>
                  <w:hideMark/>
                </w:tcPr>
                <w:p w14:paraId="1AA32CFB" w14:textId="77777777" w:rsidR="001F3D37" w:rsidRPr="00B74B6E" w:rsidRDefault="001F3D37" w:rsidP="00413F08">
                  <w:pPr>
                    <w:jc w:val="right"/>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328°</w:t>
                  </w:r>
                </w:p>
              </w:tc>
            </w:tr>
            <w:tr w:rsidR="001F3D37" w:rsidRPr="00B74B6E" w14:paraId="0B78B593" w14:textId="77777777" w:rsidTr="001F3D37">
              <w:trPr>
                <w:cantSplit/>
                <w:trHeight w:val="266"/>
              </w:trPr>
              <w:tc>
                <w:tcPr>
                  <w:tcW w:w="122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CC2E5" w:themeFill="accent1" w:themeFillTint="99"/>
                  <w:noWrap/>
                  <w:hideMark/>
                </w:tcPr>
                <w:p w14:paraId="2D116819" w14:textId="77777777" w:rsidR="001F3D37" w:rsidRPr="00B74B6E" w:rsidRDefault="001F3D37" w:rsidP="00413F08">
                  <w:pPr>
                    <w:jc w:val="both"/>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Leales</w:t>
                  </w:r>
                </w:p>
              </w:tc>
              <w:tc>
                <w:tcPr>
                  <w:tcW w:w="721" w:type="dxa"/>
                  <w:tcBorders>
                    <w:top w:val="single" w:sz="4" w:space="0" w:color="8EAADB" w:themeColor="accent5" w:themeTint="99"/>
                    <w:left w:val="single" w:sz="4" w:space="0" w:color="FFFFFF" w:themeColor="background1"/>
                    <w:bottom w:val="single" w:sz="4" w:space="0" w:color="8EAADB" w:themeColor="accent5" w:themeTint="99"/>
                    <w:right w:val="single" w:sz="4" w:space="0" w:color="8EAADB" w:themeColor="accent5" w:themeTint="99"/>
                  </w:tcBorders>
                  <w:noWrap/>
                  <w:hideMark/>
                </w:tcPr>
                <w:p w14:paraId="0FD363E3" w14:textId="77777777" w:rsidR="001F3D37" w:rsidRPr="00B74B6E" w:rsidRDefault="001F3D37" w:rsidP="00413F08">
                  <w:pPr>
                    <w:jc w:val="right"/>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5,129</w:t>
                  </w:r>
                </w:p>
              </w:tc>
              <w:tc>
                <w:tcPr>
                  <w:tcW w:w="958" w:type="dxa"/>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noWrap/>
                  <w:hideMark/>
                </w:tcPr>
                <w:p w14:paraId="3BABA5CD" w14:textId="77777777" w:rsidR="001F3D37" w:rsidRPr="00B74B6E" w:rsidRDefault="001F3D37" w:rsidP="00413F08">
                  <w:pPr>
                    <w:jc w:val="right"/>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15°</w:t>
                  </w:r>
                </w:p>
              </w:tc>
              <w:tc>
                <w:tcPr>
                  <w:tcW w:w="840" w:type="dxa"/>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tcPr>
                <w:p w14:paraId="43047500" w14:textId="77777777" w:rsidR="001F3D37" w:rsidRPr="00B74B6E" w:rsidRDefault="001F3D37" w:rsidP="00413F08">
                  <w:pPr>
                    <w:jc w:val="right"/>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78°</w:t>
                  </w:r>
                </w:p>
              </w:tc>
              <w:tc>
                <w:tcPr>
                  <w:tcW w:w="840" w:type="dxa"/>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noWrap/>
                  <w:hideMark/>
                </w:tcPr>
                <w:p w14:paraId="1D095E70" w14:textId="77777777" w:rsidR="001F3D37" w:rsidRPr="00B74B6E" w:rsidRDefault="001F3D37" w:rsidP="00413F08">
                  <w:pPr>
                    <w:jc w:val="right"/>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384°</w:t>
                  </w:r>
                </w:p>
              </w:tc>
            </w:tr>
            <w:tr w:rsidR="001F3D37" w:rsidRPr="00B74B6E" w14:paraId="0C2D665B" w14:textId="77777777" w:rsidTr="001F3D37">
              <w:trPr>
                <w:cantSplit/>
                <w:trHeight w:val="266"/>
              </w:trPr>
              <w:tc>
                <w:tcPr>
                  <w:tcW w:w="122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CC2E5" w:themeFill="accent1" w:themeFillTint="99"/>
                  <w:noWrap/>
                  <w:hideMark/>
                </w:tcPr>
                <w:p w14:paraId="30DA756F" w14:textId="77777777" w:rsidR="001F3D37" w:rsidRPr="00B74B6E" w:rsidRDefault="001F3D37" w:rsidP="00413F08">
                  <w:pPr>
                    <w:jc w:val="both"/>
                    <w:rPr>
                      <w:rFonts w:asciiTheme="minorHAnsi" w:eastAsia="Times New Roman" w:hAnsiTheme="minorHAnsi" w:cstheme="minorHAnsi"/>
                      <w:color w:val="000000"/>
                      <w:sz w:val="18"/>
                      <w:szCs w:val="18"/>
                    </w:rPr>
                  </w:pPr>
                  <w:proofErr w:type="spellStart"/>
                  <w:r w:rsidRPr="00B74B6E">
                    <w:rPr>
                      <w:rFonts w:asciiTheme="minorHAnsi" w:eastAsia="Times New Roman" w:hAnsiTheme="minorHAnsi" w:cstheme="minorHAnsi"/>
                      <w:color w:val="000000"/>
                      <w:sz w:val="18"/>
                      <w:szCs w:val="18"/>
                    </w:rPr>
                    <w:t>Burruyacú</w:t>
                  </w:r>
                  <w:proofErr w:type="spellEnd"/>
                </w:p>
              </w:tc>
              <w:tc>
                <w:tcPr>
                  <w:tcW w:w="721" w:type="dxa"/>
                  <w:tcBorders>
                    <w:top w:val="single" w:sz="4" w:space="0" w:color="8EAADB" w:themeColor="accent5" w:themeTint="99"/>
                    <w:left w:val="single" w:sz="4" w:space="0" w:color="FFFFFF" w:themeColor="background1"/>
                    <w:bottom w:val="single" w:sz="4" w:space="0" w:color="8EAADB" w:themeColor="accent5" w:themeTint="99"/>
                    <w:right w:val="single" w:sz="4" w:space="0" w:color="8EAADB" w:themeColor="accent5" w:themeTint="99"/>
                  </w:tcBorders>
                  <w:noWrap/>
                  <w:hideMark/>
                </w:tcPr>
                <w:p w14:paraId="47D80388" w14:textId="77777777" w:rsidR="001F3D37" w:rsidRPr="00B74B6E" w:rsidRDefault="001F3D37" w:rsidP="00413F08">
                  <w:pPr>
                    <w:jc w:val="right"/>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4,645</w:t>
                  </w:r>
                </w:p>
              </w:tc>
              <w:tc>
                <w:tcPr>
                  <w:tcW w:w="958" w:type="dxa"/>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noWrap/>
                  <w:hideMark/>
                </w:tcPr>
                <w:p w14:paraId="450C5AF0" w14:textId="77777777" w:rsidR="001F3D37" w:rsidRPr="00B74B6E" w:rsidRDefault="001F3D37" w:rsidP="00413F08">
                  <w:pPr>
                    <w:jc w:val="right"/>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16°</w:t>
                  </w:r>
                </w:p>
              </w:tc>
              <w:tc>
                <w:tcPr>
                  <w:tcW w:w="840" w:type="dxa"/>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tcPr>
                <w:p w14:paraId="06097D90" w14:textId="77777777" w:rsidR="001F3D37" w:rsidRPr="00B74B6E" w:rsidRDefault="001F3D37" w:rsidP="00413F08">
                  <w:pPr>
                    <w:jc w:val="right"/>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91°</w:t>
                  </w:r>
                </w:p>
              </w:tc>
              <w:tc>
                <w:tcPr>
                  <w:tcW w:w="840" w:type="dxa"/>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noWrap/>
                  <w:hideMark/>
                </w:tcPr>
                <w:p w14:paraId="35229EA8" w14:textId="77777777" w:rsidR="001F3D37" w:rsidRPr="00B74B6E" w:rsidRDefault="001F3D37" w:rsidP="00413F08">
                  <w:pPr>
                    <w:jc w:val="right"/>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444°</w:t>
                  </w:r>
                </w:p>
              </w:tc>
            </w:tr>
            <w:tr w:rsidR="001F3D37" w:rsidRPr="00B74B6E" w14:paraId="34858C96" w14:textId="77777777" w:rsidTr="001F3D37">
              <w:trPr>
                <w:cantSplit/>
                <w:trHeight w:val="266"/>
              </w:trPr>
              <w:tc>
                <w:tcPr>
                  <w:tcW w:w="122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CC2E5" w:themeFill="accent1" w:themeFillTint="99"/>
                  <w:noWrap/>
                  <w:hideMark/>
                </w:tcPr>
                <w:p w14:paraId="44BC63EF" w14:textId="77777777" w:rsidR="001F3D37" w:rsidRPr="00B74B6E" w:rsidRDefault="001F3D37" w:rsidP="00413F08">
                  <w:pPr>
                    <w:jc w:val="both"/>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Graneros</w:t>
                  </w:r>
                </w:p>
              </w:tc>
              <w:tc>
                <w:tcPr>
                  <w:tcW w:w="721" w:type="dxa"/>
                  <w:tcBorders>
                    <w:top w:val="single" w:sz="4" w:space="0" w:color="8EAADB" w:themeColor="accent5" w:themeTint="99"/>
                    <w:left w:val="single" w:sz="4" w:space="0" w:color="FFFFFF" w:themeColor="background1"/>
                    <w:bottom w:val="single" w:sz="4" w:space="0" w:color="8EAADB" w:themeColor="accent5" w:themeTint="99"/>
                    <w:right w:val="single" w:sz="4" w:space="0" w:color="8EAADB" w:themeColor="accent5" w:themeTint="99"/>
                  </w:tcBorders>
                  <w:noWrap/>
                  <w:hideMark/>
                </w:tcPr>
                <w:p w14:paraId="0A52AE7B" w14:textId="77777777" w:rsidR="001F3D37" w:rsidRPr="00B74B6E" w:rsidRDefault="001F3D37" w:rsidP="00413F08">
                  <w:pPr>
                    <w:jc w:val="right"/>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4,216</w:t>
                  </w:r>
                </w:p>
              </w:tc>
              <w:tc>
                <w:tcPr>
                  <w:tcW w:w="958" w:type="dxa"/>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noWrap/>
                  <w:hideMark/>
                </w:tcPr>
                <w:p w14:paraId="20FC5251" w14:textId="77777777" w:rsidR="001F3D37" w:rsidRPr="00B74B6E" w:rsidRDefault="001F3D37" w:rsidP="00413F08">
                  <w:pPr>
                    <w:jc w:val="right"/>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17°</w:t>
                  </w:r>
                </w:p>
              </w:tc>
              <w:tc>
                <w:tcPr>
                  <w:tcW w:w="840" w:type="dxa"/>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tcPr>
                <w:p w14:paraId="0AEEB8A8" w14:textId="77777777" w:rsidR="001F3D37" w:rsidRPr="00B74B6E" w:rsidRDefault="001F3D37" w:rsidP="00413F08">
                  <w:pPr>
                    <w:jc w:val="right"/>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96°</w:t>
                  </w:r>
                </w:p>
              </w:tc>
              <w:tc>
                <w:tcPr>
                  <w:tcW w:w="840" w:type="dxa"/>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noWrap/>
                  <w:hideMark/>
                </w:tcPr>
                <w:p w14:paraId="032EC699" w14:textId="77777777" w:rsidR="001F3D37" w:rsidRPr="00B74B6E" w:rsidRDefault="001F3D37" w:rsidP="00413F08">
                  <w:pPr>
                    <w:jc w:val="right"/>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467°</w:t>
                  </w:r>
                </w:p>
              </w:tc>
            </w:tr>
          </w:tbl>
          <w:p w14:paraId="026F2865" w14:textId="77777777" w:rsidR="001F3D37" w:rsidRPr="00B74B6E" w:rsidRDefault="001F3D37" w:rsidP="00413F08">
            <w:pPr>
              <w:spacing w:line="360" w:lineRule="auto"/>
              <w:jc w:val="both"/>
              <w:rPr>
                <w:rFonts w:ascii="Times New Roman" w:eastAsia="Times New Roman" w:hAnsi="Times New Roman" w:cs="Times New Roman"/>
                <w:color w:val="002060"/>
                <w:sz w:val="16"/>
                <w:szCs w:val="16"/>
              </w:rPr>
            </w:pPr>
            <w:bookmarkStart w:id="4" w:name="_Hlk217928888"/>
            <w:r w:rsidRPr="00B74B6E">
              <w:rPr>
                <w:rFonts w:ascii="Times New Roman" w:eastAsia="Times New Roman" w:hAnsi="Times New Roman" w:cs="Times New Roman"/>
                <w:color w:val="002060"/>
                <w:sz w:val="16"/>
                <w:szCs w:val="16"/>
              </w:rPr>
              <w:t xml:space="preserve">Fuente: Elaboración propia en base a datos de </w:t>
            </w:r>
            <w:proofErr w:type="spellStart"/>
            <w:r w:rsidRPr="00B74B6E">
              <w:rPr>
                <w:rFonts w:ascii="Times New Roman" w:hAnsi="Times New Roman" w:cs="Times New Roman"/>
                <w:color w:val="002060"/>
                <w:sz w:val="16"/>
                <w:szCs w:val="16"/>
              </w:rPr>
              <w:t>Celemin</w:t>
            </w:r>
            <w:proofErr w:type="spellEnd"/>
            <w:r w:rsidRPr="00B74B6E">
              <w:rPr>
                <w:rFonts w:ascii="Times New Roman" w:hAnsi="Times New Roman" w:cs="Times New Roman"/>
                <w:color w:val="002060"/>
                <w:sz w:val="16"/>
                <w:szCs w:val="16"/>
              </w:rPr>
              <w:t xml:space="preserve"> </w:t>
            </w:r>
            <w:r w:rsidRPr="00B74B6E">
              <w:rPr>
                <w:rFonts w:ascii="Times New Roman" w:hAnsi="Times New Roman" w:cs="Times New Roman"/>
                <w:i/>
                <w:iCs/>
                <w:color w:val="002060"/>
                <w:sz w:val="16"/>
                <w:szCs w:val="16"/>
              </w:rPr>
              <w:t>et al.</w:t>
            </w:r>
            <w:r w:rsidRPr="00B74B6E">
              <w:rPr>
                <w:rFonts w:ascii="Times New Roman" w:hAnsi="Times New Roman" w:cs="Times New Roman"/>
                <w:color w:val="002060"/>
                <w:sz w:val="16"/>
                <w:szCs w:val="16"/>
              </w:rPr>
              <w:t xml:space="preserve"> (2025).</w:t>
            </w:r>
          </w:p>
          <w:bookmarkEnd w:id="4"/>
          <w:p w14:paraId="7D6D6342" w14:textId="2AE7E306" w:rsidR="006319A5" w:rsidRPr="00B74B6E" w:rsidRDefault="006319A5" w:rsidP="00413F08">
            <w:pPr>
              <w:spacing w:line="360" w:lineRule="auto"/>
              <w:jc w:val="both"/>
              <w:rPr>
                <w:rFonts w:ascii="Arial" w:eastAsia="Times New Roman" w:hAnsi="Arial" w:cs="Arial"/>
                <w:color w:val="000000"/>
              </w:rPr>
            </w:pPr>
          </w:p>
        </w:tc>
        <w:tc>
          <w:tcPr>
            <w:tcW w:w="3240" w:type="dxa"/>
            <w:tcBorders>
              <w:top w:val="nil"/>
              <w:left w:val="nil"/>
              <w:bottom w:val="nil"/>
              <w:right w:val="nil"/>
            </w:tcBorders>
          </w:tcPr>
          <w:p w14:paraId="6885E080" w14:textId="77777777" w:rsidR="001F3D37" w:rsidRPr="00B74B6E" w:rsidRDefault="001F3D37" w:rsidP="00017DFA">
            <w:pPr>
              <w:pStyle w:val="Descripcin"/>
              <w:keepNext/>
              <w:rPr>
                <w:rFonts w:ascii="Times New Roman" w:hAnsi="Times New Roman" w:cs="Times New Roman"/>
                <w:b w:val="0"/>
                <w:smallCaps w:val="0"/>
                <w:color w:val="002060"/>
                <w:sz w:val="20"/>
                <w:szCs w:val="20"/>
              </w:rPr>
            </w:pPr>
            <w:bookmarkStart w:id="5" w:name="_Toc223688995"/>
            <w:bookmarkStart w:id="6" w:name="_Toc223691415"/>
            <w:bookmarkStart w:id="7" w:name="_Toc227339430"/>
            <w:r w:rsidRPr="00B74B6E">
              <w:rPr>
                <w:rFonts w:ascii="Times New Roman" w:hAnsi="Times New Roman" w:cs="Times New Roman"/>
                <w:smallCaps w:val="0"/>
                <w:color w:val="002060"/>
                <w:sz w:val="20"/>
                <w:szCs w:val="20"/>
              </w:rPr>
              <w:t xml:space="preserve">Cuadro </w:t>
            </w:r>
            <w:r w:rsidRPr="00B74B6E">
              <w:rPr>
                <w:rFonts w:ascii="Times New Roman" w:hAnsi="Times New Roman" w:cs="Times New Roman"/>
                <w:smallCaps w:val="0"/>
                <w:color w:val="002060"/>
                <w:sz w:val="20"/>
                <w:szCs w:val="20"/>
              </w:rPr>
              <w:fldChar w:fldCharType="begin"/>
            </w:r>
            <w:r w:rsidRPr="00B74B6E">
              <w:rPr>
                <w:rFonts w:ascii="Times New Roman" w:hAnsi="Times New Roman" w:cs="Times New Roman"/>
                <w:smallCaps w:val="0"/>
                <w:color w:val="002060"/>
                <w:sz w:val="20"/>
                <w:szCs w:val="20"/>
              </w:rPr>
              <w:instrText xml:space="preserve"> SEQ Cuadro \* ARABIC </w:instrText>
            </w:r>
            <w:r w:rsidRPr="00B74B6E">
              <w:rPr>
                <w:rFonts w:ascii="Times New Roman" w:hAnsi="Times New Roman" w:cs="Times New Roman"/>
                <w:smallCaps w:val="0"/>
                <w:color w:val="002060"/>
                <w:sz w:val="20"/>
                <w:szCs w:val="20"/>
              </w:rPr>
              <w:fldChar w:fldCharType="separate"/>
            </w:r>
            <w:r w:rsidRPr="00B74B6E">
              <w:rPr>
                <w:rFonts w:ascii="Times New Roman" w:hAnsi="Times New Roman" w:cs="Times New Roman"/>
                <w:smallCaps w:val="0"/>
                <w:noProof/>
                <w:color w:val="002060"/>
                <w:sz w:val="20"/>
                <w:szCs w:val="20"/>
              </w:rPr>
              <w:t>2</w:t>
            </w:r>
            <w:r w:rsidRPr="00B74B6E">
              <w:rPr>
                <w:rFonts w:ascii="Times New Roman" w:hAnsi="Times New Roman" w:cs="Times New Roman"/>
                <w:smallCaps w:val="0"/>
                <w:color w:val="002060"/>
                <w:sz w:val="20"/>
                <w:szCs w:val="20"/>
              </w:rPr>
              <w:fldChar w:fldCharType="end"/>
            </w:r>
            <w:r w:rsidRPr="00B74B6E">
              <w:rPr>
                <w:rFonts w:ascii="Times New Roman" w:hAnsi="Times New Roman" w:cs="Times New Roman"/>
                <w:smallCaps w:val="0"/>
                <w:color w:val="002060"/>
                <w:sz w:val="20"/>
                <w:szCs w:val="20"/>
              </w:rPr>
              <w:t>:</w:t>
            </w:r>
            <w:r w:rsidRPr="00B74B6E">
              <w:rPr>
                <w:rFonts w:ascii="Times New Roman" w:hAnsi="Times New Roman" w:cs="Times New Roman"/>
                <w:b w:val="0"/>
                <w:smallCaps w:val="0"/>
                <w:color w:val="002060"/>
                <w:sz w:val="20"/>
                <w:szCs w:val="20"/>
              </w:rPr>
              <w:t xml:space="preserve"> Índice de Calidad de Vida</w:t>
            </w:r>
            <w:bookmarkEnd w:id="5"/>
            <w:bookmarkEnd w:id="6"/>
            <w:r w:rsidRPr="00B74B6E">
              <w:rPr>
                <w:rFonts w:ascii="Times New Roman" w:hAnsi="Times New Roman" w:cs="Times New Roman"/>
                <w:b w:val="0"/>
                <w:smallCaps w:val="0"/>
                <w:color w:val="002060"/>
                <w:sz w:val="20"/>
                <w:szCs w:val="20"/>
              </w:rPr>
              <w:t xml:space="preserve"> promedio y ranking regional (NOA), según provincias. 2022.</w:t>
            </w:r>
            <w:bookmarkEnd w:id="7"/>
          </w:p>
          <w:tbl>
            <w:tblPr>
              <w:tblStyle w:val="Tablaconcuadrcula"/>
              <w:tblW w:w="2805" w:type="dxa"/>
              <w:tblInd w:w="247" w:type="dxa"/>
              <w:tblLayout w:type="fixed"/>
              <w:tblLook w:val="04A0" w:firstRow="1" w:lastRow="0" w:firstColumn="1" w:lastColumn="0" w:noHBand="0" w:noVBand="1"/>
            </w:tblPr>
            <w:tblGrid>
              <w:gridCol w:w="1066"/>
              <w:gridCol w:w="829"/>
              <w:gridCol w:w="910"/>
            </w:tblGrid>
            <w:tr w:rsidR="001F3D37" w:rsidRPr="00B74B6E" w14:paraId="6BF7FAE7" w14:textId="77777777" w:rsidTr="001F3D37">
              <w:trPr>
                <w:cantSplit/>
                <w:trHeight w:val="884"/>
              </w:trPr>
              <w:tc>
                <w:tcPr>
                  <w:tcW w:w="106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vAlign w:val="center"/>
                  <w:hideMark/>
                </w:tcPr>
                <w:p w14:paraId="73027347" w14:textId="77777777" w:rsidR="001F3D37" w:rsidRPr="00B74B6E" w:rsidRDefault="001F3D37" w:rsidP="00413F08">
                  <w:pPr>
                    <w:jc w:val="center"/>
                    <w:rPr>
                      <w:rFonts w:asciiTheme="minorHAnsi" w:eastAsia="Times New Roman" w:hAnsiTheme="minorHAnsi" w:cstheme="minorHAnsi"/>
                      <w:b/>
                      <w:bCs/>
                      <w:color w:val="FFFFFF" w:themeColor="background1"/>
                      <w:sz w:val="18"/>
                      <w:szCs w:val="18"/>
                    </w:rPr>
                  </w:pPr>
                  <w:r w:rsidRPr="00B74B6E">
                    <w:rPr>
                      <w:rFonts w:asciiTheme="minorHAnsi" w:eastAsia="Times New Roman" w:hAnsiTheme="minorHAnsi" w:cstheme="minorHAnsi"/>
                      <w:b/>
                      <w:bCs/>
                      <w:color w:val="FFFFFF" w:themeColor="background1"/>
                      <w:sz w:val="18"/>
                      <w:szCs w:val="18"/>
                    </w:rPr>
                    <w:t>Provincias del NOA</w:t>
                  </w:r>
                </w:p>
              </w:tc>
              <w:tc>
                <w:tcPr>
                  <w:tcW w:w="82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vAlign w:val="center"/>
                  <w:hideMark/>
                </w:tcPr>
                <w:p w14:paraId="400D5065" w14:textId="77777777" w:rsidR="001F3D37" w:rsidRPr="00B74B6E" w:rsidRDefault="001F3D37" w:rsidP="00413F08">
                  <w:pPr>
                    <w:jc w:val="center"/>
                    <w:rPr>
                      <w:rFonts w:asciiTheme="minorHAnsi" w:eastAsia="Times New Roman" w:hAnsiTheme="minorHAnsi" w:cstheme="minorHAnsi"/>
                      <w:b/>
                      <w:bCs/>
                      <w:color w:val="FFFFFF" w:themeColor="background1"/>
                      <w:sz w:val="18"/>
                      <w:szCs w:val="18"/>
                    </w:rPr>
                  </w:pPr>
                  <w:r w:rsidRPr="00B74B6E">
                    <w:rPr>
                      <w:rFonts w:asciiTheme="minorHAnsi" w:eastAsia="Times New Roman" w:hAnsiTheme="minorHAnsi" w:cstheme="minorHAnsi"/>
                      <w:b/>
                      <w:bCs/>
                      <w:color w:val="FFFFFF" w:themeColor="background1"/>
                      <w:sz w:val="18"/>
                      <w:szCs w:val="18"/>
                    </w:rPr>
                    <w:t xml:space="preserve">ICV </w:t>
                  </w:r>
                  <w:proofErr w:type="spellStart"/>
                  <w:r w:rsidRPr="00B74B6E">
                    <w:rPr>
                      <w:rFonts w:asciiTheme="minorHAnsi" w:eastAsia="Times New Roman" w:hAnsiTheme="minorHAnsi" w:cstheme="minorHAnsi"/>
                      <w:b/>
                      <w:bCs/>
                      <w:color w:val="FFFFFF" w:themeColor="background1"/>
                      <w:sz w:val="18"/>
                      <w:szCs w:val="18"/>
                    </w:rPr>
                    <w:t>prome</w:t>
                  </w:r>
                  <w:proofErr w:type="spellEnd"/>
                  <w:r w:rsidRPr="00B74B6E">
                    <w:rPr>
                      <w:rFonts w:asciiTheme="minorHAnsi" w:eastAsia="Times New Roman" w:hAnsiTheme="minorHAnsi" w:cstheme="minorHAnsi"/>
                      <w:b/>
                      <w:bCs/>
                      <w:color w:val="FFFFFF" w:themeColor="background1"/>
                      <w:sz w:val="18"/>
                      <w:szCs w:val="18"/>
                    </w:rPr>
                    <w:t>-dio</w:t>
                  </w:r>
                </w:p>
              </w:tc>
              <w:tc>
                <w:tcPr>
                  <w:tcW w:w="91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vAlign w:val="center"/>
                  <w:hideMark/>
                </w:tcPr>
                <w:p w14:paraId="59D21838" w14:textId="77777777" w:rsidR="001F3D37" w:rsidRPr="00B74B6E" w:rsidRDefault="001F3D37" w:rsidP="00413F08">
                  <w:pPr>
                    <w:jc w:val="center"/>
                    <w:rPr>
                      <w:rFonts w:asciiTheme="minorHAnsi" w:eastAsia="Times New Roman" w:hAnsiTheme="minorHAnsi" w:cstheme="minorHAnsi"/>
                      <w:b/>
                      <w:bCs/>
                      <w:color w:val="FFFFFF" w:themeColor="background1"/>
                      <w:sz w:val="18"/>
                      <w:szCs w:val="18"/>
                    </w:rPr>
                  </w:pPr>
                  <w:r w:rsidRPr="00B74B6E">
                    <w:rPr>
                      <w:rFonts w:asciiTheme="minorHAnsi" w:eastAsia="Times New Roman" w:hAnsiTheme="minorHAnsi" w:cstheme="minorHAnsi"/>
                      <w:b/>
                      <w:bCs/>
                      <w:color w:val="FFFFFF" w:themeColor="background1"/>
                      <w:sz w:val="18"/>
                      <w:szCs w:val="18"/>
                    </w:rPr>
                    <w:t>Ranking NOA</w:t>
                  </w:r>
                </w:p>
              </w:tc>
            </w:tr>
            <w:tr w:rsidR="001F3D37" w:rsidRPr="00B74B6E" w14:paraId="5F0C9E34" w14:textId="77777777" w:rsidTr="001F3D37">
              <w:trPr>
                <w:cantSplit/>
                <w:trHeight w:val="753"/>
              </w:trPr>
              <w:tc>
                <w:tcPr>
                  <w:tcW w:w="106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CC2E5" w:themeFill="accent1" w:themeFillTint="99"/>
                  <w:vAlign w:val="center"/>
                  <w:hideMark/>
                </w:tcPr>
                <w:p w14:paraId="2361529A" w14:textId="77777777" w:rsidR="001F3D37" w:rsidRPr="00B74B6E" w:rsidRDefault="001F3D37" w:rsidP="00413F08">
                  <w:pPr>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La Rioja</w:t>
                  </w:r>
                </w:p>
              </w:tc>
              <w:tc>
                <w:tcPr>
                  <w:tcW w:w="829" w:type="dxa"/>
                  <w:tcBorders>
                    <w:top w:val="single" w:sz="4" w:space="0" w:color="FFFFFF" w:themeColor="background1"/>
                    <w:left w:val="single" w:sz="4" w:space="0" w:color="FFFFFF" w:themeColor="background1"/>
                    <w:bottom w:val="single" w:sz="4" w:space="0" w:color="8EAADB" w:themeColor="accent5" w:themeTint="99"/>
                    <w:right w:val="single" w:sz="4" w:space="0" w:color="8EAADB" w:themeColor="accent5" w:themeTint="99"/>
                  </w:tcBorders>
                  <w:vAlign w:val="center"/>
                  <w:hideMark/>
                </w:tcPr>
                <w:p w14:paraId="67AA99F6" w14:textId="77777777" w:rsidR="001F3D37" w:rsidRPr="00B74B6E" w:rsidRDefault="001F3D37" w:rsidP="00413F08">
                  <w:pPr>
                    <w:jc w:val="right"/>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6,368</w:t>
                  </w:r>
                </w:p>
              </w:tc>
              <w:tc>
                <w:tcPr>
                  <w:tcW w:w="910" w:type="dxa"/>
                  <w:tcBorders>
                    <w:top w:val="single" w:sz="4" w:space="0" w:color="FFFFFF" w:themeColor="background1"/>
                    <w:left w:val="single" w:sz="4" w:space="0" w:color="8EAADB" w:themeColor="accent5" w:themeTint="99"/>
                    <w:bottom w:val="single" w:sz="4" w:space="0" w:color="8EAADB" w:themeColor="accent5" w:themeTint="99"/>
                    <w:right w:val="single" w:sz="4" w:space="0" w:color="8EAADB" w:themeColor="accent5" w:themeTint="99"/>
                  </w:tcBorders>
                  <w:vAlign w:val="center"/>
                  <w:hideMark/>
                </w:tcPr>
                <w:p w14:paraId="16E15F2A" w14:textId="77777777" w:rsidR="001F3D37" w:rsidRPr="00B74B6E" w:rsidRDefault="001F3D37" w:rsidP="00413F08">
                  <w:pPr>
                    <w:jc w:val="right"/>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1°</w:t>
                  </w:r>
                </w:p>
              </w:tc>
            </w:tr>
            <w:tr w:rsidR="001F3D37" w:rsidRPr="00B74B6E" w14:paraId="4DFCA467" w14:textId="77777777" w:rsidTr="001F3D37">
              <w:trPr>
                <w:cantSplit/>
                <w:trHeight w:val="753"/>
              </w:trPr>
              <w:tc>
                <w:tcPr>
                  <w:tcW w:w="106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CC2E5" w:themeFill="accent1" w:themeFillTint="99"/>
                  <w:vAlign w:val="center"/>
                  <w:hideMark/>
                </w:tcPr>
                <w:p w14:paraId="021E29D4" w14:textId="77777777" w:rsidR="001F3D37" w:rsidRPr="00B74B6E" w:rsidRDefault="001F3D37" w:rsidP="00413F08">
                  <w:pPr>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Catamarca</w:t>
                  </w:r>
                </w:p>
              </w:tc>
              <w:tc>
                <w:tcPr>
                  <w:tcW w:w="829" w:type="dxa"/>
                  <w:tcBorders>
                    <w:top w:val="single" w:sz="4" w:space="0" w:color="8EAADB" w:themeColor="accent5" w:themeTint="99"/>
                    <w:left w:val="single" w:sz="4" w:space="0" w:color="FFFFFF" w:themeColor="background1"/>
                    <w:bottom w:val="single" w:sz="4" w:space="0" w:color="8EAADB" w:themeColor="accent5" w:themeTint="99"/>
                    <w:right w:val="single" w:sz="4" w:space="0" w:color="8EAADB" w:themeColor="accent5" w:themeTint="99"/>
                  </w:tcBorders>
                  <w:vAlign w:val="center"/>
                  <w:hideMark/>
                </w:tcPr>
                <w:p w14:paraId="5A3763EF" w14:textId="77777777" w:rsidR="001F3D37" w:rsidRPr="00B74B6E" w:rsidRDefault="001F3D37" w:rsidP="00413F08">
                  <w:pPr>
                    <w:jc w:val="right"/>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6,267</w:t>
                  </w:r>
                </w:p>
              </w:tc>
              <w:tc>
                <w:tcPr>
                  <w:tcW w:w="910" w:type="dxa"/>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vAlign w:val="center"/>
                  <w:hideMark/>
                </w:tcPr>
                <w:p w14:paraId="1A01B154" w14:textId="77777777" w:rsidR="001F3D37" w:rsidRPr="00B74B6E" w:rsidRDefault="001F3D37" w:rsidP="00413F08">
                  <w:pPr>
                    <w:jc w:val="right"/>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2°</w:t>
                  </w:r>
                </w:p>
              </w:tc>
            </w:tr>
            <w:tr w:rsidR="001F3D37" w:rsidRPr="00B74B6E" w14:paraId="3D825D1E" w14:textId="77777777" w:rsidTr="001F3D37">
              <w:trPr>
                <w:cantSplit/>
                <w:trHeight w:val="753"/>
              </w:trPr>
              <w:tc>
                <w:tcPr>
                  <w:tcW w:w="106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CC2E5" w:themeFill="accent1" w:themeFillTint="99"/>
                  <w:vAlign w:val="center"/>
                  <w:hideMark/>
                </w:tcPr>
                <w:p w14:paraId="703BE8CB" w14:textId="77777777" w:rsidR="001F3D37" w:rsidRPr="00B74B6E" w:rsidRDefault="001F3D37" w:rsidP="00413F08">
                  <w:pPr>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Tucumán</w:t>
                  </w:r>
                </w:p>
              </w:tc>
              <w:tc>
                <w:tcPr>
                  <w:tcW w:w="829" w:type="dxa"/>
                  <w:tcBorders>
                    <w:top w:val="single" w:sz="4" w:space="0" w:color="8EAADB" w:themeColor="accent5" w:themeTint="99"/>
                    <w:left w:val="single" w:sz="4" w:space="0" w:color="FFFFFF" w:themeColor="background1"/>
                    <w:bottom w:val="single" w:sz="4" w:space="0" w:color="8EAADB" w:themeColor="accent5" w:themeTint="99"/>
                    <w:right w:val="single" w:sz="4" w:space="0" w:color="8EAADB" w:themeColor="accent5" w:themeTint="99"/>
                  </w:tcBorders>
                  <w:vAlign w:val="center"/>
                  <w:hideMark/>
                </w:tcPr>
                <w:p w14:paraId="455EAABB" w14:textId="77777777" w:rsidR="001F3D37" w:rsidRPr="00B74B6E" w:rsidRDefault="001F3D37" w:rsidP="00413F08">
                  <w:pPr>
                    <w:jc w:val="right"/>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6,020</w:t>
                  </w:r>
                </w:p>
              </w:tc>
              <w:tc>
                <w:tcPr>
                  <w:tcW w:w="910" w:type="dxa"/>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vAlign w:val="center"/>
                  <w:hideMark/>
                </w:tcPr>
                <w:p w14:paraId="5BC8B2DB" w14:textId="77777777" w:rsidR="001F3D37" w:rsidRPr="00B74B6E" w:rsidRDefault="001F3D37" w:rsidP="00413F08">
                  <w:pPr>
                    <w:jc w:val="right"/>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3°</w:t>
                  </w:r>
                </w:p>
              </w:tc>
            </w:tr>
            <w:tr w:rsidR="001F3D37" w:rsidRPr="00B74B6E" w14:paraId="628EB80D" w14:textId="77777777" w:rsidTr="001F3D37">
              <w:trPr>
                <w:cantSplit/>
                <w:trHeight w:val="753"/>
              </w:trPr>
              <w:tc>
                <w:tcPr>
                  <w:tcW w:w="106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CC2E5" w:themeFill="accent1" w:themeFillTint="99"/>
                  <w:vAlign w:val="center"/>
                  <w:hideMark/>
                </w:tcPr>
                <w:p w14:paraId="4D3B0E68" w14:textId="77777777" w:rsidR="001F3D37" w:rsidRPr="00B74B6E" w:rsidRDefault="001F3D37" w:rsidP="00413F08">
                  <w:pPr>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Jujuy</w:t>
                  </w:r>
                </w:p>
              </w:tc>
              <w:tc>
                <w:tcPr>
                  <w:tcW w:w="829" w:type="dxa"/>
                  <w:tcBorders>
                    <w:top w:val="single" w:sz="4" w:space="0" w:color="8EAADB" w:themeColor="accent5" w:themeTint="99"/>
                    <w:left w:val="single" w:sz="4" w:space="0" w:color="FFFFFF" w:themeColor="background1"/>
                    <w:bottom w:val="single" w:sz="4" w:space="0" w:color="8EAADB" w:themeColor="accent5" w:themeTint="99"/>
                    <w:right w:val="single" w:sz="4" w:space="0" w:color="8EAADB" w:themeColor="accent5" w:themeTint="99"/>
                  </w:tcBorders>
                  <w:vAlign w:val="center"/>
                  <w:hideMark/>
                </w:tcPr>
                <w:p w14:paraId="6DA482B2" w14:textId="77777777" w:rsidR="001F3D37" w:rsidRPr="00B74B6E" w:rsidRDefault="001F3D37" w:rsidP="00413F08">
                  <w:pPr>
                    <w:jc w:val="right"/>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6,015</w:t>
                  </w:r>
                </w:p>
              </w:tc>
              <w:tc>
                <w:tcPr>
                  <w:tcW w:w="910" w:type="dxa"/>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vAlign w:val="center"/>
                  <w:hideMark/>
                </w:tcPr>
                <w:p w14:paraId="5B36DB7A" w14:textId="77777777" w:rsidR="001F3D37" w:rsidRPr="00B74B6E" w:rsidRDefault="001F3D37" w:rsidP="00413F08">
                  <w:pPr>
                    <w:jc w:val="right"/>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4°</w:t>
                  </w:r>
                </w:p>
              </w:tc>
            </w:tr>
            <w:tr w:rsidR="001F3D37" w:rsidRPr="00B74B6E" w14:paraId="7387D61E" w14:textId="77777777" w:rsidTr="001F3D37">
              <w:trPr>
                <w:cantSplit/>
                <w:trHeight w:val="753"/>
              </w:trPr>
              <w:tc>
                <w:tcPr>
                  <w:tcW w:w="106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CC2E5" w:themeFill="accent1" w:themeFillTint="99"/>
                  <w:vAlign w:val="center"/>
                  <w:hideMark/>
                </w:tcPr>
                <w:p w14:paraId="1837B7AC" w14:textId="77777777" w:rsidR="001F3D37" w:rsidRPr="00B74B6E" w:rsidRDefault="001F3D37" w:rsidP="00413F08">
                  <w:pPr>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Salta</w:t>
                  </w:r>
                </w:p>
              </w:tc>
              <w:tc>
                <w:tcPr>
                  <w:tcW w:w="829" w:type="dxa"/>
                  <w:tcBorders>
                    <w:top w:val="single" w:sz="4" w:space="0" w:color="8EAADB" w:themeColor="accent5" w:themeTint="99"/>
                    <w:left w:val="single" w:sz="4" w:space="0" w:color="FFFFFF" w:themeColor="background1"/>
                    <w:bottom w:val="single" w:sz="4" w:space="0" w:color="8EAADB" w:themeColor="accent5" w:themeTint="99"/>
                    <w:right w:val="single" w:sz="4" w:space="0" w:color="8EAADB" w:themeColor="accent5" w:themeTint="99"/>
                  </w:tcBorders>
                  <w:vAlign w:val="center"/>
                  <w:hideMark/>
                </w:tcPr>
                <w:p w14:paraId="2C8DF902" w14:textId="77777777" w:rsidR="001F3D37" w:rsidRPr="00B74B6E" w:rsidRDefault="001F3D37" w:rsidP="00413F08">
                  <w:pPr>
                    <w:jc w:val="right"/>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5,840</w:t>
                  </w:r>
                </w:p>
              </w:tc>
              <w:tc>
                <w:tcPr>
                  <w:tcW w:w="910" w:type="dxa"/>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vAlign w:val="center"/>
                  <w:hideMark/>
                </w:tcPr>
                <w:p w14:paraId="5D968C0E" w14:textId="77777777" w:rsidR="001F3D37" w:rsidRPr="00B74B6E" w:rsidRDefault="001F3D37" w:rsidP="00413F08">
                  <w:pPr>
                    <w:jc w:val="right"/>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5°</w:t>
                  </w:r>
                </w:p>
              </w:tc>
            </w:tr>
            <w:tr w:rsidR="001F3D37" w:rsidRPr="00B74B6E" w14:paraId="7B733063" w14:textId="77777777" w:rsidTr="001F3D37">
              <w:trPr>
                <w:cantSplit/>
                <w:trHeight w:val="753"/>
              </w:trPr>
              <w:tc>
                <w:tcPr>
                  <w:tcW w:w="106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CC2E5" w:themeFill="accent1" w:themeFillTint="99"/>
                  <w:vAlign w:val="center"/>
                  <w:hideMark/>
                </w:tcPr>
                <w:p w14:paraId="3D2E1F5B" w14:textId="77777777" w:rsidR="001F3D37" w:rsidRPr="00B74B6E" w:rsidRDefault="001F3D37" w:rsidP="00413F08">
                  <w:pPr>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Santiago del Estero</w:t>
                  </w:r>
                </w:p>
              </w:tc>
              <w:tc>
                <w:tcPr>
                  <w:tcW w:w="829" w:type="dxa"/>
                  <w:tcBorders>
                    <w:top w:val="single" w:sz="4" w:space="0" w:color="8EAADB" w:themeColor="accent5" w:themeTint="99"/>
                    <w:left w:val="single" w:sz="4" w:space="0" w:color="FFFFFF" w:themeColor="background1"/>
                    <w:bottom w:val="single" w:sz="4" w:space="0" w:color="8EAADB" w:themeColor="accent5" w:themeTint="99"/>
                    <w:right w:val="single" w:sz="4" w:space="0" w:color="8EAADB" w:themeColor="accent5" w:themeTint="99"/>
                  </w:tcBorders>
                  <w:vAlign w:val="center"/>
                  <w:hideMark/>
                </w:tcPr>
                <w:p w14:paraId="2D75B39C" w14:textId="77777777" w:rsidR="001F3D37" w:rsidRPr="00B74B6E" w:rsidRDefault="001F3D37" w:rsidP="00413F08">
                  <w:pPr>
                    <w:jc w:val="right"/>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3,778</w:t>
                  </w:r>
                </w:p>
              </w:tc>
              <w:tc>
                <w:tcPr>
                  <w:tcW w:w="910" w:type="dxa"/>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vAlign w:val="center"/>
                  <w:hideMark/>
                </w:tcPr>
                <w:p w14:paraId="17784170" w14:textId="77777777" w:rsidR="001F3D37" w:rsidRPr="00B74B6E" w:rsidRDefault="001F3D37" w:rsidP="00413F08">
                  <w:pPr>
                    <w:jc w:val="right"/>
                    <w:rPr>
                      <w:rFonts w:asciiTheme="minorHAnsi" w:eastAsia="Times New Roman" w:hAnsiTheme="minorHAnsi" w:cstheme="minorHAnsi"/>
                      <w:color w:val="000000"/>
                      <w:sz w:val="18"/>
                      <w:szCs w:val="18"/>
                    </w:rPr>
                  </w:pPr>
                  <w:r w:rsidRPr="00B74B6E">
                    <w:rPr>
                      <w:rFonts w:asciiTheme="minorHAnsi" w:eastAsia="Times New Roman" w:hAnsiTheme="minorHAnsi" w:cstheme="minorHAnsi"/>
                      <w:color w:val="000000"/>
                      <w:sz w:val="18"/>
                      <w:szCs w:val="18"/>
                    </w:rPr>
                    <w:t>6°</w:t>
                  </w:r>
                </w:p>
              </w:tc>
            </w:tr>
          </w:tbl>
          <w:p w14:paraId="5F1CA847" w14:textId="33ED6E77" w:rsidR="001F3D37" w:rsidRPr="00B74B6E" w:rsidRDefault="001F3D37" w:rsidP="00413F08">
            <w:pPr>
              <w:jc w:val="both"/>
              <w:rPr>
                <w:rFonts w:ascii="Times New Roman" w:eastAsia="Times New Roman" w:hAnsi="Times New Roman" w:cs="Times New Roman"/>
                <w:color w:val="002060"/>
                <w:sz w:val="16"/>
                <w:szCs w:val="16"/>
              </w:rPr>
            </w:pPr>
            <w:r w:rsidRPr="00B74B6E">
              <w:rPr>
                <w:rFonts w:ascii="Times New Roman" w:eastAsia="Times New Roman" w:hAnsi="Times New Roman" w:cs="Times New Roman"/>
                <w:color w:val="002060"/>
                <w:sz w:val="16"/>
                <w:szCs w:val="16"/>
              </w:rPr>
              <w:t xml:space="preserve">      Fuente: Elaboración propia en base a datos de </w:t>
            </w:r>
            <w:proofErr w:type="spellStart"/>
            <w:r w:rsidRPr="00B74B6E">
              <w:rPr>
                <w:rFonts w:ascii="Times New Roman" w:hAnsi="Times New Roman" w:cs="Times New Roman"/>
                <w:color w:val="002060"/>
                <w:sz w:val="16"/>
                <w:szCs w:val="16"/>
              </w:rPr>
              <w:t>Celemin</w:t>
            </w:r>
            <w:proofErr w:type="spellEnd"/>
            <w:r w:rsidRPr="00B74B6E">
              <w:rPr>
                <w:rFonts w:ascii="Times New Roman" w:hAnsi="Times New Roman" w:cs="Times New Roman"/>
                <w:color w:val="002060"/>
                <w:sz w:val="16"/>
                <w:szCs w:val="16"/>
              </w:rPr>
              <w:t xml:space="preserve"> </w:t>
            </w:r>
            <w:r w:rsidRPr="00B74B6E">
              <w:rPr>
                <w:rFonts w:ascii="Times New Roman" w:hAnsi="Times New Roman" w:cs="Times New Roman"/>
                <w:i/>
                <w:iCs/>
                <w:color w:val="002060"/>
                <w:sz w:val="16"/>
                <w:szCs w:val="16"/>
              </w:rPr>
              <w:t>et al.</w:t>
            </w:r>
            <w:r w:rsidRPr="00B74B6E">
              <w:rPr>
                <w:rFonts w:ascii="Times New Roman" w:hAnsi="Times New Roman" w:cs="Times New Roman"/>
                <w:color w:val="002060"/>
                <w:sz w:val="16"/>
                <w:szCs w:val="16"/>
              </w:rPr>
              <w:t xml:space="preserve"> (2025).</w:t>
            </w:r>
          </w:p>
          <w:p w14:paraId="69708C60" w14:textId="77777777" w:rsidR="001F3D37" w:rsidRPr="00B74B6E" w:rsidRDefault="001F3D37" w:rsidP="00413F08">
            <w:pPr>
              <w:spacing w:line="360" w:lineRule="auto"/>
              <w:jc w:val="both"/>
              <w:rPr>
                <w:rFonts w:ascii="Arial" w:eastAsia="Times New Roman" w:hAnsi="Arial" w:cs="Arial"/>
                <w:color w:val="000000"/>
              </w:rPr>
            </w:pPr>
          </w:p>
        </w:tc>
      </w:tr>
    </w:tbl>
    <w:p w14:paraId="75153DEF" w14:textId="77777777" w:rsidR="00297297" w:rsidRPr="00B74B6E" w:rsidRDefault="00297297" w:rsidP="00297297">
      <w:pPr>
        <w:pStyle w:val="Descripcin"/>
        <w:keepNext/>
        <w:jc w:val="both"/>
        <w:rPr>
          <w:rFonts w:ascii="Times New Roman" w:hAnsi="Times New Roman" w:cs="Times New Roman"/>
        </w:rPr>
      </w:pPr>
      <w:bookmarkStart w:id="8" w:name="_Toc223903461"/>
      <w:r w:rsidRPr="00B74B6E">
        <w:rPr>
          <w:rFonts w:ascii="Times New Roman" w:hAnsi="Times New Roman" w:cs="Times New Roman"/>
          <w:smallCaps w:val="0"/>
          <w:color w:val="002060"/>
          <w:sz w:val="20"/>
          <w:szCs w:val="20"/>
        </w:rPr>
        <w:t>Gráfico 1:</w:t>
      </w:r>
      <w:r w:rsidRPr="00B74B6E">
        <w:rPr>
          <w:rFonts w:ascii="Times New Roman" w:hAnsi="Times New Roman" w:cs="Times New Roman"/>
          <w:color w:val="002060"/>
        </w:rPr>
        <w:t xml:space="preserve"> </w:t>
      </w:r>
      <w:r w:rsidRPr="00B74B6E">
        <w:rPr>
          <w:rFonts w:ascii="Times New Roman" w:hAnsi="Times New Roman" w:cs="Times New Roman"/>
          <w:b w:val="0"/>
          <w:bCs w:val="0"/>
          <w:smallCaps w:val="0"/>
          <w:color w:val="002060"/>
          <w:sz w:val="20"/>
          <w:szCs w:val="20"/>
        </w:rPr>
        <w:t>Índice de Contexto Social de la Educación (ICSE) por departamento. Tucumán, 2022.</w:t>
      </w:r>
      <w:bookmarkEnd w:id="8"/>
    </w:p>
    <w:p w14:paraId="4AF5EC50" w14:textId="77777777" w:rsidR="00297297" w:rsidRDefault="00297297" w:rsidP="00297297">
      <w:pPr>
        <w:spacing w:after="0" w:line="240" w:lineRule="auto"/>
        <w:jc w:val="both"/>
        <w:rPr>
          <w:rFonts w:ascii="Arial" w:hAnsi="Arial" w:cs="Arial"/>
        </w:rPr>
      </w:pPr>
      <w:r w:rsidRPr="00DE343E">
        <w:rPr>
          <w:rFonts w:ascii="Arial" w:hAnsi="Arial" w:cs="Arial"/>
          <w:noProof/>
        </w:rPr>
        <mc:AlternateContent>
          <mc:Choice Requires="wps">
            <w:drawing>
              <wp:anchor distT="45720" distB="45720" distL="114300" distR="114300" simplePos="0" relativeHeight="251659264" behindDoc="0" locked="0" layoutInCell="1" allowOverlap="1" wp14:anchorId="24705561" wp14:editId="048840A2">
                <wp:simplePos x="0" y="0"/>
                <wp:positionH relativeFrom="column">
                  <wp:posOffset>4142917</wp:posOffset>
                </wp:positionH>
                <wp:positionV relativeFrom="paragraph">
                  <wp:posOffset>45847</wp:posOffset>
                </wp:positionV>
                <wp:extent cx="833933" cy="555956"/>
                <wp:effectExtent l="0" t="0" r="4445"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933" cy="555956"/>
                        </a:xfrm>
                        <a:prstGeom prst="rect">
                          <a:avLst/>
                        </a:prstGeom>
                        <a:solidFill>
                          <a:srgbClr val="FFFFFF"/>
                        </a:solidFill>
                        <a:ln w="9525">
                          <a:noFill/>
                          <a:miter lim="800000"/>
                          <a:headEnd/>
                          <a:tailEnd/>
                        </a:ln>
                      </wps:spPr>
                      <wps:txbx>
                        <w:txbxContent>
                          <w:p w14:paraId="57105B4A" w14:textId="77777777" w:rsidR="00297297" w:rsidRPr="009564E6" w:rsidRDefault="00297297" w:rsidP="00297297">
                            <w:pPr>
                              <w:spacing w:after="0" w:line="240" w:lineRule="auto"/>
                              <w:rPr>
                                <w:sz w:val="16"/>
                                <w:szCs w:val="16"/>
                              </w:rPr>
                            </w:pPr>
                            <w:r w:rsidRPr="009564E6">
                              <w:rPr>
                                <w:rFonts w:ascii="Arial" w:hAnsi="Arial" w:cs="Arial"/>
                                <w:color w:val="B4C6E7" w:themeColor="accent5" w:themeTint="66"/>
                                <w:sz w:val="16"/>
                                <w:szCs w:val="16"/>
                              </w:rPr>
                              <w:t>■</w:t>
                            </w:r>
                            <w:r w:rsidRPr="009564E6">
                              <w:rPr>
                                <w:sz w:val="16"/>
                                <w:szCs w:val="16"/>
                              </w:rPr>
                              <w:t xml:space="preserve"> ICSE bajo</w:t>
                            </w:r>
                          </w:p>
                          <w:p w14:paraId="298AF7A2" w14:textId="77777777" w:rsidR="00297297" w:rsidRPr="009564E6" w:rsidRDefault="00297297" w:rsidP="00297297">
                            <w:pPr>
                              <w:spacing w:after="0" w:line="240" w:lineRule="auto"/>
                              <w:rPr>
                                <w:sz w:val="16"/>
                                <w:szCs w:val="16"/>
                              </w:rPr>
                            </w:pPr>
                            <w:r w:rsidRPr="009564E6">
                              <w:rPr>
                                <w:rFonts w:ascii="Arial" w:hAnsi="Arial" w:cs="Arial"/>
                                <w:color w:val="2F5496" w:themeColor="accent5" w:themeShade="BF"/>
                                <w:sz w:val="16"/>
                                <w:szCs w:val="16"/>
                              </w:rPr>
                              <w:t>■</w:t>
                            </w:r>
                            <w:r w:rsidRPr="009564E6">
                              <w:rPr>
                                <w:sz w:val="16"/>
                                <w:szCs w:val="16"/>
                              </w:rPr>
                              <w:t xml:space="preserve"> ICSE alto</w:t>
                            </w:r>
                          </w:p>
                          <w:p w14:paraId="534ABBD8" w14:textId="77777777" w:rsidR="00297297" w:rsidRPr="009564E6" w:rsidRDefault="00297297" w:rsidP="00297297">
                            <w:pPr>
                              <w:spacing w:after="0" w:line="240" w:lineRule="auto"/>
                              <w:rPr>
                                <w:sz w:val="16"/>
                                <w:szCs w:val="16"/>
                              </w:rPr>
                            </w:pPr>
                            <w:r w:rsidRPr="009564E6">
                              <w:rPr>
                                <w:rFonts w:ascii="Arial" w:hAnsi="Arial" w:cs="Arial"/>
                                <w:color w:val="002060"/>
                                <w:sz w:val="16"/>
                                <w:szCs w:val="16"/>
                              </w:rPr>
                              <w:t>■</w:t>
                            </w:r>
                            <w:r w:rsidRPr="009564E6">
                              <w:rPr>
                                <w:sz w:val="16"/>
                                <w:szCs w:val="16"/>
                              </w:rPr>
                              <w:t xml:space="preserve"> ICSE crítico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4705561" id="_x0000_t202" coordsize="21600,21600" o:spt="202" path="m,l,21600r21600,l21600,xe">
                <v:stroke joinstyle="miter"/>
                <v:path gradientshapeok="t" o:connecttype="rect"/>
              </v:shapetype>
              <v:shape id="Cuadro de texto 2" o:spid="_x0000_s1026" type="#_x0000_t202" style="position:absolute;left:0;text-align:left;margin-left:326.2pt;margin-top:3.6pt;width:65.65pt;height:43.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" stroked="f">
                <v:textbox>
                  <w:txbxContent>
                    <w:p w14:paraId="57105B4A" w14:textId="77777777" w:rsidR="00297297" w:rsidRPr="009564E6" w:rsidRDefault="00297297" w:rsidP="00297297">
                      <w:pPr>
                        <w:spacing w:after="0" w:line="240" w:lineRule="auto"/>
                        <w:rPr>
                          <w:sz w:val="16"/>
                          <w:szCs w:val="16"/>
                        </w:rPr>
                      </w:pPr>
                      <w:r w:rsidRPr="009564E6">
                        <w:rPr>
                          <w:rFonts w:ascii="Arial" w:hAnsi="Arial" w:cs="Arial"/>
                          <w:color w:val="B4C6E7" w:themeColor="accent5" w:themeTint="66"/>
                          <w:sz w:val="16"/>
                          <w:szCs w:val="16"/>
                        </w:rPr>
                        <w:t>■</w:t>
                      </w:r>
                      <w:r w:rsidRPr="009564E6">
                        <w:rPr>
                          <w:sz w:val="16"/>
                          <w:szCs w:val="16"/>
                        </w:rPr>
                        <w:t xml:space="preserve"> ICSE bajo</w:t>
                      </w:r>
                    </w:p>
                    <w:p w14:paraId="298AF7A2" w14:textId="77777777" w:rsidR="00297297" w:rsidRPr="009564E6" w:rsidRDefault="00297297" w:rsidP="00297297">
                      <w:pPr>
                        <w:spacing w:after="0" w:line="240" w:lineRule="auto"/>
                        <w:rPr>
                          <w:sz w:val="16"/>
                          <w:szCs w:val="16"/>
                        </w:rPr>
                      </w:pPr>
                      <w:r w:rsidRPr="009564E6">
                        <w:rPr>
                          <w:rFonts w:ascii="Arial" w:hAnsi="Arial" w:cs="Arial"/>
                          <w:color w:val="2F5496" w:themeColor="accent5" w:themeShade="BF"/>
                          <w:sz w:val="16"/>
                          <w:szCs w:val="16"/>
                        </w:rPr>
                        <w:t>■</w:t>
                      </w:r>
                      <w:r w:rsidRPr="009564E6">
                        <w:rPr>
                          <w:sz w:val="16"/>
                          <w:szCs w:val="16"/>
                        </w:rPr>
                        <w:t xml:space="preserve"> ICSE alto</w:t>
                      </w:r>
                    </w:p>
                    <w:p w14:paraId="534ABBD8" w14:textId="77777777" w:rsidR="00297297" w:rsidRPr="009564E6" w:rsidRDefault="00297297" w:rsidP="00297297">
                      <w:pPr>
                        <w:spacing w:after="0" w:line="240" w:lineRule="auto"/>
                        <w:rPr>
                          <w:sz w:val="16"/>
                          <w:szCs w:val="16"/>
                        </w:rPr>
                      </w:pPr>
                      <w:r w:rsidRPr="009564E6">
                        <w:rPr>
                          <w:rFonts w:ascii="Arial" w:hAnsi="Arial" w:cs="Arial"/>
                          <w:color w:val="002060"/>
                          <w:sz w:val="16"/>
                          <w:szCs w:val="16"/>
                        </w:rPr>
                        <w:t>■</w:t>
                      </w:r>
                      <w:r w:rsidRPr="009564E6">
                        <w:rPr>
                          <w:sz w:val="16"/>
                          <w:szCs w:val="16"/>
                        </w:rPr>
                        <w:t xml:space="preserve"> ICSE crítico</w:t>
                      </w:r>
                    </w:p>
                  </w:txbxContent>
                </v:textbox>
              </v:shape>
            </w:pict>
          </mc:Fallback>
        </mc:AlternateContent>
      </w:r>
      <w:r>
        <w:rPr>
          <w:noProof/>
        </w:rPr>
        <w:drawing>
          <wp:inline distT="0" distB="0" distL="0" distR="0" wp14:anchorId="7A244AE2" wp14:editId="5D59BD9B">
            <wp:extent cx="5142585" cy="2684679"/>
            <wp:effectExtent l="0" t="0" r="1270" b="1905"/>
            <wp:docPr id="24" name="Gráfico 24">
              <a:extLst xmlns:a="http://schemas.openxmlformats.org/drawingml/2006/main">
                <a:ext uri="{FF2B5EF4-FFF2-40B4-BE49-F238E27FC236}">
                  <a16:creationId xmlns:a16="http://schemas.microsoft.com/office/drawing/2014/main" id="{D778129E-15C8-4383-B9B7-63BD55A646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5777A7E1" w14:textId="77777777" w:rsidR="00297297" w:rsidRPr="00017DFA" w:rsidRDefault="00297297" w:rsidP="00297297">
      <w:pPr>
        <w:spacing w:after="0" w:line="360" w:lineRule="auto"/>
        <w:jc w:val="both"/>
        <w:rPr>
          <w:rFonts w:ascii="Times New Roman" w:eastAsia="Times New Roman" w:hAnsi="Times New Roman" w:cs="Times New Roman"/>
          <w:color w:val="002060"/>
          <w:sz w:val="16"/>
          <w:szCs w:val="16"/>
        </w:rPr>
      </w:pPr>
      <w:r w:rsidRPr="00017DFA">
        <w:rPr>
          <w:rFonts w:ascii="Times New Roman" w:eastAsia="Times New Roman" w:hAnsi="Times New Roman" w:cs="Times New Roman"/>
          <w:color w:val="002060"/>
          <w:sz w:val="16"/>
          <w:szCs w:val="16"/>
        </w:rPr>
        <w:t>Fuente: Elaboración propia en base a datos de ICSE 2022</w:t>
      </w:r>
      <w:r w:rsidRPr="00017DFA">
        <w:rPr>
          <w:rFonts w:ascii="Times New Roman" w:hAnsi="Times New Roman" w:cs="Times New Roman"/>
          <w:color w:val="002060"/>
          <w:sz w:val="16"/>
          <w:szCs w:val="16"/>
        </w:rPr>
        <w:t>.</w:t>
      </w:r>
    </w:p>
    <w:p w14:paraId="28581AFE" w14:textId="77777777" w:rsidR="00297297" w:rsidRDefault="00297297" w:rsidP="00297297">
      <w:pPr>
        <w:pStyle w:val="isselectedend"/>
        <w:spacing w:before="0" w:beforeAutospacing="0" w:after="0" w:afterAutospacing="0" w:line="360" w:lineRule="auto"/>
        <w:jc w:val="both"/>
      </w:pPr>
    </w:p>
    <w:p w14:paraId="513105B9" w14:textId="719CA1D8" w:rsidR="001A40AA" w:rsidRDefault="00363294" w:rsidP="006319A5">
      <w:pPr>
        <w:pStyle w:val="isselectedend"/>
        <w:spacing w:before="0" w:beforeAutospacing="0" w:after="0" w:afterAutospacing="0" w:line="360" w:lineRule="auto"/>
        <w:ind w:firstLine="708"/>
        <w:jc w:val="both"/>
      </w:pPr>
      <w:r w:rsidRPr="00363294">
        <w:lastRenderedPageBreak/>
        <w:t>La importancia de las escalas de análisis se hizo particularmente visible al examinar los resultados de las pruebas Aprender. A nivel provincial, los desempeños muestran que Tucumán presenta resultados cercanos a los promedios del NOA, aunque por debajo de los registrados para el total del país. Esta información resulta relevante para identificar tendencias generales y situar a la provincia en un contexto comparativo más amplio</w:t>
      </w:r>
      <w:r w:rsidR="005827A2">
        <w:t>.</w:t>
      </w:r>
      <w:r w:rsidR="00143A85">
        <w:t xml:space="preserve"> </w:t>
      </w:r>
    </w:p>
    <w:p w14:paraId="28B64EC3" w14:textId="77777777" w:rsidR="006319A5" w:rsidRDefault="006319A5" w:rsidP="001A40AA">
      <w:pPr>
        <w:pStyle w:val="isselectedend"/>
        <w:spacing w:before="0" w:beforeAutospacing="0" w:after="0" w:afterAutospacing="0" w:line="360" w:lineRule="auto"/>
        <w:jc w:val="both"/>
      </w:pPr>
    </w:p>
    <w:p w14:paraId="4EA6CCA5" w14:textId="761A2C4E" w:rsidR="001A40AA" w:rsidRDefault="001A40AA" w:rsidP="006319A5">
      <w:pPr>
        <w:pStyle w:val="isselectedend"/>
        <w:spacing w:before="0" w:beforeAutospacing="0" w:after="0" w:afterAutospacing="0"/>
        <w:jc w:val="both"/>
      </w:pPr>
      <w:r w:rsidRPr="00B74B6E">
        <w:rPr>
          <w:b/>
          <w:bCs/>
          <w:color w:val="002060"/>
          <w:sz w:val="20"/>
          <w:szCs w:val="20"/>
        </w:rPr>
        <w:t>Cuadro</w:t>
      </w:r>
      <w:r w:rsidR="00B74B6E" w:rsidRPr="00B74B6E">
        <w:rPr>
          <w:b/>
          <w:bCs/>
          <w:color w:val="002060"/>
          <w:sz w:val="20"/>
          <w:szCs w:val="20"/>
        </w:rPr>
        <w:t xml:space="preserve"> 3</w:t>
      </w:r>
      <w:r w:rsidRPr="00B74B6E">
        <w:rPr>
          <w:b/>
          <w:bCs/>
          <w:color w:val="002060"/>
          <w:sz w:val="20"/>
          <w:szCs w:val="20"/>
        </w:rPr>
        <w:t xml:space="preserve">: </w:t>
      </w:r>
      <w:r w:rsidRPr="00B74B6E">
        <w:rPr>
          <w:color w:val="002060"/>
          <w:sz w:val="20"/>
          <w:szCs w:val="20"/>
        </w:rPr>
        <w:t>Distribución porcentual del nivel de desempeño en Lengua y Matemática en Pruebas Aprender, según nivel educativo (primaria 2023 y secundaria 2024). Provincias del NOA y Total país.</w:t>
      </w:r>
      <w:r w:rsidR="006319A5">
        <w:rPr>
          <w:color w:val="002060"/>
          <w:sz w:val="20"/>
          <w:szCs w:val="20"/>
        </w:rPr>
        <w:t xml:space="preserve"> </w:t>
      </w:r>
      <w:r w:rsidRPr="004E1756">
        <w:rPr>
          <w:noProof/>
        </w:rPr>
        <w:drawing>
          <wp:inline distT="0" distB="0" distL="0" distR="0" wp14:anchorId="27322670" wp14:editId="4DDAE988">
            <wp:extent cx="5289550" cy="2723982"/>
            <wp:effectExtent l="0" t="0" r="6350" b="63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98731" cy="2728710"/>
                    </a:xfrm>
                    <a:prstGeom prst="rect">
                      <a:avLst/>
                    </a:prstGeom>
                    <a:noFill/>
                    <a:ln>
                      <a:noFill/>
                    </a:ln>
                  </pic:spPr>
                </pic:pic>
              </a:graphicData>
            </a:graphic>
          </wp:inline>
        </w:drawing>
      </w:r>
    </w:p>
    <w:p w14:paraId="3D98914C" w14:textId="77777777" w:rsidR="001A40AA" w:rsidRPr="001A40AA" w:rsidRDefault="001A40AA" w:rsidP="001A40AA">
      <w:pPr>
        <w:spacing w:after="0" w:line="360" w:lineRule="auto"/>
        <w:jc w:val="both"/>
        <w:rPr>
          <w:rFonts w:ascii="Times New Roman" w:hAnsi="Times New Roman" w:cs="Times New Roman"/>
          <w:color w:val="002060"/>
          <w:sz w:val="16"/>
          <w:szCs w:val="16"/>
        </w:rPr>
      </w:pPr>
      <w:r w:rsidRPr="001A40AA">
        <w:rPr>
          <w:rFonts w:ascii="Times New Roman" w:hAnsi="Times New Roman" w:cs="Times New Roman"/>
          <w:color w:val="002060"/>
          <w:sz w:val="16"/>
          <w:szCs w:val="16"/>
        </w:rPr>
        <w:t>Fuente: Elaboración propia en base a datos de SICDIE.</w:t>
      </w:r>
    </w:p>
    <w:p w14:paraId="04EFC2EC" w14:textId="77777777" w:rsidR="001A40AA" w:rsidRDefault="001A40AA" w:rsidP="001A40AA">
      <w:pPr>
        <w:pStyle w:val="isselectedend"/>
        <w:spacing w:before="0" w:beforeAutospacing="0" w:after="0" w:afterAutospacing="0" w:line="360" w:lineRule="auto"/>
        <w:jc w:val="both"/>
      </w:pPr>
    </w:p>
    <w:p w14:paraId="07B976E8" w14:textId="46EA8839" w:rsidR="0036470C" w:rsidRDefault="00363294" w:rsidP="0036470C">
      <w:pPr>
        <w:pStyle w:val="isselectedend"/>
        <w:spacing w:before="0" w:beforeAutospacing="0" w:after="0" w:afterAutospacing="0" w:line="360" w:lineRule="auto"/>
        <w:ind w:firstLine="708"/>
        <w:jc w:val="both"/>
      </w:pPr>
      <w:r w:rsidRPr="00363294">
        <w:t>La desagregación departamental revela configuraciones más complejas. Los departamentos que presentan contextos sociales más desfavorables según el ICSE y peores condiciones de vida según el ICV suelen registrar también mayores proporciones de estudiantes ubicados en los niveles básico y por debajo del básico. En contraste, los territorios con mejores indicadores sociales tienden a exhibir resultados de aprendizaje comparativamente más favorables</w:t>
      </w:r>
      <w:r w:rsidR="00E53345" w:rsidRPr="00113B80">
        <w:t>.</w:t>
      </w:r>
      <w:r w:rsidR="001D33C0">
        <w:t xml:space="preserve"> </w:t>
      </w:r>
    </w:p>
    <w:p w14:paraId="32692E88" w14:textId="61021C5A" w:rsidR="00E51D27" w:rsidRDefault="00143A85" w:rsidP="0036470C">
      <w:pPr>
        <w:pStyle w:val="isselectedend"/>
        <w:spacing w:before="0" w:beforeAutospacing="0" w:after="0" w:afterAutospacing="0" w:line="360" w:lineRule="auto"/>
        <w:ind w:firstLine="708"/>
        <w:jc w:val="both"/>
      </w:pPr>
      <w:r>
        <w:t>Los resultados de Aprender 2024 muestran importantes desigualdades territoriales en los aprendizajes de los estudiantes de último año de la escuela secundaria. Estas diferencias resultan particularmente visibles en Matemática, donde en la mayoría de los departamentos más del 70% de los estudiantes se ubica en los niveles por debajo del básico</w:t>
      </w:r>
      <w:r w:rsidR="006319A5">
        <w:t xml:space="preserve"> </w:t>
      </w:r>
      <w:r>
        <w:t xml:space="preserve">o básico. Aunque las dificultades aparecen en toda la provincia, la distribución de </w:t>
      </w:r>
      <w:r>
        <w:lastRenderedPageBreak/>
        <w:t xml:space="preserve">los desempeños dista de ser homogénea. Yerba Buena presenta una proporción significativamente mayor de estudiantes ubicados en los niveles satisfactorio y avanzado tanto en Lengua como en Matemática. En el extremo opuesto, </w:t>
      </w:r>
      <w:r w:rsidR="00F47380">
        <w:t>departamento</w:t>
      </w:r>
      <w:r>
        <w:t xml:space="preserve">s como </w:t>
      </w:r>
      <w:proofErr w:type="spellStart"/>
      <w:r>
        <w:t>Burruyacú</w:t>
      </w:r>
      <w:proofErr w:type="spellEnd"/>
      <w:r>
        <w:t xml:space="preserve">, Graneros, </w:t>
      </w:r>
      <w:r w:rsidR="006319A5">
        <w:t xml:space="preserve">Famaillá, </w:t>
      </w:r>
      <w:r>
        <w:t>Río Chico</w:t>
      </w:r>
      <w:r w:rsidR="006319A5">
        <w:t xml:space="preserve">, </w:t>
      </w:r>
      <w:proofErr w:type="spellStart"/>
      <w:r w:rsidR="006319A5">
        <w:t>Simoca</w:t>
      </w:r>
      <w:proofErr w:type="spellEnd"/>
      <w:r>
        <w:t xml:space="preserve"> o Trancas concentran porcentajes considerablemente más elevados de estudiantes en los niveles de desempeño más bajos. </w:t>
      </w:r>
    </w:p>
    <w:p w14:paraId="4F907F9A" w14:textId="77777777" w:rsidR="00E51D27" w:rsidRDefault="00E51D27" w:rsidP="00C156E0">
      <w:pPr>
        <w:pStyle w:val="isselectedend"/>
        <w:spacing w:before="0" w:beforeAutospacing="0" w:after="0" w:afterAutospacing="0" w:line="360" w:lineRule="auto"/>
        <w:ind w:firstLine="708"/>
        <w:jc w:val="both"/>
      </w:pPr>
    </w:p>
    <w:p w14:paraId="35ABD450" w14:textId="135CC231" w:rsidR="004A40D3" w:rsidRDefault="004A40D3" w:rsidP="004A40D3">
      <w:pPr>
        <w:pStyle w:val="Descripcin"/>
        <w:keepNext/>
        <w:jc w:val="both"/>
        <w:rPr>
          <w:rFonts w:ascii="Times New Roman" w:hAnsi="Times New Roman" w:cs="Times New Roman"/>
          <w:b w:val="0"/>
          <w:bCs w:val="0"/>
          <w:smallCaps w:val="0"/>
          <w:color w:val="002060"/>
          <w:sz w:val="20"/>
          <w:szCs w:val="20"/>
        </w:rPr>
      </w:pPr>
      <w:bookmarkStart w:id="9" w:name="_Toc223903485"/>
      <w:r w:rsidRPr="001A40AA">
        <w:rPr>
          <w:rFonts w:ascii="Times New Roman" w:hAnsi="Times New Roman" w:cs="Times New Roman"/>
          <w:smallCaps w:val="0"/>
          <w:color w:val="002060"/>
          <w:sz w:val="20"/>
        </w:rPr>
        <w:t>Gráfico 2:</w:t>
      </w:r>
      <w:r w:rsidRPr="001A40AA">
        <w:rPr>
          <w:rFonts w:ascii="Times New Roman" w:hAnsi="Times New Roman" w:cs="Times New Roman"/>
          <w:color w:val="002060"/>
        </w:rPr>
        <w:t xml:space="preserve"> </w:t>
      </w:r>
      <w:r w:rsidRPr="001A40AA">
        <w:rPr>
          <w:rFonts w:ascii="Times New Roman" w:hAnsi="Times New Roman" w:cs="Times New Roman"/>
          <w:b w:val="0"/>
          <w:bCs w:val="0"/>
          <w:smallCaps w:val="0"/>
          <w:color w:val="002060"/>
          <w:sz w:val="20"/>
          <w:szCs w:val="20"/>
        </w:rPr>
        <w:t>Nivel de desempeño de alumnos de último año de secundaria en Lengua en Pruebas Aprender, según departamento. Tucumán, 2024.</w:t>
      </w:r>
      <w:bookmarkEnd w:id="9"/>
    </w:p>
    <w:p w14:paraId="68929948" w14:textId="6AD0E88C" w:rsidR="00C156E0" w:rsidRPr="00C156E0" w:rsidRDefault="00C156E0" w:rsidP="00C156E0">
      <w:pPr>
        <w:rPr>
          <w:lang w:eastAsia="en-US"/>
        </w:rPr>
      </w:pPr>
      <w:r>
        <w:rPr>
          <w:noProof/>
        </w:rPr>
        <w:drawing>
          <wp:inline distT="0" distB="0" distL="0" distR="0" wp14:anchorId="6B763FFD" wp14:editId="7DEAE4B3">
            <wp:extent cx="5400040" cy="2954655"/>
            <wp:effectExtent l="0" t="0" r="10160" b="17145"/>
            <wp:docPr id="4" name="Gráfico 4">
              <a:extLst xmlns:a="http://schemas.openxmlformats.org/drawingml/2006/main">
                <a:ext uri="{FF2B5EF4-FFF2-40B4-BE49-F238E27FC236}">
                  <a16:creationId xmlns:a16="http://schemas.microsoft.com/office/drawing/2014/main" id="{6926FCF3-CDFC-40ED-85C6-39F7F596736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2A4E55A6" w14:textId="77777777" w:rsidR="001A40AA" w:rsidRPr="001A40AA" w:rsidRDefault="001A40AA" w:rsidP="001A40AA">
      <w:pPr>
        <w:spacing w:after="0" w:line="360" w:lineRule="auto"/>
        <w:jc w:val="both"/>
        <w:rPr>
          <w:rFonts w:ascii="Times New Roman" w:hAnsi="Times New Roman" w:cs="Times New Roman"/>
          <w:color w:val="002060"/>
          <w:sz w:val="16"/>
          <w:szCs w:val="16"/>
        </w:rPr>
      </w:pPr>
      <w:r w:rsidRPr="001A40AA">
        <w:rPr>
          <w:rFonts w:ascii="Times New Roman" w:hAnsi="Times New Roman" w:cs="Times New Roman"/>
          <w:color w:val="002060"/>
          <w:sz w:val="16"/>
          <w:szCs w:val="16"/>
        </w:rPr>
        <w:t>Fuente: Elaboración propia en base a datos de SICDIE.</w:t>
      </w:r>
    </w:p>
    <w:p w14:paraId="31C77358" w14:textId="77777777" w:rsidR="00C156E0" w:rsidRDefault="00C156E0" w:rsidP="001A40AA">
      <w:pPr>
        <w:pStyle w:val="Descripcin"/>
        <w:keepNext/>
        <w:jc w:val="both"/>
        <w:rPr>
          <w:rFonts w:ascii="Times New Roman" w:hAnsi="Times New Roman" w:cs="Times New Roman"/>
          <w:smallCaps w:val="0"/>
          <w:color w:val="002060"/>
          <w:sz w:val="20"/>
        </w:rPr>
      </w:pPr>
    </w:p>
    <w:p w14:paraId="4C030BCB" w14:textId="68D0EAAA" w:rsidR="001A40AA" w:rsidRDefault="001A40AA" w:rsidP="001A40AA">
      <w:pPr>
        <w:pStyle w:val="Descripcin"/>
        <w:keepNext/>
        <w:jc w:val="both"/>
        <w:rPr>
          <w:rFonts w:ascii="Times New Roman" w:hAnsi="Times New Roman" w:cs="Times New Roman"/>
          <w:b w:val="0"/>
          <w:bCs w:val="0"/>
          <w:smallCaps w:val="0"/>
          <w:color w:val="002060"/>
          <w:sz w:val="20"/>
          <w:szCs w:val="20"/>
        </w:rPr>
      </w:pPr>
      <w:r w:rsidRPr="000E0567">
        <w:rPr>
          <w:rFonts w:ascii="Times New Roman" w:hAnsi="Times New Roman" w:cs="Times New Roman"/>
          <w:smallCaps w:val="0"/>
          <w:color w:val="002060"/>
          <w:sz w:val="20"/>
        </w:rPr>
        <w:t>Gráfico 3:</w:t>
      </w:r>
      <w:r w:rsidRPr="000E0567">
        <w:rPr>
          <w:rFonts w:ascii="Times New Roman" w:hAnsi="Times New Roman" w:cs="Times New Roman"/>
          <w:color w:val="002060"/>
        </w:rPr>
        <w:t xml:space="preserve"> </w:t>
      </w:r>
      <w:r w:rsidRPr="000E0567">
        <w:rPr>
          <w:rFonts w:ascii="Times New Roman" w:hAnsi="Times New Roman" w:cs="Times New Roman"/>
          <w:b w:val="0"/>
          <w:bCs w:val="0"/>
          <w:smallCaps w:val="0"/>
          <w:color w:val="002060"/>
          <w:sz w:val="20"/>
          <w:szCs w:val="20"/>
        </w:rPr>
        <w:t>Nivel de desempeño de alumnos de último año de secundaria en Matemática en Pruebas Aprender, según departamento. Tucumán, 2024.</w:t>
      </w:r>
    </w:p>
    <w:p w14:paraId="2781C4DA" w14:textId="59A0731F" w:rsidR="00C156E0" w:rsidRPr="00C156E0" w:rsidRDefault="00473990" w:rsidP="00C156E0">
      <w:pPr>
        <w:rPr>
          <w:lang w:eastAsia="en-US"/>
        </w:rPr>
      </w:pPr>
      <w:r>
        <w:rPr>
          <w:noProof/>
        </w:rPr>
        <w:drawing>
          <wp:inline distT="0" distB="0" distL="0" distR="0" wp14:anchorId="7B6D43A0" wp14:editId="386344A9">
            <wp:extent cx="5400040" cy="3506470"/>
            <wp:effectExtent l="0" t="0" r="10160" b="17780"/>
            <wp:docPr id="1" name="Gráfico 1">
              <a:extLst xmlns:a="http://schemas.openxmlformats.org/drawingml/2006/main">
                <a:ext uri="{FF2B5EF4-FFF2-40B4-BE49-F238E27FC236}">
                  <a16:creationId xmlns:a16="http://schemas.microsoft.com/office/drawing/2014/main" id="{AA4163BA-CD5F-4957-B671-A1D970FF118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0E1A718" w14:textId="77777777" w:rsidR="001A40AA" w:rsidRPr="000E0567" w:rsidRDefault="001A40AA" w:rsidP="001A40AA">
      <w:pPr>
        <w:spacing w:after="0" w:line="360" w:lineRule="auto"/>
        <w:jc w:val="both"/>
        <w:rPr>
          <w:rFonts w:ascii="Times New Roman" w:hAnsi="Times New Roman" w:cs="Times New Roman"/>
          <w:color w:val="002060"/>
          <w:sz w:val="16"/>
          <w:szCs w:val="16"/>
        </w:rPr>
      </w:pPr>
      <w:r w:rsidRPr="000E0567">
        <w:rPr>
          <w:rFonts w:ascii="Times New Roman" w:hAnsi="Times New Roman" w:cs="Times New Roman"/>
          <w:color w:val="002060"/>
          <w:sz w:val="16"/>
          <w:szCs w:val="16"/>
        </w:rPr>
        <w:t>Fuente: Elaboración propia en base a datos de SICDIE.</w:t>
      </w:r>
    </w:p>
    <w:p w14:paraId="0679172A" w14:textId="77777777" w:rsidR="001A40AA" w:rsidRDefault="001A40AA" w:rsidP="00F74DD8">
      <w:pPr>
        <w:pStyle w:val="isselectedend"/>
        <w:spacing w:before="0" w:beforeAutospacing="0" w:after="0" w:afterAutospacing="0" w:line="360" w:lineRule="auto"/>
        <w:jc w:val="both"/>
      </w:pPr>
    </w:p>
    <w:p w14:paraId="4C85E8F5" w14:textId="2DA445ED" w:rsidR="0036470C" w:rsidRDefault="00143A85" w:rsidP="0036470C">
      <w:pPr>
        <w:pStyle w:val="isselectedend"/>
        <w:spacing w:before="0" w:beforeAutospacing="0" w:after="0" w:afterAutospacing="0" w:line="360" w:lineRule="auto"/>
        <w:ind w:firstLine="708"/>
        <w:jc w:val="both"/>
      </w:pPr>
      <w:r>
        <w:t xml:space="preserve">La articulación entre los resultados de Aprender y los indicadores de contexto social permite enriquecer la interpretación de las desigualdades educativas. Mientras las pruebas estandarizadas muestran dónde se concentran las mayores dificultades de aprendizaje, indicadores como el ICSE </w:t>
      </w:r>
      <w:r w:rsidR="00F47380">
        <w:t xml:space="preserve">y el ICV </w:t>
      </w:r>
      <w:r>
        <w:t>aportan información sobre las condiciones en las que esos aprendizajes se producen. Esta asociación no permite establecer relaciones causales ni identificar los mecanismos específicos que generan las diferencias observadas. Sin embargo, pone de manifiesto que los resultados educativos se distribuyen de manera desigual en el territorio y que su comprensión requiere considerar simultáneamente múltiples dimensiones de análisis.</w:t>
      </w:r>
    </w:p>
    <w:p w14:paraId="1CC48E5E" w14:textId="4F774618" w:rsidR="00E53345" w:rsidRDefault="000B0590" w:rsidP="0036470C">
      <w:pPr>
        <w:pStyle w:val="isselectedend"/>
        <w:spacing w:before="0" w:beforeAutospacing="0" w:after="0" w:afterAutospacing="0" w:line="360" w:lineRule="auto"/>
        <w:ind w:firstLine="708"/>
        <w:jc w:val="both"/>
      </w:pPr>
      <w:r>
        <w:t>L</w:t>
      </w:r>
      <w:r w:rsidRPr="000B0590">
        <w:t>a escala de observación</w:t>
      </w:r>
      <w:r>
        <w:t>, entonces,</w:t>
      </w:r>
      <w:r w:rsidRPr="000B0590">
        <w:t xml:space="preserve"> no es una decisión meramente técnica sino una dimensión teórica central: la información provincial identifica tendencias generales, pero la desagregación departamental visibiliza asimetrías internas que de otro modo permanecen ocultas (</w:t>
      </w:r>
      <w:proofErr w:type="spellStart"/>
      <w:r w:rsidRPr="000B0590">
        <w:t>Suasnábar</w:t>
      </w:r>
      <w:proofErr w:type="spellEnd"/>
      <w:r w:rsidRPr="000B0590">
        <w:t xml:space="preserve"> &amp; Valencia, 2022)</w:t>
      </w:r>
      <w:r w:rsidR="00143A85">
        <w:t>.</w:t>
      </w:r>
    </w:p>
    <w:p w14:paraId="135791C3" w14:textId="77777777" w:rsidR="00143A85" w:rsidRPr="00113B80" w:rsidRDefault="00143A85" w:rsidP="00143A85">
      <w:pPr>
        <w:pStyle w:val="isselectedend"/>
        <w:spacing w:before="0" w:beforeAutospacing="0" w:after="0" w:afterAutospacing="0" w:line="360" w:lineRule="auto"/>
        <w:ind w:firstLine="708"/>
        <w:jc w:val="both"/>
      </w:pPr>
    </w:p>
    <w:p w14:paraId="3B965B81" w14:textId="77777777" w:rsidR="00E53345" w:rsidRPr="00113B80" w:rsidRDefault="00E53345" w:rsidP="00E53345">
      <w:pPr>
        <w:pStyle w:val="isselectedend"/>
        <w:spacing w:before="0" w:beforeAutospacing="0" w:after="0" w:afterAutospacing="0" w:line="360" w:lineRule="auto"/>
        <w:jc w:val="both"/>
        <w:rPr>
          <w:i/>
          <w:iCs/>
        </w:rPr>
      </w:pPr>
      <w:r w:rsidRPr="00113B80">
        <w:rPr>
          <w:i/>
          <w:iCs/>
        </w:rPr>
        <w:t>Las pruebas Aprender y la construcción de diagnósticos educativos integrales: aportes y límites de la triangulación de fuentes</w:t>
      </w:r>
    </w:p>
    <w:p w14:paraId="423960B7" w14:textId="3F4D104F" w:rsidR="00EF4EDC" w:rsidRDefault="00F47380" w:rsidP="0036470C">
      <w:pPr>
        <w:pStyle w:val="isselectedend"/>
        <w:spacing w:before="0" w:beforeAutospacing="0" w:after="0" w:afterAutospacing="0" w:line="360" w:lineRule="auto"/>
        <w:ind w:firstLine="708"/>
        <w:jc w:val="both"/>
      </w:pPr>
      <w:r w:rsidRPr="00F47380">
        <w:t>Una segunda cuestión surgida del proceso de investigación refiere a los aportes y limitaciones de las pruebas Aprender para la construcción de diagnósticos educativos provinciales. Las evaluaciones estandarizadas constituyen una fuente privilegiada para analizar los resultados de aprendizaje y permiten identificar desigualdades entre niveles educativos, sectores de gestión, grupos sociales y territorios. Al mismo tiempo, ponen en evidencia los límites inherentes a toda estrategia de medición basada en indicadores sintéticos</w:t>
      </w:r>
      <w:r w:rsidR="00EF4EDC">
        <w:t>.</w:t>
      </w:r>
    </w:p>
    <w:p w14:paraId="2D074A65" w14:textId="798A1551" w:rsidR="00645CD3" w:rsidRDefault="00F47380" w:rsidP="00EF4EDC">
      <w:pPr>
        <w:pStyle w:val="isselectedend"/>
        <w:spacing w:before="0" w:beforeAutospacing="0" w:after="0" w:afterAutospacing="0" w:line="360" w:lineRule="auto"/>
        <w:ind w:firstLine="708"/>
        <w:jc w:val="both"/>
      </w:pPr>
      <w:r w:rsidRPr="00F47380">
        <w:t>En Tucumán, los resultados de Aprender muestran diferencias significativas según sector de gestión y nivel educativo. Las escuelas privadas concentran una mayor proporción de estudiantes en los niveles satisfactorio y avanzado, mientras que el sector estatal registra una mayor presencia de estudiantes en los niveles de desempeño más bajos. Estas diferencias resultan especialmente visibles en Matemática y permiten identificar desigualdades relevantes en los aprendizajes alcanzados al finalizar la escolaridad primaria y secundaria</w:t>
      </w:r>
      <w:r w:rsidR="00EF4EDC">
        <w:t>.</w:t>
      </w:r>
    </w:p>
    <w:p w14:paraId="4160C8F9" w14:textId="77777777" w:rsidR="006319A5" w:rsidRDefault="006319A5" w:rsidP="00EF4EDC">
      <w:pPr>
        <w:pStyle w:val="isselectedend"/>
        <w:spacing w:before="0" w:beforeAutospacing="0" w:after="0" w:afterAutospacing="0" w:line="360" w:lineRule="auto"/>
        <w:ind w:firstLine="708"/>
        <w:jc w:val="both"/>
      </w:pPr>
    </w:p>
    <w:p w14:paraId="39C41602" w14:textId="1CE1D4B4" w:rsidR="001D796B" w:rsidRPr="00B74B6E" w:rsidRDefault="001D796B" w:rsidP="001D796B">
      <w:pPr>
        <w:pStyle w:val="Descripcin"/>
        <w:keepNext/>
        <w:jc w:val="both"/>
        <w:rPr>
          <w:rFonts w:ascii="Times New Roman" w:hAnsi="Times New Roman" w:cs="Times New Roman"/>
        </w:rPr>
      </w:pPr>
      <w:bookmarkStart w:id="10" w:name="_Toc223903481"/>
      <w:r w:rsidRPr="00B74B6E">
        <w:rPr>
          <w:rFonts w:ascii="Times New Roman" w:hAnsi="Times New Roman" w:cs="Times New Roman"/>
          <w:smallCaps w:val="0"/>
          <w:color w:val="002060"/>
          <w:sz w:val="20"/>
        </w:rPr>
        <w:lastRenderedPageBreak/>
        <w:t xml:space="preserve">Gráfico </w:t>
      </w:r>
      <w:r w:rsidRPr="00B74B6E">
        <w:rPr>
          <w:rFonts w:ascii="Times New Roman" w:hAnsi="Times New Roman" w:cs="Times New Roman"/>
          <w:smallCaps w:val="0"/>
          <w:color w:val="002060"/>
          <w:sz w:val="20"/>
        </w:rPr>
        <w:fldChar w:fldCharType="begin"/>
      </w:r>
      <w:r w:rsidRPr="00B74B6E">
        <w:rPr>
          <w:rFonts w:ascii="Times New Roman" w:hAnsi="Times New Roman" w:cs="Times New Roman"/>
          <w:smallCaps w:val="0"/>
          <w:color w:val="002060"/>
          <w:sz w:val="20"/>
        </w:rPr>
        <w:instrText xml:space="preserve"> SEQ Gráfico \* ARABIC </w:instrText>
      </w:r>
      <w:r w:rsidRPr="00B74B6E">
        <w:rPr>
          <w:rFonts w:ascii="Times New Roman" w:hAnsi="Times New Roman" w:cs="Times New Roman"/>
          <w:smallCaps w:val="0"/>
          <w:color w:val="002060"/>
          <w:sz w:val="20"/>
        </w:rPr>
        <w:fldChar w:fldCharType="separate"/>
      </w:r>
      <w:r w:rsidRPr="00B74B6E">
        <w:rPr>
          <w:rFonts w:ascii="Times New Roman" w:hAnsi="Times New Roman" w:cs="Times New Roman"/>
          <w:smallCaps w:val="0"/>
          <w:noProof/>
          <w:color w:val="002060"/>
          <w:sz w:val="20"/>
        </w:rPr>
        <w:t>4</w:t>
      </w:r>
      <w:r w:rsidRPr="00B74B6E">
        <w:rPr>
          <w:rFonts w:ascii="Times New Roman" w:hAnsi="Times New Roman" w:cs="Times New Roman"/>
          <w:smallCaps w:val="0"/>
          <w:color w:val="002060"/>
          <w:sz w:val="20"/>
        </w:rPr>
        <w:fldChar w:fldCharType="end"/>
      </w:r>
      <w:r w:rsidRPr="00B74B6E">
        <w:rPr>
          <w:rFonts w:ascii="Times New Roman" w:hAnsi="Times New Roman" w:cs="Times New Roman"/>
          <w:smallCaps w:val="0"/>
          <w:color w:val="002060"/>
          <w:sz w:val="20"/>
        </w:rPr>
        <w:t>:</w:t>
      </w:r>
      <w:r w:rsidRPr="00B74B6E">
        <w:rPr>
          <w:rFonts w:ascii="Times New Roman" w:hAnsi="Times New Roman" w:cs="Times New Roman"/>
          <w:color w:val="002060"/>
        </w:rPr>
        <w:t xml:space="preserve"> </w:t>
      </w:r>
      <w:r w:rsidRPr="00B74B6E">
        <w:rPr>
          <w:rFonts w:ascii="Times New Roman" w:hAnsi="Times New Roman" w:cs="Times New Roman"/>
          <w:b w:val="0"/>
          <w:bCs w:val="0"/>
          <w:smallCaps w:val="0"/>
          <w:color w:val="002060"/>
          <w:sz w:val="20"/>
        </w:rPr>
        <w:t>Nivel de desempeño de alumnos de 6to grado de primaria en Lengua y Matemática en Pruebas Aprender, según sector de gestión. Tucumán. 2023.</w:t>
      </w:r>
      <w:bookmarkEnd w:id="10"/>
    </w:p>
    <w:p w14:paraId="68036B69" w14:textId="685F380D" w:rsidR="001D796B" w:rsidRPr="003B5E57" w:rsidRDefault="001D796B" w:rsidP="001D796B">
      <w:pPr>
        <w:keepNext/>
        <w:spacing w:after="0" w:line="360" w:lineRule="auto"/>
        <w:jc w:val="both"/>
      </w:pPr>
      <w:r w:rsidRPr="008C2593">
        <w:rPr>
          <w:noProof/>
          <w:bdr w:val="single" w:sz="4" w:space="0" w:color="AEAAAA" w:themeColor="background2" w:themeShade="BF"/>
          <w14:ligatures w14:val="standardContextual"/>
        </w:rPr>
        <w:drawing>
          <wp:inline distT="0" distB="0" distL="0" distR="0" wp14:anchorId="3AA876F9" wp14:editId="4B764690">
            <wp:extent cx="5415280" cy="2889250"/>
            <wp:effectExtent l="0" t="0" r="13970" b="6350"/>
            <wp:docPr id="2100177448" name="Gráfico 1">
              <a:extLst xmlns:a="http://schemas.openxmlformats.org/drawingml/2006/main">
                <a:ext uri="{FF2B5EF4-FFF2-40B4-BE49-F238E27FC236}">
                  <a16:creationId xmlns:a16="http://schemas.microsoft.com/office/drawing/2014/main" id="{F032F66A-C3AB-770F-2F1B-1CCB55590A8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r w:rsidRPr="00B74B6E">
        <w:rPr>
          <w:rFonts w:ascii="Times New Roman" w:hAnsi="Times New Roman" w:cs="Times New Roman"/>
          <w:color w:val="002060"/>
          <w:sz w:val="16"/>
          <w:szCs w:val="16"/>
        </w:rPr>
        <w:t>Fuente: Elaboración propia en base a datos de Pruebas Aprender 2023.</w:t>
      </w:r>
    </w:p>
    <w:p w14:paraId="663C9221" w14:textId="77777777" w:rsidR="001D796B" w:rsidRDefault="001D796B" w:rsidP="001D796B">
      <w:pPr>
        <w:spacing w:after="0" w:line="240" w:lineRule="auto"/>
        <w:jc w:val="both"/>
        <w:rPr>
          <w:rFonts w:ascii="Arial" w:hAnsi="Arial" w:cs="Arial"/>
        </w:rPr>
      </w:pPr>
    </w:p>
    <w:p w14:paraId="3CBEE6E9" w14:textId="41190A74" w:rsidR="001D796B" w:rsidRPr="00B74B6E" w:rsidRDefault="001D796B" w:rsidP="001D796B">
      <w:pPr>
        <w:pStyle w:val="Descripcin"/>
        <w:keepNext/>
        <w:jc w:val="both"/>
        <w:rPr>
          <w:rFonts w:ascii="Times New Roman" w:hAnsi="Times New Roman" w:cs="Times New Roman"/>
        </w:rPr>
      </w:pPr>
      <w:bookmarkStart w:id="11" w:name="_Toc223903482"/>
      <w:r w:rsidRPr="00B74B6E">
        <w:rPr>
          <w:rFonts w:ascii="Times New Roman" w:hAnsi="Times New Roman" w:cs="Times New Roman"/>
          <w:smallCaps w:val="0"/>
          <w:color w:val="002060"/>
          <w:sz w:val="20"/>
        </w:rPr>
        <w:t xml:space="preserve">Gráfico </w:t>
      </w:r>
      <w:r w:rsidRPr="00B74B6E">
        <w:rPr>
          <w:rFonts w:ascii="Times New Roman" w:hAnsi="Times New Roman" w:cs="Times New Roman"/>
          <w:smallCaps w:val="0"/>
          <w:color w:val="002060"/>
          <w:sz w:val="20"/>
        </w:rPr>
        <w:fldChar w:fldCharType="begin"/>
      </w:r>
      <w:r w:rsidRPr="00B74B6E">
        <w:rPr>
          <w:rFonts w:ascii="Times New Roman" w:hAnsi="Times New Roman" w:cs="Times New Roman"/>
          <w:smallCaps w:val="0"/>
          <w:color w:val="002060"/>
          <w:sz w:val="20"/>
        </w:rPr>
        <w:instrText xml:space="preserve"> SEQ Gráfico \* ARABIC </w:instrText>
      </w:r>
      <w:r w:rsidRPr="00B74B6E">
        <w:rPr>
          <w:rFonts w:ascii="Times New Roman" w:hAnsi="Times New Roman" w:cs="Times New Roman"/>
          <w:smallCaps w:val="0"/>
          <w:color w:val="002060"/>
          <w:sz w:val="20"/>
        </w:rPr>
        <w:fldChar w:fldCharType="separate"/>
      </w:r>
      <w:r w:rsidRPr="00B74B6E">
        <w:rPr>
          <w:rFonts w:ascii="Times New Roman" w:hAnsi="Times New Roman" w:cs="Times New Roman"/>
          <w:smallCaps w:val="0"/>
          <w:noProof/>
          <w:color w:val="002060"/>
          <w:sz w:val="20"/>
        </w:rPr>
        <w:t>5</w:t>
      </w:r>
      <w:r w:rsidRPr="00B74B6E">
        <w:rPr>
          <w:rFonts w:ascii="Times New Roman" w:hAnsi="Times New Roman" w:cs="Times New Roman"/>
          <w:smallCaps w:val="0"/>
          <w:color w:val="002060"/>
          <w:sz w:val="20"/>
        </w:rPr>
        <w:fldChar w:fldCharType="end"/>
      </w:r>
      <w:r w:rsidRPr="00B74B6E">
        <w:rPr>
          <w:rFonts w:ascii="Times New Roman" w:hAnsi="Times New Roman" w:cs="Times New Roman"/>
          <w:smallCaps w:val="0"/>
          <w:color w:val="002060"/>
          <w:sz w:val="20"/>
        </w:rPr>
        <w:t>:</w:t>
      </w:r>
      <w:r w:rsidRPr="00B74B6E">
        <w:rPr>
          <w:rFonts w:ascii="Times New Roman" w:hAnsi="Times New Roman" w:cs="Times New Roman"/>
          <w:color w:val="002060"/>
        </w:rPr>
        <w:t xml:space="preserve"> </w:t>
      </w:r>
      <w:r w:rsidRPr="00B74B6E">
        <w:rPr>
          <w:rFonts w:ascii="Times New Roman" w:hAnsi="Times New Roman" w:cs="Times New Roman"/>
          <w:b w:val="0"/>
          <w:bCs w:val="0"/>
          <w:smallCaps w:val="0"/>
          <w:color w:val="002060"/>
          <w:sz w:val="20"/>
        </w:rPr>
        <w:t>Nivel de desempeño de alumnos de último año de secundaria en Lengua y Matemática en Pruebas Aprender, según sector de gestión. Tucumán, 2024.</w:t>
      </w:r>
      <w:bookmarkEnd w:id="11"/>
    </w:p>
    <w:p w14:paraId="02AD5A35" w14:textId="77777777" w:rsidR="001D796B" w:rsidRPr="00B74B6E" w:rsidRDefault="001D796B" w:rsidP="001D796B">
      <w:pPr>
        <w:spacing w:after="0" w:line="360" w:lineRule="auto"/>
        <w:jc w:val="both"/>
        <w:rPr>
          <w:rFonts w:ascii="Times New Roman" w:hAnsi="Times New Roman" w:cs="Times New Roman"/>
          <w:color w:val="002060"/>
          <w:sz w:val="16"/>
          <w:szCs w:val="16"/>
        </w:rPr>
      </w:pPr>
      <w:r w:rsidRPr="00B74B6E">
        <w:rPr>
          <w:rFonts w:ascii="Times New Roman" w:hAnsi="Times New Roman" w:cs="Times New Roman"/>
          <w:noProof/>
        </w:rPr>
        <w:drawing>
          <wp:inline distT="0" distB="0" distL="0" distR="0" wp14:anchorId="67ADA93C" wp14:editId="585DC389">
            <wp:extent cx="5397500" cy="2711450"/>
            <wp:effectExtent l="0" t="0" r="12700" b="12700"/>
            <wp:docPr id="2" name="Gráfico 2">
              <a:extLst xmlns:a="http://schemas.openxmlformats.org/drawingml/2006/main">
                <a:ext uri="{FF2B5EF4-FFF2-40B4-BE49-F238E27FC236}">
                  <a16:creationId xmlns:a16="http://schemas.microsoft.com/office/drawing/2014/main" id="{9084AA06-A84E-4912-9EC8-266445463E2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4F6A4366" w14:textId="77777777" w:rsidR="001D796B" w:rsidRPr="00C75409" w:rsidRDefault="001D796B" w:rsidP="001D796B">
      <w:pPr>
        <w:spacing w:after="0" w:line="360" w:lineRule="auto"/>
        <w:jc w:val="both"/>
        <w:rPr>
          <w:rFonts w:ascii="Arial" w:hAnsi="Arial" w:cs="Arial"/>
          <w:color w:val="002060"/>
          <w:sz w:val="16"/>
          <w:szCs w:val="16"/>
        </w:rPr>
      </w:pPr>
      <w:r w:rsidRPr="00B74B6E">
        <w:rPr>
          <w:rFonts w:ascii="Times New Roman" w:hAnsi="Times New Roman" w:cs="Times New Roman"/>
          <w:color w:val="002060"/>
          <w:sz w:val="16"/>
          <w:szCs w:val="16"/>
        </w:rPr>
        <w:t>Fuente: Elaboración propia en base a datos de Pruebas Aprender 2024.</w:t>
      </w:r>
    </w:p>
    <w:p w14:paraId="2265E30C" w14:textId="77777777" w:rsidR="001D796B" w:rsidRDefault="001D796B" w:rsidP="001D796B">
      <w:pPr>
        <w:pStyle w:val="isselectedend"/>
        <w:spacing w:before="0" w:beforeAutospacing="0" w:after="0" w:afterAutospacing="0" w:line="360" w:lineRule="auto"/>
        <w:jc w:val="both"/>
      </w:pPr>
    </w:p>
    <w:p w14:paraId="3FE69FB3" w14:textId="0F9B2100" w:rsidR="00EF4EDC" w:rsidRDefault="00F47380" w:rsidP="0036470C">
      <w:pPr>
        <w:pStyle w:val="isselectedend"/>
        <w:spacing w:before="0" w:beforeAutospacing="0" w:after="0" w:afterAutospacing="0" w:line="360" w:lineRule="auto"/>
        <w:ind w:firstLine="708"/>
        <w:jc w:val="both"/>
      </w:pPr>
      <w:r w:rsidRPr="00F47380">
        <w:t xml:space="preserve">Los resultados también permiten reconocer puntos críticos del recorrido escolar. La comparación entre primaria y secundaria muestra un deterioro significativo de los desempeños, particularmente en Matemática. Mientras en primaria se observa una mayor </w:t>
      </w:r>
      <w:r w:rsidRPr="00F47380">
        <w:lastRenderedPageBreak/>
        <w:t>concentración de estudiantes en los niveles satisfactorio y avanzado, en secundaria aumentan considerablemente los desempeños bajos. Esta situación permite identificar áreas prioritarias para la intervención educativa y formular interrogantes sobre las condiciones institucionales y pedagógicas que acompañan las trayectorias escolares a lo largo de la educación obligatoria</w:t>
      </w:r>
      <w:r w:rsidR="00EF4EDC">
        <w:t>.</w:t>
      </w:r>
    </w:p>
    <w:p w14:paraId="63CCC184" w14:textId="419078B6" w:rsidR="0030138B" w:rsidRDefault="00F47380" w:rsidP="0030138B">
      <w:pPr>
        <w:pStyle w:val="isselectedend"/>
        <w:spacing w:before="0" w:beforeAutospacing="0" w:after="0" w:afterAutospacing="0" w:line="360" w:lineRule="auto"/>
        <w:ind w:firstLine="708"/>
        <w:jc w:val="both"/>
      </w:pPr>
      <w:r w:rsidRPr="00F47380">
        <w:t>Una de las principales potencialidades de Aprender reside en la información aportada por los cuestionarios complementarios</w:t>
      </w:r>
      <w:r>
        <w:t xml:space="preserve"> (Montes &amp; Valencia, 2021)</w:t>
      </w:r>
      <w:r w:rsidRPr="00F47380">
        <w:t>. La desagregación de los resultados según el nivel socioeconómico (NSE) de los estudiantes muestra un marcado gradiente social de los aprendizajes: a medida que aumenta el nivel socioeconómico, disminuye sistemáticamente la proporción de estudiantes ubicados en los niveles de desempeño más bajos y aumenta la presencia en los niveles satisfactorio y avanzado</w:t>
      </w:r>
      <w:r w:rsidR="0030138B">
        <w:t>.</w:t>
      </w:r>
      <w:r w:rsidR="00D91E68">
        <w:t xml:space="preserve"> </w:t>
      </w:r>
      <w:r w:rsidRPr="00F47380">
        <w:t>En Lengua, las diferencias entre quintiles resultan particularmente significativas. Mientras que en el quintil de menor nivel socioeconómico (Q1) el 66,1% de los estudiantes se concentra en los niveles básico y por debajo del básico, en el quintil más alto (Q5) el 68,8% alcanza los niveles satisfactorio y avanzado. Los resultados muestran una asociación consistente entre origen social y desempeño escolar</w:t>
      </w:r>
      <w:r w:rsidR="0030138B">
        <w:t>.</w:t>
      </w:r>
      <w:r w:rsidR="00D91E68">
        <w:t xml:space="preserve"> </w:t>
      </w:r>
      <w:r w:rsidR="0030138B">
        <w:t>En Matemática también se observa este gradiente, aunque los datos permiten advertir una situación adicional. En el quintil más pobre, el 77,2% de los estudiantes se ubica por debajo del nivel básico. Sin embargo, incluso entre los estudiantes pertenecientes al quintil de mayor nivel socioeconómico, el 40,6% no alcanza los desempeños esperados. Este resultado sugiere que las dificultades en Matemática exceden las desigualdades asociadas al origen social y constituyen un problema que atraviesa al conjunto del sistema educativo provincial.</w:t>
      </w:r>
    </w:p>
    <w:p w14:paraId="3F46D4F0" w14:textId="77777777" w:rsidR="0030138B" w:rsidRDefault="0030138B" w:rsidP="0030138B">
      <w:pPr>
        <w:pStyle w:val="isselectedend"/>
        <w:spacing w:before="0" w:beforeAutospacing="0" w:after="0" w:afterAutospacing="0" w:line="360" w:lineRule="auto"/>
        <w:ind w:firstLine="708"/>
        <w:jc w:val="both"/>
      </w:pPr>
    </w:p>
    <w:p w14:paraId="1423771A" w14:textId="6CDA1A2B" w:rsidR="004E74AB" w:rsidRPr="00B74B6E" w:rsidRDefault="004E74AB" w:rsidP="004E74AB">
      <w:pPr>
        <w:pStyle w:val="Descripcin"/>
        <w:keepNext/>
        <w:jc w:val="both"/>
        <w:rPr>
          <w:rFonts w:ascii="Times New Roman" w:hAnsi="Times New Roman" w:cs="Times New Roman"/>
        </w:rPr>
      </w:pPr>
      <w:r w:rsidRPr="00B74B6E">
        <w:rPr>
          <w:rFonts w:ascii="Times New Roman" w:hAnsi="Times New Roman" w:cs="Times New Roman"/>
          <w:smallCaps w:val="0"/>
          <w:color w:val="002060"/>
          <w:sz w:val="20"/>
        </w:rPr>
        <w:lastRenderedPageBreak/>
        <w:t xml:space="preserve">Gráfico </w:t>
      </w:r>
      <w:r>
        <w:rPr>
          <w:rFonts w:ascii="Times New Roman" w:hAnsi="Times New Roman" w:cs="Times New Roman"/>
          <w:smallCaps w:val="0"/>
          <w:color w:val="002060"/>
          <w:sz w:val="20"/>
        </w:rPr>
        <w:t>6</w:t>
      </w:r>
      <w:r w:rsidRPr="00B74B6E">
        <w:rPr>
          <w:rFonts w:ascii="Times New Roman" w:hAnsi="Times New Roman" w:cs="Times New Roman"/>
          <w:smallCaps w:val="0"/>
          <w:color w:val="002060"/>
          <w:sz w:val="20"/>
        </w:rPr>
        <w:t>:</w:t>
      </w:r>
      <w:r w:rsidRPr="00B74B6E">
        <w:rPr>
          <w:rFonts w:ascii="Times New Roman" w:hAnsi="Times New Roman" w:cs="Times New Roman"/>
          <w:color w:val="002060"/>
        </w:rPr>
        <w:t xml:space="preserve"> </w:t>
      </w:r>
      <w:r w:rsidRPr="00B74B6E">
        <w:rPr>
          <w:rFonts w:ascii="Times New Roman" w:hAnsi="Times New Roman" w:cs="Times New Roman"/>
          <w:b w:val="0"/>
          <w:bCs w:val="0"/>
          <w:smallCaps w:val="0"/>
          <w:color w:val="002060"/>
          <w:sz w:val="20"/>
        </w:rPr>
        <w:t xml:space="preserve">Nivel de desempeño de alumnos de último año de secundaria en Lengua y Matemática en Pruebas Aprender, según </w:t>
      </w:r>
      <w:r>
        <w:rPr>
          <w:rFonts w:ascii="Times New Roman" w:hAnsi="Times New Roman" w:cs="Times New Roman"/>
          <w:b w:val="0"/>
          <w:bCs w:val="0"/>
          <w:smallCaps w:val="0"/>
          <w:color w:val="002060"/>
          <w:sz w:val="20"/>
        </w:rPr>
        <w:t>NSE Quintiles</w:t>
      </w:r>
      <w:r w:rsidRPr="00B74B6E">
        <w:rPr>
          <w:rFonts w:ascii="Times New Roman" w:hAnsi="Times New Roman" w:cs="Times New Roman"/>
          <w:b w:val="0"/>
          <w:bCs w:val="0"/>
          <w:smallCaps w:val="0"/>
          <w:color w:val="002060"/>
          <w:sz w:val="20"/>
        </w:rPr>
        <w:t>. Tucumán, 2024.</w:t>
      </w:r>
    </w:p>
    <w:p w14:paraId="4B1950AA" w14:textId="1C75478B" w:rsidR="000B553A" w:rsidRDefault="000B553A" w:rsidP="00AF06A4">
      <w:pPr>
        <w:pStyle w:val="isselectedend"/>
        <w:spacing w:before="0" w:beforeAutospacing="0" w:after="0" w:afterAutospacing="0" w:line="360" w:lineRule="auto"/>
        <w:jc w:val="both"/>
      </w:pPr>
      <w:r>
        <w:rPr>
          <w:noProof/>
        </w:rPr>
        <w:drawing>
          <wp:inline distT="0" distB="0" distL="0" distR="0" wp14:anchorId="0A7FA902" wp14:editId="39AE1A7E">
            <wp:extent cx="5303520" cy="2743200"/>
            <wp:effectExtent l="0" t="0" r="11430" b="0"/>
            <wp:docPr id="9" name="Gráfico 9">
              <a:extLst xmlns:a="http://schemas.openxmlformats.org/drawingml/2006/main">
                <a:ext uri="{FF2B5EF4-FFF2-40B4-BE49-F238E27FC236}">
                  <a16:creationId xmlns:a16="http://schemas.microsoft.com/office/drawing/2014/main" id="{5EE2CF3B-3BEE-4C26-A4AA-D2648E0793A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256666B5" w14:textId="77777777" w:rsidR="004E74AB" w:rsidRPr="00C75409" w:rsidRDefault="004E74AB" w:rsidP="004E74AB">
      <w:pPr>
        <w:spacing w:after="0" w:line="360" w:lineRule="auto"/>
        <w:jc w:val="both"/>
        <w:rPr>
          <w:rFonts w:ascii="Arial" w:hAnsi="Arial" w:cs="Arial"/>
          <w:color w:val="002060"/>
          <w:sz w:val="16"/>
          <w:szCs w:val="16"/>
        </w:rPr>
      </w:pPr>
      <w:r w:rsidRPr="00B74B6E">
        <w:rPr>
          <w:rFonts w:ascii="Times New Roman" w:hAnsi="Times New Roman" w:cs="Times New Roman"/>
          <w:color w:val="002060"/>
          <w:sz w:val="16"/>
          <w:szCs w:val="16"/>
        </w:rPr>
        <w:t>Fuente: Elaboración propia en base a datos de Pruebas Aprender 2024.</w:t>
      </w:r>
    </w:p>
    <w:p w14:paraId="5A466ED8" w14:textId="77777777" w:rsidR="004E74AB" w:rsidRDefault="004E74AB" w:rsidP="00AF06A4">
      <w:pPr>
        <w:pStyle w:val="isselectedend"/>
        <w:spacing w:before="0" w:beforeAutospacing="0" w:after="0" w:afterAutospacing="0" w:line="360" w:lineRule="auto"/>
        <w:jc w:val="both"/>
      </w:pPr>
    </w:p>
    <w:p w14:paraId="42F1DD95" w14:textId="6EE313D2" w:rsidR="00A36714" w:rsidRDefault="00A36714" w:rsidP="00EF4EDC">
      <w:pPr>
        <w:pStyle w:val="isselectedend"/>
        <w:spacing w:before="0" w:beforeAutospacing="0" w:after="0" w:afterAutospacing="0" w:line="360" w:lineRule="auto"/>
        <w:ind w:firstLine="708"/>
        <w:jc w:val="both"/>
      </w:pPr>
      <w:r w:rsidRPr="00A36714">
        <w:t>Estos resultados muestran que los factores asociados relevados por Aprender constituyen una herramienta valiosa para contextualizar los desempeños observados y complejizar su interpretación</w:t>
      </w:r>
      <w:r w:rsidR="008F353C">
        <w:t xml:space="preserve"> (Montes &amp; Valencia, 2021)</w:t>
      </w:r>
      <w:r w:rsidRPr="00A36714">
        <w:t>. Al mismo tiempo, ponen de manifiesto que la comprensión de los aprendizajes requiere considerar simultáneamente dimensiones sociales, institucionales y territoriales.</w:t>
      </w:r>
    </w:p>
    <w:p w14:paraId="6FC4B4F6" w14:textId="6CAC9442" w:rsidR="00645CD3" w:rsidRDefault="00D91E68" w:rsidP="00EF4EDC">
      <w:pPr>
        <w:pStyle w:val="isselectedend"/>
        <w:spacing w:before="0" w:beforeAutospacing="0" w:after="0" w:afterAutospacing="0" w:line="360" w:lineRule="auto"/>
        <w:ind w:firstLine="708"/>
        <w:jc w:val="both"/>
      </w:pPr>
      <w:r>
        <w:t xml:space="preserve">Las pruebas </w:t>
      </w:r>
      <w:r w:rsidR="00317BCC" w:rsidRPr="00317BCC">
        <w:t>Aprender</w:t>
      </w:r>
      <w:r>
        <w:t xml:space="preserve"> aportan, además,</w:t>
      </w:r>
      <w:r w:rsidR="00317BCC" w:rsidRPr="00317BCC">
        <w:t xml:space="preserve"> una dimensión temporal especialmente valiosa para la construcción de diagnósticos, ya que permite</w:t>
      </w:r>
      <w:r>
        <w:t>n</w:t>
      </w:r>
      <w:r w:rsidR="00317BCC" w:rsidRPr="00317BCC">
        <w:t xml:space="preserve"> construir series comparables y analizar la evolución de los aprendizajes a lo largo del tiempo (</w:t>
      </w:r>
      <w:proofErr w:type="spellStart"/>
      <w:r w:rsidR="00317BCC" w:rsidRPr="00317BCC">
        <w:t>Pinkasz</w:t>
      </w:r>
      <w:proofErr w:type="spellEnd"/>
      <w:r w:rsidR="00317BCC" w:rsidRPr="00317BCC">
        <w:t>, 2021). En Tucumán, la comparación entre distintas aplicaciones muestra un deterioro de los desempeños durante los últimos años, particularmente en Matemática. Esta información permite identificar problemas persistentes y orientar la definición de prioridades para la intervención educativa.</w:t>
      </w:r>
    </w:p>
    <w:p w14:paraId="1747BB53" w14:textId="77777777" w:rsidR="00EF4EDC" w:rsidRDefault="00EF4EDC" w:rsidP="00EF4EDC">
      <w:pPr>
        <w:pStyle w:val="isselectedend"/>
        <w:spacing w:before="0" w:beforeAutospacing="0" w:after="0" w:afterAutospacing="0" w:line="360" w:lineRule="auto"/>
        <w:ind w:firstLine="708"/>
        <w:jc w:val="both"/>
      </w:pPr>
    </w:p>
    <w:p w14:paraId="2C39713B" w14:textId="7479303F" w:rsidR="00634644" w:rsidRPr="00B74B6E" w:rsidRDefault="00634644" w:rsidP="00634644">
      <w:pPr>
        <w:pStyle w:val="Descripcin"/>
        <w:keepNext/>
        <w:jc w:val="both"/>
        <w:rPr>
          <w:rFonts w:ascii="Times New Roman" w:hAnsi="Times New Roman" w:cs="Times New Roman"/>
        </w:rPr>
      </w:pPr>
      <w:r w:rsidRPr="00B74B6E">
        <w:rPr>
          <w:rFonts w:ascii="Times New Roman" w:hAnsi="Times New Roman" w:cs="Times New Roman"/>
          <w:smallCaps w:val="0"/>
          <w:color w:val="002060"/>
          <w:sz w:val="20"/>
        </w:rPr>
        <w:lastRenderedPageBreak/>
        <w:t>Gráfico</w:t>
      </w:r>
      <w:r w:rsidR="00B74B6E" w:rsidRPr="00B74B6E">
        <w:rPr>
          <w:rFonts w:ascii="Times New Roman" w:hAnsi="Times New Roman" w:cs="Times New Roman"/>
          <w:smallCaps w:val="0"/>
          <w:color w:val="002060"/>
          <w:sz w:val="20"/>
        </w:rPr>
        <w:t xml:space="preserve"> </w:t>
      </w:r>
      <w:r w:rsidR="004E74AB">
        <w:rPr>
          <w:rFonts w:ascii="Times New Roman" w:hAnsi="Times New Roman" w:cs="Times New Roman"/>
          <w:smallCaps w:val="0"/>
          <w:color w:val="002060"/>
          <w:sz w:val="20"/>
        </w:rPr>
        <w:t>7</w:t>
      </w:r>
      <w:r w:rsidRPr="00B74B6E">
        <w:rPr>
          <w:rFonts w:ascii="Times New Roman" w:hAnsi="Times New Roman" w:cs="Times New Roman"/>
          <w:smallCaps w:val="0"/>
          <w:color w:val="002060"/>
          <w:sz w:val="20"/>
        </w:rPr>
        <w:t>:</w:t>
      </w:r>
      <w:r w:rsidRPr="00B74B6E">
        <w:rPr>
          <w:rFonts w:ascii="Times New Roman" w:hAnsi="Times New Roman" w:cs="Times New Roman"/>
          <w:color w:val="002060"/>
        </w:rPr>
        <w:t xml:space="preserve"> </w:t>
      </w:r>
      <w:r w:rsidRPr="00B74B6E">
        <w:rPr>
          <w:rFonts w:ascii="Times New Roman" w:hAnsi="Times New Roman" w:cs="Times New Roman"/>
          <w:b w:val="0"/>
          <w:bCs w:val="0"/>
          <w:smallCaps w:val="0"/>
          <w:color w:val="002060"/>
          <w:sz w:val="20"/>
        </w:rPr>
        <w:t xml:space="preserve">Nivel de desempeño de alumnos de último año de secundaria en Lengua en Pruebas Aprender, Tucumán, </w:t>
      </w:r>
      <w:r w:rsidR="00645CD3" w:rsidRPr="00B74B6E">
        <w:rPr>
          <w:rFonts w:ascii="Times New Roman" w:hAnsi="Times New Roman" w:cs="Times New Roman"/>
          <w:b w:val="0"/>
          <w:bCs w:val="0"/>
          <w:smallCaps w:val="0"/>
          <w:color w:val="002060"/>
          <w:sz w:val="20"/>
        </w:rPr>
        <w:t>201</w:t>
      </w:r>
      <w:r w:rsidR="00F17239">
        <w:rPr>
          <w:rFonts w:ascii="Times New Roman" w:hAnsi="Times New Roman" w:cs="Times New Roman"/>
          <w:b w:val="0"/>
          <w:bCs w:val="0"/>
          <w:smallCaps w:val="0"/>
          <w:color w:val="002060"/>
          <w:sz w:val="20"/>
        </w:rPr>
        <w:t>6</w:t>
      </w:r>
      <w:r w:rsidR="00645CD3" w:rsidRPr="00B74B6E">
        <w:rPr>
          <w:rFonts w:ascii="Times New Roman" w:hAnsi="Times New Roman" w:cs="Times New Roman"/>
          <w:b w:val="0"/>
          <w:bCs w:val="0"/>
          <w:smallCaps w:val="0"/>
          <w:color w:val="002060"/>
          <w:sz w:val="20"/>
        </w:rPr>
        <w:t>-</w:t>
      </w:r>
      <w:r w:rsidRPr="00B74B6E">
        <w:rPr>
          <w:rFonts w:ascii="Times New Roman" w:hAnsi="Times New Roman" w:cs="Times New Roman"/>
          <w:b w:val="0"/>
          <w:bCs w:val="0"/>
          <w:smallCaps w:val="0"/>
          <w:color w:val="002060"/>
          <w:sz w:val="20"/>
        </w:rPr>
        <w:t>2024.</w:t>
      </w:r>
    </w:p>
    <w:p w14:paraId="78B72EEB" w14:textId="15341574" w:rsidR="004A2F46" w:rsidRDefault="00F17239" w:rsidP="004A2F46">
      <w:pPr>
        <w:pStyle w:val="isselectedend"/>
        <w:spacing w:before="0" w:beforeAutospacing="0" w:after="0" w:afterAutospacing="0" w:line="360" w:lineRule="auto"/>
        <w:jc w:val="both"/>
      </w:pPr>
      <w:r>
        <w:rPr>
          <w:noProof/>
        </w:rPr>
        <w:drawing>
          <wp:inline distT="0" distB="0" distL="0" distR="0" wp14:anchorId="0A27B353" wp14:editId="6877F49A">
            <wp:extent cx="5135880" cy="2743200"/>
            <wp:effectExtent l="0" t="0" r="7620" b="0"/>
            <wp:docPr id="3" name="Gráfico 3">
              <a:extLst xmlns:a="http://schemas.openxmlformats.org/drawingml/2006/main">
                <a:ext uri="{FF2B5EF4-FFF2-40B4-BE49-F238E27FC236}">
                  <a16:creationId xmlns:a16="http://schemas.microsoft.com/office/drawing/2014/main" id="{5411F277-8886-44E7-A18C-EBFF22EE407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13F7E514" w14:textId="5BB40E5B" w:rsidR="00634644" w:rsidRPr="00B74B6E" w:rsidRDefault="00645CD3" w:rsidP="004A2F46">
      <w:pPr>
        <w:pStyle w:val="isselectedend"/>
        <w:spacing w:before="0" w:beforeAutospacing="0" w:after="0" w:afterAutospacing="0" w:line="360" w:lineRule="auto"/>
        <w:jc w:val="both"/>
        <w:rPr>
          <w:color w:val="002060"/>
          <w:sz w:val="16"/>
          <w:szCs w:val="16"/>
        </w:rPr>
      </w:pPr>
      <w:r w:rsidRPr="00B74B6E">
        <w:rPr>
          <w:color w:val="002060"/>
          <w:sz w:val="16"/>
          <w:szCs w:val="16"/>
        </w:rPr>
        <w:t>Fuente: Aprender 2024 Secundaria. Informes Jurisdiccionales. Tucumán.</w:t>
      </w:r>
    </w:p>
    <w:p w14:paraId="2597B1C5" w14:textId="478B9DF2" w:rsidR="00645CD3" w:rsidRDefault="00645CD3" w:rsidP="004A2F46">
      <w:pPr>
        <w:pStyle w:val="isselectedend"/>
        <w:spacing w:before="0" w:beforeAutospacing="0" w:after="0" w:afterAutospacing="0" w:line="360" w:lineRule="auto"/>
        <w:jc w:val="both"/>
        <w:rPr>
          <w:rFonts w:ascii="Arial" w:hAnsi="Arial" w:cs="Arial"/>
          <w:color w:val="002060"/>
          <w:sz w:val="16"/>
          <w:szCs w:val="16"/>
        </w:rPr>
      </w:pPr>
    </w:p>
    <w:p w14:paraId="2749DDA2" w14:textId="019FAC2D" w:rsidR="00645CD3" w:rsidRPr="00B74B6E" w:rsidRDefault="00645CD3" w:rsidP="00645CD3">
      <w:pPr>
        <w:pStyle w:val="Descripcin"/>
        <w:keepNext/>
        <w:jc w:val="both"/>
        <w:rPr>
          <w:rFonts w:ascii="Times New Roman" w:hAnsi="Times New Roman" w:cs="Times New Roman"/>
        </w:rPr>
      </w:pPr>
      <w:r w:rsidRPr="00B74B6E">
        <w:rPr>
          <w:rFonts w:ascii="Times New Roman" w:hAnsi="Times New Roman" w:cs="Times New Roman"/>
          <w:smallCaps w:val="0"/>
          <w:color w:val="002060"/>
          <w:sz w:val="20"/>
        </w:rPr>
        <w:t>Gráfico</w:t>
      </w:r>
      <w:r w:rsidR="00B74B6E" w:rsidRPr="00B74B6E">
        <w:rPr>
          <w:rFonts w:ascii="Times New Roman" w:hAnsi="Times New Roman" w:cs="Times New Roman"/>
          <w:smallCaps w:val="0"/>
          <w:color w:val="002060"/>
          <w:sz w:val="20"/>
        </w:rPr>
        <w:t xml:space="preserve"> </w:t>
      </w:r>
      <w:r w:rsidR="004E74AB">
        <w:rPr>
          <w:rFonts w:ascii="Times New Roman" w:hAnsi="Times New Roman" w:cs="Times New Roman"/>
          <w:smallCaps w:val="0"/>
          <w:color w:val="002060"/>
          <w:sz w:val="20"/>
        </w:rPr>
        <w:t>8</w:t>
      </w:r>
      <w:r w:rsidRPr="00B74B6E">
        <w:rPr>
          <w:rFonts w:ascii="Times New Roman" w:hAnsi="Times New Roman" w:cs="Times New Roman"/>
          <w:smallCaps w:val="0"/>
          <w:color w:val="002060"/>
          <w:sz w:val="20"/>
        </w:rPr>
        <w:t>:</w:t>
      </w:r>
      <w:r w:rsidRPr="00B74B6E">
        <w:rPr>
          <w:rFonts w:ascii="Times New Roman" w:hAnsi="Times New Roman" w:cs="Times New Roman"/>
          <w:color w:val="002060"/>
        </w:rPr>
        <w:t xml:space="preserve"> </w:t>
      </w:r>
      <w:r w:rsidRPr="00B74B6E">
        <w:rPr>
          <w:rFonts w:ascii="Times New Roman" w:hAnsi="Times New Roman" w:cs="Times New Roman"/>
          <w:b w:val="0"/>
          <w:bCs w:val="0"/>
          <w:smallCaps w:val="0"/>
          <w:color w:val="002060"/>
          <w:sz w:val="20"/>
        </w:rPr>
        <w:t>Nivel de desempeño de alumnos de último año de secundaria en Matemática en Pruebas Aprender, Tucumán, 201</w:t>
      </w:r>
      <w:r w:rsidR="00251A04">
        <w:rPr>
          <w:rFonts w:ascii="Times New Roman" w:hAnsi="Times New Roman" w:cs="Times New Roman"/>
          <w:b w:val="0"/>
          <w:bCs w:val="0"/>
          <w:smallCaps w:val="0"/>
          <w:color w:val="002060"/>
          <w:sz w:val="20"/>
        </w:rPr>
        <w:t>6</w:t>
      </w:r>
      <w:r w:rsidRPr="00B74B6E">
        <w:rPr>
          <w:rFonts w:ascii="Times New Roman" w:hAnsi="Times New Roman" w:cs="Times New Roman"/>
          <w:b w:val="0"/>
          <w:bCs w:val="0"/>
          <w:smallCaps w:val="0"/>
          <w:color w:val="002060"/>
          <w:sz w:val="20"/>
        </w:rPr>
        <w:t>-2024.</w:t>
      </w:r>
    </w:p>
    <w:p w14:paraId="54413C0F" w14:textId="41117DC6" w:rsidR="00634644" w:rsidRDefault="00F17239" w:rsidP="004A2F46">
      <w:pPr>
        <w:pStyle w:val="isselectedend"/>
        <w:spacing w:before="0" w:beforeAutospacing="0" w:after="0" w:afterAutospacing="0" w:line="360" w:lineRule="auto"/>
        <w:jc w:val="both"/>
      </w:pPr>
      <w:r>
        <w:rPr>
          <w:noProof/>
        </w:rPr>
        <w:drawing>
          <wp:inline distT="0" distB="0" distL="0" distR="0" wp14:anchorId="5712E088" wp14:editId="0EDB6BB5">
            <wp:extent cx="5013960" cy="2743200"/>
            <wp:effectExtent l="0" t="0" r="15240" b="0"/>
            <wp:docPr id="7" name="Gráfico 7">
              <a:extLst xmlns:a="http://schemas.openxmlformats.org/drawingml/2006/main">
                <a:ext uri="{FF2B5EF4-FFF2-40B4-BE49-F238E27FC236}">
                  <a16:creationId xmlns:a16="http://schemas.microsoft.com/office/drawing/2014/main" id="{32EA8ADE-1584-4E4A-8835-AC4C427B701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45B19FCD" w14:textId="77777777" w:rsidR="00645CD3" w:rsidRPr="00B74B6E" w:rsidRDefault="00645CD3" w:rsidP="00645CD3">
      <w:pPr>
        <w:pStyle w:val="isselectedend"/>
        <w:spacing w:before="0" w:beforeAutospacing="0" w:after="0" w:afterAutospacing="0" w:line="360" w:lineRule="auto"/>
        <w:jc w:val="both"/>
        <w:rPr>
          <w:color w:val="002060"/>
          <w:sz w:val="16"/>
          <w:szCs w:val="16"/>
        </w:rPr>
      </w:pPr>
      <w:r w:rsidRPr="00B74B6E">
        <w:rPr>
          <w:color w:val="002060"/>
          <w:sz w:val="16"/>
          <w:szCs w:val="16"/>
        </w:rPr>
        <w:t>Fuente: Aprender 2024 Secundaria. Informes Jurisdiccionales. Tucumán.</w:t>
      </w:r>
    </w:p>
    <w:p w14:paraId="46E969B2" w14:textId="4B462ED9" w:rsidR="0014035F" w:rsidRDefault="0014035F" w:rsidP="0014035F">
      <w:pPr>
        <w:pStyle w:val="isselectedend"/>
        <w:spacing w:before="0" w:beforeAutospacing="0" w:after="0" w:afterAutospacing="0" w:line="360" w:lineRule="auto"/>
        <w:jc w:val="both"/>
      </w:pPr>
    </w:p>
    <w:p w14:paraId="3ED07C03" w14:textId="19A2E914" w:rsidR="00EF4EDC" w:rsidRDefault="00D91E68" w:rsidP="00EF4EDC">
      <w:pPr>
        <w:pStyle w:val="isselectedend"/>
        <w:spacing w:before="0" w:beforeAutospacing="0" w:after="0" w:afterAutospacing="0" w:line="360" w:lineRule="auto"/>
        <w:ind w:firstLine="708"/>
        <w:jc w:val="both"/>
      </w:pPr>
      <w:r>
        <w:t>El</w:t>
      </w:r>
      <w:r w:rsidR="00A36714" w:rsidRPr="00A36714">
        <w:t xml:space="preserve"> potencial analítico </w:t>
      </w:r>
      <w:r>
        <w:t xml:space="preserve">de las pruebas Aprender </w:t>
      </w:r>
      <w:r w:rsidR="00A36714" w:rsidRPr="00A36714">
        <w:t>aumenta cuando los resultados son interpretados en diálogo con otras fuentes de información capaces de aportar elementos sobre los contextos sociales, institucionales y territoriales en los que se desarrollan los procesos educativos</w:t>
      </w:r>
      <w:r w:rsidR="00251A04" w:rsidRPr="00251A04">
        <w:t>.</w:t>
      </w:r>
    </w:p>
    <w:p w14:paraId="263F8B01" w14:textId="77777777" w:rsidR="00251A04" w:rsidRPr="00113B80" w:rsidRDefault="00251A04" w:rsidP="00EF4EDC">
      <w:pPr>
        <w:pStyle w:val="isselectedend"/>
        <w:spacing w:before="0" w:beforeAutospacing="0" w:after="0" w:afterAutospacing="0" w:line="360" w:lineRule="auto"/>
        <w:ind w:firstLine="708"/>
        <w:jc w:val="both"/>
      </w:pPr>
    </w:p>
    <w:p w14:paraId="2AF6892C" w14:textId="77777777" w:rsidR="00E53345" w:rsidRPr="00113B80" w:rsidRDefault="00E53345" w:rsidP="00E53345">
      <w:pPr>
        <w:pStyle w:val="isselectedend"/>
        <w:spacing w:before="0" w:beforeAutospacing="0" w:after="0" w:afterAutospacing="0" w:line="360" w:lineRule="auto"/>
        <w:jc w:val="both"/>
        <w:rPr>
          <w:b/>
          <w:bCs/>
        </w:rPr>
      </w:pPr>
      <w:r w:rsidRPr="00113B80">
        <w:rPr>
          <w:b/>
          <w:bCs/>
        </w:rPr>
        <w:t>Discusión</w:t>
      </w:r>
    </w:p>
    <w:p w14:paraId="0C7CF16C" w14:textId="5738B151" w:rsidR="00EF4EDC" w:rsidRPr="00EF4EDC" w:rsidRDefault="000B0590" w:rsidP="00E76A5E">
      <w:pPr>
        <w:pStyle w:val="isselectedend"/>
        <w:spacing w:before="0" w:beforeAutospacing="0" w:after="0" w:afterAutospacing="0" w:line="360" w:lineRule="auto"/>
        <w:ind w:firstLine="708"/>
        <w:jc w:val="both"/>
      </w:pPr>
      <w:r w:rsidRPr="000B0590">
        <w:t xml:space="preserve">La experiencia de Tucumán demuestra que el valor de las pruebas Aprender no radica en el dato crudo o aislado, sino en su capacidad para cartografiar desigualdades relacionales e </w:t>
      </w:r>
      <w:proofErr w:type="spellStart"/>
      <w:r w:rsidRPr="000B0590">
        <w:t>intertemporales</w:t>
      </w:r>
      <w:proofErr w:type="spellEnd"/>
      <w:r w:rsidRPr="000B0590">
        <w:t xml:space="preserve"> cuando se interpretan en estrecha consonancia con sus contextos de producción.</w:t>
      </w:r>
      <w:r>
        <w:t xml:space="preserve"> </w:t>
      </w:r>
    </w:p>
    <w:p w14:paraId="40A31646" w14:textId="15EB32A0" w:rsidR="00E76A5E" w:rsidRDefault="000B0590" w:rsidP="00E76A5E">
      <w:pPr>
        <w:pStyle w:val="isselectedend"/>
        <w:spacing w:before="0" w:beforeAutospacing="0" w:after="0" w:afterAutospacing="0" w:line="360" w:lineRule="auto"/>
        <w:ind w:firstLine="708"/>
        <w:jc w:val="both"/>
      </w:pPr>
      <w:r w:rsidRPr="000B0590">
        <w:t>En este sentido, la combinación de los resultados de Aprender con indicadores de contexto y condiciones de vida permitió enriquecer la interpretación de los desempeños y construir lecturas complejas, confirmando la necesidad de articular múltiples dimensiones de análisis para evitar reduccionismos (Montes, 2022)</w:t>
      </w:r>
      <w:r w:rsidR="00A36714" w:rsidRPr="00A36714">
        <w:t xml:space="preserve">. Asimismo, los factores asociados relevados por los cuestionarios complementarios aportaron evidencia sobre la persistencia de un gradiente social de los aprendizajes, mostrando que las diferencias en los desempeños se encuentran estrechamente vinculadas con las condiciones sociales de origen de los estudiantes. </w:t>
      </w:r>
      <w:r w:rsidR="003176F3" w:rsidRPr="003176F3">
        <w:t xml:space="preserve">Si bien el presente diagnóstico delimitó su alcance a la dimensión socioeconómica de los hogares, se reconoce la necesidad de incorporar en futuras líneas de indagación otras variables contextuales </w:t>
      </w:r>
      <w:r w:rsidR="003176F3">
        <w:t xml:space="preserve">presentes en los cuestionarios complementarios </w:t>
      </w:r>
      <w:r w:rsidR="003176F3" w:rsidRPr="003176F3">
        <w:t>para terminar de complejizar la matriz de factores asociados al rendimiento en la jurisdicción</w:t>
      </w:r>
      <w:r w:rsidR="003176F3">
        <w:t xml:space="preserve">. </w:t>
      </w:r>
      <w:r w:rsidR="00A36714" w:rsidRPr="00A36714">
        <w:t>La triangulación de fuentes no sólo amplía la información disponible, sino que permite contextualizar los resultados de aprendizaje e identificar relaciones que permanecen invisibles cuando las evaluaciones estandarizadas son analizadas de manera aislada</w:t>
      </w:r>
      <w:r w:rsidR="00EF4EDC" w:rsidRPr="00EF4EDC">
        <w:t>.</w:t>
      </w:r>
    </w:p>
    <w:p w14:paraId="56450538" w14:textId="7657735E" w:rsidR="00E76A5E" w:rsidRDefault="00A36714" w:rsidP="00E76A5E">
      <w:pPr>
        <w:pStyle w:val="isselectedend"/>
        <w:spacing w:before="0" w:beforeAutospacing="0" w:after="0" w:afterAutospacing="0" w:line="360" w:lineRule="auto"/>
        <w:ind w:firstLine="708"/>
        <w:jc w:val="both"/>
      </w:pPr>
      <w:r w:rsidRPr="00A36714">
        <w:t xml:space="preserve">La investigación también puso de manifiesto la importancia de las escalas de análisis. Los resultados provinciales permiten identificar tendencias generales del sistema educativo, mientras que la incorporación de información departamental revela configuraciones territoriales específicas que permanecen ocultas en los valores agregados. Los hallazgos muestran que las desigualdades en los aprendizajes no se distribuyen homogéneamente dentro de la provincia y que su comprensión requiere considerar simultáneamente distintas escalas territoriales de observación. Desde esta perspectiva, las diferencias observadas entre departamentos pueden interpretarse como procesos de acumulación de pequeñas desigualdades (Dubet, 2011). Los territorios que presentan mayores niveles de criticidad social tienden a exhibir también desempeños educativos menos favorables, mientras que aquellos con mejores condiciones de vida </w:t>
      </w:r>
      <w:r w:rsidRPr="00A36714">
        <w:lastRenderedPageBreak/>
        <w:t>registran resultados comparativamente más altos. La articulación entre Aprender, el ICSE y otros indicadores de contexto permitió identificar estas regularidades y mostrar cómo las desigualdades educativas se encuentran estrechamente vinculadas con desigualdades sociales más amplias</w:t>
      </w:r>
      <w:r w:rsidR="00EF4EDC" w:rsidRPr="00EF4EDC">
        <w:t>.</w:t>
      </w:r>
    </w:p>
    <w:p w14:paraId="7C9B9298" w14:textId="426FDC82" w:rsidR="00E53345" w:rsidRDefault="00A36714" w:rsidP="00E76A5E">
      <w:pPr>
        <w:pStyle w:val="isselectedend"/>
        <w:spacing w:before="0" w:beforeAutospacing="0" w:after="0" w:afterAutospacing="0" w:line="360" w:lineRule="auto"/>
        <w:ind w:firstLine="708"/>
        <w:jc w:val="both"/>
      </w:pPr>
      <w:r w:rsidRPr="00A36714">
        <w:t xml:space="preserve">Los resultados obtenidos sugieren que el principal aporte de las evaluaciones estandarizadas radica en las posibilidades que ofrecen cuando se integran en estrategias más amplias de producción de conocimiento. En esta línea, experiencias de evaluación integral como la desarrollada por el programa </w:t>
      </w:r>
      <w:proofErr w:type="spellStart"/>
      <w:r w:rsidRPr="00A36714">
        <w:t>PLaNEA</w:t>
      </w:r>
      <w:proofErr w:type="spellEnd"/>
      <w:r w:rsidRPr="00A36714">
        <w:t xml:space="preserve"> en Tucumán (UNICEF, 2023) muestran la importancia de complementar la información cuantitativa con estudios capaces de recuperar las prácticas pedagógicas, las dinámicas institucionales y las experiencias de los actores escolares. </w:t>
      </w:r>
      <w:r w:rsidR="00E60222">
        <w:t>E</w:t>
      </w:r>
      <w:r w:rsidRPr="00A36714">
        <w:t>l desafío</w:t>
      </w:r>
      <w:r w:rsidR="00353C36">
        <w:t>, entonces,</w:t>
      </w:r>
      <w:r w:rsidRPr="00A36714">
        <w:t xml:space="preserve"> consiste en construir enfoques que articulen evaluaciones estandarizadas, factores asociados, indicadores de contexto y distintas escalas de análisis para comprender problemas educativos complejos y orientar la toma de decisiones</w:t>
      </w:r>
      <w:r w:rsidR="00EF4EDC" w:rsidRPr="00EF4EDC">
        <w:t>.</w:t>
      </w:r>
    </w:p>
    <w:p w14:paraId="17C6A223" w14:textId="77777777" w:rsidR="000129E2" w:rsidRDefault="000129E2" w:rsidP="00EF4EDC">
      <w:pPr>
        <w:spacing w:after="0" w:line="360" w:lineRule="auto"/>
        <w:jc w:val="both"/>
        <w:rPr>
          <w:rFonts w:ascii="Times New Roman" w:hAnsi="Times New Roman" w:cs="Times New Roman"/>
          <w:sz w:val="24"/>
          <w:szCs w:val="24"/>
        </w:rPr>
      </w:pPr>
    </w:p>
    <w:p w14:paraId="7753C9B3" w14:textId="77777777" w:rsidR="00E53345" w:rsidRPr="00B806E5" w:rsidRDefault="00E53345" w:rsidP="00E53345">
      <w:pPr>
        <w:spacing w:after="0" w:line="360" w:lineRule="auto"/>
        <w:jc w:val="both"/>
        <w:rPr>
          <w:rFonts w:ascii="Times New Roman" w:hAnsi="Times New Roman" w:cs="Times New Roman"/>
          <w:b/>
          <w:bCs/>
          <w:sz w:val="24"/>
          <w:szCs w:val="24"/>
          <w:lang w:val="es-MX"/>
        </w:rPr>
      </w:pPr>
      <w:r w:rsidRPr="00B806E5">
        <w:rPr>
          <w:rFonts w:ascii="Times New Roman" w:hAnsi="Times New Roman" w:cs="Times New Roman"/>
          <w:b/>
          <w:bCs/>
          <w:sz w:val="24"/>
          <w:szCs w:val="24"/>
          <w:lang w:val="es-MX"/>
        </w:rPr>
        <w:t>Bibliografía</w:t>
      </w:r>
    </w:p>
    <w:p w14:paraId="65801C01" w14:textId="77777777" w:rsidR="00E53345" w:rsidRPr="00196161" w:rsidRDefault="00E53345" w:rsidP="00E53345">
      <w:pPr>
        <w:pStyle w:val="isselectedend"/>
        <w:jc w:val="both"/>
      </w:pPr>
      <w:proofErr w:type="spellStart"/>
      <w:r w:rsidRPr="00196161">
        <w:t>Celemin</w:t>
      </w:r>
      <w:proofErr w:type="spellEnd"/>
      <w:r w:rsidRPr="00196161">
        <w:t xml:space="preserve">, J. P.; Velázquez, G. A.; Arias, M. E. &amp; </w:t>
      </w:r>
      <w:proofErr w:type="spellStart"/>
      <w:r w:rsidRPr="00196161">
        <w:t>Tisnés</w:t>
      </w:r>
      <w:proofErr w:type="spellEnd"/>
      <w:r w:rsidRPr="00196161">
        <w:t xml:space="preserve">, A. (2025). </w:t>
      </w:r>
      <w:r w:rsidRPr="00196161">
        <w:rPr>
          <w:i/>
          <w:iCs/>
        </w:rPr>
        <w:t>Índice de Calidad de Vida por departamentos, Argentina: 2022</w:t>
      </w:r>
      <w:r w:rsidRPr="00196161">
        <w:t>. CONICET.</w:t>
      </w:r>
    </w:p>
    <w:p w14:paraId="7EBF4DB1" w14:textId="77777777" w:rsidR="00E53345" w:rsidRPr="00E76A5E" w:rsidRDefault="00E53345" w:rsidP="00E53345">
      <w:pPr>
        <w:pStyle w:val="isselectedend"/>
        <w:jc w:val="both"/>
      </w:pPr>
      <w:proofErr w:type="spellStart"/>
      <w:r w:rsidRPr="002958F8">
        <w:t>Dabegnino</w:t>
      </w:r>
      <w:proofErr w:type="spellEnd"/>
      <w:r w:rsidRPr="002958F8">
        <w:t xml:space="preserve">, V. &amp; </w:t>
      </w:r>
      <w:proofErr w:type="spellStart"/>
      <w:r w:rsidRPr="002958F8">
        <w:t>Bottinelli</w:t>
      </w:r>
      <w:proofErr w:type="spellEnd"/>
      <w:r w:rsidRPr="002958F8">
        <w:t xml:space="preserve">, L. (2022). </w:t>
      </w:r>
      <w:r w:rsidRPr="002958F8">
        <w:rPr>
          <w:i/>
          <w:iCs/>
        </w:rPr>
        <w:t>Informe nacional de indicadores educativos. Situación y evolución del derecho a la educación en Argentina</w:t>
      </w:r>
      <w:r w:rsidRPr="002958F8">
        <w:t xml:space="preserve">. Ministerio de Educación </w:t>
      </w:r>
      <w:r w:rsidRPr="00E76A5E">
        <w:t xml:space="preserve">de la Nación. </w:t>
      </w:r>
      <w:hyperlink r:id="rId20" w:history="1">
        <w:r w:rsidRPr="00E76A5E">
          <w:rPr>
            <w:rStyle w:val="Hipervnculo"/>
          </w:rPr>
          <w:t>https://bnm.me.gov.ar/giga1/documentos/EL008270.pdf</w:t>
        </w:r>
      </w:hyperlink>
    </w:p>
    <w:p w14:paraId="0C147EC2" w14:textId="77777777" w:rsidR="00E53345" w:rsidRPr="00E76A5E" w:rsidRDefault="00E53345" w:rsidP="00E53345">
      <w:pPr>
        <w:pStyle w:val="isselectedend"/>
        <w:jc w:val="both"/>
      </w:pPr>
      <w:r w:rsidRPr="00E76A5E">
        <w:t xml:space="preserve">Dubet, F. (2011). </w:t>
      </w:r>
      <w:r w:rsidRPr="00E76A5E">
        <w:rPr>
          <w:i/>
          <w:iCs/>
        </w:rPr>
        <w:t>Repensar la justicia social. Contra el mito de la igualdad de oportunidades</w:t>
      </w:r>
      <w:r w:rsidRPr="00E76A5E">
        <w:t>. Siglo XXI Editores.</w:t>
      </w:r>
    </w:p>
    <w:p w14:paraId="44BAD65E" w14:textId="3FBC6DA3" w:rsidR="005827A2" w:rsidRPr="005827A2" w:rsidRDefault="005827A2" w:rsidP="00E53345">
      <w:pPr>
        <w:pStyle w:val="isselectedend"/>
        <w:jc w:val="both"/>
      </w:pPr>
      <w:r w:rsidRPr="005827A2">
        <w:t xml:space="preserve">Ministerio de Capital Humano (2025). </w:t>
      </w:r>
      <w:r w:rsidRPr="005827A2">
        <w:rPr>
          <w:i/>
          <w:iCs/>
        </w:rPr>
        <w:t>Índice de Contexto Social de la Educación (ICSE) en Argentina para la clasificación de territorios y establecimientos escolares</w:t>
      </w:r>
      <w:r w:rsidRPr="005827A2">
        <w:t xml:space="preserve">. Secretaría de Educación y OEI. </w:t>
      </w:r>
      <w:r w:rsidRPr="005827A2">
        <w:rPr>
          <w:color w:val="0462C1"/>
        </w:rPr>
        <w:t>https://www.argentina.gob.ar/sites/default/files/documento_metodologico_icse_2022_0109.pdf</w:t>
      </w:r>
    </w:p>
    <w:p w14:paraId="06CEC8FD" w14:textId="4CA9307D" w:rsidR="00E53345" w:rsidRDefault="00E53345" w:rsidP="00E53345">
      <w:pPr>
        <w:pStyle w:val="isselectedend"/>
        <w:jc w:val="both"/>
      </w:pPr>
      <w:r w:rsidRPr="005827A2">
        <w:t xml:space="preserve">Ministerio de Educación de la Nación. (2007). </w:t>
      </w:r>
      <w:r w:rsidRPr="005827A2">
        <w:rPr>
          <w:i/>
          <w:iCs/>
        </w:rPr>
        <w:t>Sistema Nacional de Indicadores Educativos</w:t>
      </w:r>
      <w:r w:rsidRPr="005827A2">
        <w:t>. Red Federal de Información Educativa (</w:t>
      </w:r>
      <w:proofErr w:type="spellStart"/>
      <w:r w:rsidRPr="005827A2">
        <w:t>RedFIE</w:t>
      </w:r>
      <w:proofErr w:type="spellEnd"/>
      <w:r w:rsidRPr="005827A2">
        <w:t>).</w:t>
      </w:r>
      <w:r w:rsidR="00353C36">
        <w:t xml:space="preserve"> </w:t>
      </w:r>
      <w:hyperlink r:id="rId21" w:history="1">
        <w:r w:rsidR="00353C36" w:rsidRPr="0094469F">
          <w:rPr>
            <w:rStyle w:val="Hipervnculo"/>
          </w:rPr>
          <w:t>https://bnm.me.gov.ar/giga1/documentos/EL008270.pdf</w:t>
        </w:r>
      </w:hyperlink>
    </w:p>
    <w:p w14:paraId="3748F5BC" w14:textId="5A4B1419" w:rsidR="00E53345" w:rsidRDefault="00E53345" w:rsidP="00E53345">
      <w:pPr>
        <w:pStyle w:val="isselectedend"/>
        <w:jc w:val="both"/>
      </w:pPr>
      <w:r w:rsidRPr="005827A2">
        <w:lastRenderedPageBreak/>
        <w:t xml:space="preserve">Montes, N. (2022). </w:t>
      </w:r>
      <w:r w:rsidRPr="005827A2">
        <w:rPr>
          <w:i/>
          <w:iCs/>
        </w:rPr>
        <w:t>Usos</w:t>
      </w:r>
      <w:r w:rsidRPr="002B4B7C">
        <w:rPr>
          <w:i/>
          <w:iCs/>
        </w:rPr>
        <w:t xml:space="preserve"> de los sistemas de información en el planeamiento y gestión de políticas educativas en América Latina. Informe regional</w:t>
      </w:r>
      <w:r w:rsidRPr="002B4B7C">
        <w:t>. IIPE-UNESCO.</w:t>
      </w:r>
      <w:r w:rsidR="00353C36">
        <w:t xml:space="preserve"> </w:t>
      </w:r>
      <w:hyperlink r:id="rId22" w:history="1">
        <w:r w:rsidR="00353C36" w:rsidRPr="0094469F">
          <w:rPr>
            <w:rStyle w:val="Hipervnculo"/>
          </w:rPr>
          <w:t>https://unesdoc.unesco.org/ark:/48223/pf0000385439</w:t>
        </w:r>
      </w:hyperlink>
    </w:p>
    <w:p w14:paraId="521104DA" w14:textId="5B8FA023" w:rsidR="004B3E4A" w:rsidRDefault="004B3E4A" w:rsidP="004B3E4A">
      <w:pPr>
        <w:pStyle w:val="isselectedend"/>
        <w:jc w:val="both"/>
      </w:pPr>
      <w:r w:rsidRPr="004B3E4A">
        <w:t xml:space="preserve">Montes, N. </w:t>
      </w:r>
      <w:r>
        <w:t xml:space="preserve">&amp; Valencia, D. (2021). </w:t>
      </w:r>
      <w:r w:rsidRPr="004B3E4A">
        <w:rPr>
          <w:i/>
          <w:iCs/>
        </w:rPr>
        <w:t>El uso de los resultados de las pruebas de evaluación de los aprendizajes en el planeamiento de las políticas educativas en Argentina</w:t>
      </w:r>
      <w:r>
        <w:t xml:space="preserve">. Informe nacional. UNESCO. </w:t>
      </w:r>
      <w:hyperlink r:id="rId23" w:history="1">
        <w:r w:rsidRPr="00F26946">
          <w:rPr>
            <w:rStyle w:val="Hipervnculo"/>
          </w:rPr>
          <w:t>https://cdi.mecon.gob.ar/bases/docelec/az5472.pdf</w:t>
        </w:r>
      </w:hyperlink>
    </w:p>
    <w:p w14:paraId="05080D36" w14:textId="77777777" w:rsidR="00E53345" w:rsidRPr="00BA62BE" w:rsidRDefault="00E53345" w:rsidP="00E53345">
      <w:pPr>
        <w:pStyle w:val="isselectedend"/>
        <w:jc w:val="both"/>
      </w:pPr>
      <w:proofErr w:type="spellStart"/>
      <w:r w:rsidRPr="002B4B7C">
        <w:t>Morduchowicz</w:t>
      </w:r>
      <w:proofErr w:type="spellEnd"/>
      <w:r w:rsidRPr="002B4B7C">
        <w:t xml:space="preserve">, A. (2018). El fascinante mundo de los indicadores educativos: de la descripción a la explicación. </w:t>
      </w:r>
      <w:r w:rsidRPr="002B4B7C">
        <w:rPr>
          <w:i/>
          <w:iCs/>
        </w:rPr>
        <w:t>Propuesta Educativa</w:t>
      </w:r>
      <w:r w:rsidRPr="002B4B7C">
        <w:t>, 27(49), 8-17.</w:t>
      </w:r>
    </w:p>
    <w:p w14:paraId="0028D48F" w14:textId="3B33A7EC" w:rsidR="004B3E4A" w:rsidRDefault="004B3E4A" w:rsidP="00E53345">
      <w:pPr>
        <w:pStyle w:val="isselectedend"/>
        <w:jc w:val="both"/>
      </w:pPr>
      <w:proofErr w:type="spellStart"/>
      <w:r>
        <w:t>Pinkasz</w:t>
      </w:r>
      <w:proofErr w:type="spellEnd"/>
      <w:r>
        <w:t xml:space="preserve">, D. (2021). El uso </w:t>
      </w:r>
      <w:r w:rsidR="002958F8">
        <w:t>d</w:t>
      </w:r>
      <w:r w:rsidR="002958F8" w:rsidRPr="002958F8">
        <w:t xml:space="preserve">e los resultados de las pruebas de evaluación de los aprendizajes en el planeamiento de las políticas educativas en </w:t>
      </w:r>
      <w:r w:rsidR="002958F8">
        <w:t>seis países de la región</w:t>
      </w:r>
      <w:r w:rsidR="002958F8" w:rsidRPr="002958F8">
        <w:t xml:space="preserve">. Informe </w:t>
      </w:r>
      <w:r w:rsidR="002958F8">
        <w:t>regi</w:t>
      </w:r>
      <w:r w:rsidR="002958F8" w:rsidRPr="002958F8">
        <w:t>onal. UNESCO</w:t>
      </w:r>
      <w:r w:rsidR="002958F8">
        <w:t xml:space="preserve">. </w:t>
      </w:r>
      <w:hyperlink r:id="rId24" w:history="1">
        <w:r w:rsidR="002958F8" w:rsidRPr="00F26946">
          <w:rPr>
            <w:rStyle w:val="Hipervnculo"/>
          </w:rPr>
          <w:t>https://cdi.mecon.gob.ar/bases/docelec/az5475.pdf</w:t>
        </w:r>
      </w:hyperlink>
    </w:p>
    <w:p w14:paraId="75D0C10C" w14:textId="14C9CE99" w:rsidR="002B4B7C" w:rsidRDefault="002B4B7C" w:rsidP="00E53345">
      <w:pPr>
        <w:pStyle w:val="isselectedend"/>
        <w:jc w:val="both"/>
      </w:pPr>
      <w:proofErr w:type="spellStart"/>
      <w:r>
        <w:t>Scasso</w:t>
      </w:r>
      <w:proofErr w:type="spellEnd"/>
      <w:r>
        <w:t xml:space="preserve">, M. &amp; Claus, A. (2023). </w:t>
      </w:r>
      <w:r w:rsidRPr="002B4B7C">
        <w:rPr>
          <w:i/>
          <w:iCs/>
        </w:rPr>
        <w:t>Guías metodológicas para la producción de indicadores para un marco de monitoreo</w:t>
      </w:r>
      <w:r>
        <w:t xml:space="preserve">. UNESCO. </w:t>
      </w:r>
      <w:hyperlink r:id="rId25" w:history="1">
        <w:r w:rsidRPr="00F26946">
          <w:rPr>
            <w:rStyle w:val="Hipervnculo"/>
          </w:rPr>
          <w:t>https://unesdoc.unesco.org/ark:/48223/pf0000386858</w:t>
        </w:r>
      </w:hyperlink>
    </w:p>
    <w:p w14:paraId="20EF70EA" w14:textId="7613E620" w:rsidR="00E53345" w:rsidRDefault="00E53345" w:rsidP="00E53345">
      <w:pPr>
        <w:pStyle w:val="isselectedend"/>
        <w:jc w:val="both"/>
      </w:pPr>
      <w:proofErr w:type="spellStart"/>
      <w:r w:rsidRPr="00BA62BE">
        <w:t>Suasnábar</w:t>
      </w:r>
      <w:proofErr w:type="spellEnd"/>
      <w:r w:rsidRPr="00BA62BE">
        <w:t xml:space="preserve">, J. M. &amp; Valencia, D. (2022). El uso de información estadística gubernamental para caracterizar desigualdades sociales y educativas en los territorios. </w:t>
      </w:r>
      <w:r w:rsidRPr="00BA62BE">
        <w:rPr>
          <w:i/>
          <w:iCs/>
        </w:rPr>
        <w:t>Propuesta Educativa</w:t>
      </w:r>
      <w:r w:rsidRPr="00BA62BE">
        <w:t>, 31(57), 58-74.</w:t>
      </w:r>
    </w:p>
    <w:p w14:paraId="74704A50" w14:textId="55D1247F" w:rsidR="00036B86" w:rsidRDefault="00036B86" w:rsidP="00E53345">
      <w:pPr>
        <w:pStyle w:val="isselectedend"/>
        <w:jc w:val="both"/>
      </w:pPr>
      <w:proofErr w:type="spellStart"/>
      <w:r w:rsidRPr="00036B86">
        <w:t>Suasnábar</w:t>
      </w:r>
      <w:proofErr w:type="spellEnd"/>
      <w:r w:rsidRPr="00036B86">
        <w:t xml:space="preserve">, J. M. &amp; Valencia, D. (2024). </w:t>
      </w:r>
      <w:r w:rsidRPr="00036B86">
        <w:rPr>
          <w:i/>
          <w:iCs/>
        </w:rPr>
        <w:t>Hacia el fortalecimiento de un Sistema Nacional de Información Educativa en clave nominalizada: aspectos normativos de la generación, uso y protección de datos en Argentina y cinco jurisdicciones seleccionadas</w:t>
      </w:r>
      <w:r w:rsidRPr="00036B86">
        <w:t xml:space="preserve">. Organización de Estados Iberoamericanos para la Educación, la Ciencia y la Cultura. </w:t>
      </w:r>
      <w:hyperlink r:id="rId26" w:history="1">
        <w:r w:rsidR="00353C36" w:rsidRPr="0094469F">
          <w:rPr>
            <w:rStyle w:val="Hipervnculo"/>
          </w:rPr>
          <w:t>https://oei.int/wp-content/uploads/2024/07/aspectos-normativos-final2-1.pdf</w:t>
        </w:r>
      </w:hyperlink>
    </w:p>
    <w:p w14:paraId="5125BB5B" w14:textId="354B2981" w:rsidR="003A62C8" w:rsidRDefault="003A62C8" w:rsidP="00E53345">
      <w:pPr>
        <w:pStyle w:val="isselectedend"/>
        <w:jc w:val="both"/>
      </w:pPr>
      <w:r w:rsidRPr="003A62C8">
        <w:t xml:space="preserve">UNICEF (2023). </w:t>
      </w:r>
      <w:r w:rsidRPr="003A62C8">
        <w:rPr>
          <w:i/>
          <w:iCs/>
        </w:rPr>
        <w:t xml:space="preserve">Informe final: Evaluación del Programa </w:t>
      </w:r>
      <w:proofErr w:type="spellStart"/>
      <w:r w:rsidRPr="003A62C8">
        <w:rPr>
          <w:i/>
          <w:iCs/>
        </w:rPr>
        <w:t>PLaNEA</w:t>
      </w:r>
      <w:proofErr w:type="spellEnd"/>
      <w:r w:rsidRPr="003A62C8">
        <w:rPr>
          <w:i/>
          <w:iCs/>
        </w:rPr>
        <w:t xml:space="preserve"> en Tucumán</w:t>
      </w:r>
      <w:r w:rsidRPr="003A62C8">
        <w:t xml:space="preserve">. Centro UC, Medición MIDE. </w:t>
      </w:r>
      <w:hyperlink r:id="rId27" w:history="1">
        <w:r w:rsidRPr="00ED70B7">
          <w:rPr>
            <w:rStyle w:val="Hipervnculo"/>
          </w:rPr>
          <w:t>https://evaluationreports.unicef.org/GetDocument?documentID=18177&amp;fileID=53465</w:t>
        </w:r>
      </w:hyperlink>
    </w:p>
    <w:p w14:paraId="18617E43" w14:textId="18186AE1" w:rsidR="00856361" w:rsidRDefault="00856361" w:rsidP="00E53345">
      <w:pPr>
        <w:spacing w:after="0" w:line="360" w:lineRule="auto"/>
        <w:jc w:val="both"/>
        <w:rPr>
          <w:rFonts w:ascii="Times New Roman" w:eastAsia="Times New Roman" w:hAnsi="Times New Roman" w:cs="Times New Roman"/>
          <w:sz w:val="24"/>
          <w:szCs w:val="24"/>
        </w:rPr>
      </w:pPr>
    </w:p>
    <w:sectPr w:rsidR="00856361">
      <w:headerReference w:type="default" r:id="rId28"/>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B120D0" w14:textId="77777777" w:rsidR="00C55D0C" w:rsidRDefault="00C55D0C">
      <w:pPr>
        <w:spacing w:after="0" w:line="240" w:lineRule="auto"/>
      </w:pPr>
      <w:r>
        <w:separator/>
      </w:r>
    </w:p>
  </w:endnote>
  <w:endnote w:type="continuationSeparator" w:id="0">
    <w:p w14:paraId="3CFACF94" w14:textId="77777777" w:rsidR="00C55D0C" w:rsidRDefault="00C55D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embedRegular r:id="rId1" w:fontKey="{E09F1FD0-EC2C-46AD-A4C5-48F84FD5349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24D91C82-CE05-4687-A226-93ADF56DB2D0}"/>
    <w:embedBold r:id="rId3" w:fontKey="{06B96401-4385-4A7A-8788-C1B437E1917C}"/>
    <w:embedItalic r:id="rId4" w:fontKey="{1F497CAC-EFE4-40DA-9A39-93BECED98385}"/>
  </w:font>
  <w:font w:name="Cambria">
    <w:panose1 w:val="02040503050406030204"/>
    <w:charset w:val="00"/>
    <w:family w:val="roman"/>
    <w:pitch w:val="variable"/>
    <w:sig w:usb0="E00006FF" w:usb1="420024FF" w:usb2="02000000" w:usb3="00000000" w:csb0="0000019F" w:csb1="00000000"/>
    <w:embedRegular r:id="rId5" w:fontKey="{A6BE0E42-E7E7-4153-B75A-A97B050D849A}"/>
  </w:font>
  <w:font w:name="Tahoma">
    <w:panose1 w:val="020B0604030504040204"/>
    <w:charset w:val="00"/>
    <w:family w:val="swiss"/>
    <w:pitch w:val="variable"/>
    <w:sig w:usb0="E1002EFF" w:usb1="C000605B" w:usb2="00000029" w:usb3="00000000" w:csb0="000101FF" w:csb1="00000000"/>
    <w:embedRegular r:id="rId6" w:fontKey="{97A2C32C-9913-4D50-AB03-F623EFB3A03F}"/>
  </w:font>
  <w:font w:name="Calibri Light">
    <w:panose1 w:val="020F0302020204030204"/>
    <w:charset w:val="00"/>
    <w:family w:val="swiss"/>
    <w:pitch w:val="variable"/>
    <w:sig w:usb0="E4002EFF" w:usb1="C000247B" w:usb2="00000009" w:usb3="00000000" w:csb0="000001FF" w:csb1="00000000"/>
    <w:embedRegular r:id="rId7" w:fontKey="{DCA6CBC9-9510-49E0-9D9F-0961C91E3A8C}"/>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8" w:fontKey="{76EE39F9-BFE2-4C2D-BDB7-37CE9696F6C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FF99E9" w14:textId="77777777" w:rsidR="00C55D0C" w:rsidRDefault="00C55D0C">
      <w:pPr>
        <w:spacing w:after="0" w:line="240" w:lineRule="auto"/>
      </w:pPr>
      <w:r>
        <w:separator/>
      </w:r>
    </w:p>
  </w:footnote>
  <w:footnote w:type="continuationSeparator" w:id="0">
    <w:p w14:paraId="08D8BACD" w14:textId="77777777" w:rsidR="00C55D0C" w:rsidRDefault="00C55D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700A35" w14:textId="668E698E" w:rsidR="00856361" w:rsidRDefault="00C32BF3">
    <w:pPr>
      <w:tabs>
        <w:tab w:val="left" w:pos="2400"/>
        <w:tab w:val="right" w:pos="14004"/>
      </w:tabs>
      <w:spacing w:after="0" w:line="240" w:lineRule="auto"/>
      <w:jc w:val="center"/>
      <w:rPr>
        <w:rFonts w:ascii="Times New Roman" w:eastAsia="Times New Roman" w:hAnsi="Times New Roman" w:cs="Times New Roman"/>
        <w:sz w:val="18"/>
        <w:szCs w:val="18"/>
      </w:rPr>
    </w:pPr>
    <w:r>
      <w:rPr>
        <w:noProof/>
        <w:color w:val="000000"/>
        <w:sz w:val="20"/>
        <w:szCs w:val="20"/>
      </w:rPr>
      <w:drawing>
        <wp:inline distT="0" distB="0" distL="0" distR="0" wp14:anchorId="7C1979BD" wp14:editId="23254734">
          <wp:extent cx="1304400" cy="867410"/>
          <wp:effectExtent l="0" t="0" r="0" b="8890"/>
          <wp:docPr id="511293714" name="image1.png" descr="LOGO DE LA SOCIEDAD ARGENTINA DE INVESTIGACIÓN EN EDUCACIÓN"/>
          <wp:cNvGraphicFramePr/>
          <a:graphic xmlns:a="http://schemas.openxmlformats.org/drawingml/2006/main">
            <a:graphicData uri="http://schemas.openxmlformats.org/drawingml/2006/picture">
              <pic:pic xmlns:pic="http://schemas.openxmlformats.org/drawingml/2006/picture">
                <pic:nvPicPr>
                  <pic:cNvPr id="0" name="image1.png" descr="LOGO DE LA SOCIEDAD ARGENTINA DE INVESTIGACIÓN EN EDUCACIÓN"/>
                  <pic:cNvPicPr preferRelativeResize="0"/>
                </pic:nvPicPr>
                <pic:blipFill>
                  <a:blip r:embed="rId1"/>
                  <a:srcRect/>
                  <a:stretch>
                    <a:fillRect/>
                  </a:stretch>
                </pic:blipFill>
                <pic:spPr>
                  <a:xfrm>
                    <a:off x="0" y="0"/>
                    <a:ext cx="1306417" cy="868751"/>
                  </a:xfrm>
                  <a:prstGeom prst="rect">
                    <a:avLst/>
                  </a:prstGeom>
                  <a:ln/>
                </pic:spPr>
              </pic:pic>
            </a:graphicData>
          </a:graphic>
        </wp:inline>
      </w:drawing>
    </w:r>
  </w:p>
  <w:p w14:paraId="62444A2D" w14:textId="77777777" w:rsidR="00856361" w:rsidRDefault="00856361">
    <w:pPr>
      <w:tabs>
        <w:tab w:val="left" w:pos="2400"/>
        <w:tab w:val="right" w:pos="14004"/>
      </w:tabs>
      <w:spacing w:after="0" w:line="240" w:lineRule="auto"/>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CD1E14"/>
    <w:multiLevelType w:val="multilevel"/>
    <w:tmpl w:val="16D2CC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CCB76E5"/>
    <w:multiLevelType w:val="multilevel"/>
    <w:tmpl w:val="E722AEC0"/>
    <w:lvl w:ilvl="0">
      <w:start w:val="1"/>
      <w:numFmt w:val="decimal"/>
      <w:lvlText w:val="%1."/>
      <w:lvlJc w:val="left"/>
      <w:pPr>
        <w:ind w:left="360" w:hanging="360"/>
      </w:pPr>
      <w:rPr>
        <w:rFonts w:ascii="Times New Roman" w:eastAsia="Times New Roman" w:hAnsi="Times New Roman" w:cs="Times New Roman"/>
        <w:color w:val="7F7F7F"/>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6361"/>
    <w:rsid w:val="000129E2"/>
    <w:rsid w:val="00017868"/>
    <w:rsid w:val="00017DFA"/>
    <w:rsid w:val="00036B86"/>
    <w:rsid w:val="00075B69"/>
    <w:rsid w:val="000B0590"/>
    <w:rsid w:val="000B553A"/>
    <w:rsid w:val="000E0567"/>
    <w:rsid w:val="0014035F"/>
    <w:rsid w:val="00143A85"/>
    <w:rsid w:val="00174580"/>
    <w:rsid w:val="00196161"/>
    <w:rsid w:val="001A40AA"/>
    <w:rsid w:val="001D33C0"/>
    <w:rsid w:val="001D796B"/>
    <w:rsid w:val="001F2A31"/>
    <w:rsid w:val="001F3D37"/>
    <w:rsid w:val="00234A3A"/>
    <w:rsid w:val="00251A04"/>
    <w:rsid w:val="00260BC2"/>
    <w:rsid w:val="0027559E"/>
    <w:rsid w:val="002770D2"/>
    <w:rsid w:val="002958F8"/>
    <w:rsid w:val="00297297"/>
    <w:rsid w:val="002B4B7C"/>
    <w:rsid w:val="0030138B"/>
    <w:rsid w:val="0031069A"/>
    <w:rsid w:val="003176F3"/>
    <w:rsid w:val="00317BCC"/>
    <w:rsid w:val="00353C36"/>
    <w:rsid w:val="00363294"/>
    <w:rsid w:val="0036470C"/>
    <w:rsid w:val="003A62C8"/>
    <w:rsid w:val="004122E9"/>
    <w:rsid w:val="00425FB7"/>
    <w:rsid w:val="00473990"/>
    <w:rsid w:val="004A2F46"/>
    <w:rsid w:val="004A40D3"/>
    <w:rsid w:val="004B3E4A"/>
    <w:rsid w:val="004B7166"/>
    <w:rsid w:val="004E74AB"/>
    <w:rsid w:val="005064F2"/>
    <w:rsid w:val="00523986"/>
    <w:rsid w:val="005617E6"/>
    <w:rsid w:val="005827A2"/>
    <w:rsid w:val="005B03A6"/>
    <w:rsid w:val="005B7241"/>
    <w:rsid w:val="005E6713"/>
    <w:rsid w:val="005F4629"/>
    <w:rsid w:val="006319A5"/>
    <w:rsid w:val="00634644"/>
    <w:rsid w:val="00645CD3"/>
    <w:rsid w:val="00651574"/>
    <w:rsid w:val="00655CA4"/>
    <w:rsid w:val="006A7148"/>
    <w:rsid w:val="00724FAC"/>
    <w:rsid w:val="00734B7A"/>
    <w:rsid w:val="00847412"/>
    <w:rsid w:val="00856361"/>
    <w:rsid w:val="008A13D5"/>
    <w:rsid w:val="008A5B4D"/>
    <w:rsid w:val="008D2661"/>
    <w:rsid w:val="008F353C"/>
    <w:rsid w:val="00925A5A"/>
    <w:rsid w:val="00926E02"/>
    <w:rsid w:val="00944F53"/>
    <w:rsid w:val="009564E6"/>
    <w:rsid w:val="00A36714"/>
    <w:rsid w:val="00AF06A4"/>
    <w:rsid w:val="00B47D03"/>
    <w:rsid w:val="00B74B6E"/>
    <w:rsid w:val="00BD0C66"/>
    <w:rsid w:val="00BD59FE"/>
    <w:rsid w:val="00BE12A8"/>
    <w:rsid w:val="00C156E0"/>
    <w:rsid w:val="00C32BF3"/>
    <w:rsid w:val="00C3655C"/>
    <w:rsid w:val="00C55D0C"/>
    <w:rsid w:val="00C56224"/>
    <w:rsid w:val="00C774C9"/>
    <w:rsid w:val="00CE768C"/>
    <w:rsid w:val="00D12968"/>
    <w:rsid w:val="00D66714"/>
    <w:rsid w:val="00D67916"/>
    <w:rsid w:val="00D704D2"/>
    <w:rsid w:val="00D74394"/>
    <w:rsid w:val="00D91E68"/>
    <w:rsid w:val="00D97129"/>
    <w:rsid w:val="00DA7E52"/>
    <w:rsid w:val="00DB615B"/>
    <w:rsid w:val="00E15883"/>
    <w:rsid w:val="00E40011"/>
    <w:rsid w:val="00E51D27"/>
    <w:rsid w:val="00E53345"/>
    <w:rsid w:val="00E60222"/>
    <w:rsid w:val="00E70E0C"/>
    <w:rsid w:val="00E76A5E"/>
    <w:rsid w:val="00EF4EDC"/>
    <w:rsid w:val="00F051EA"/>
    <w:rsid w:val="00F17239"/>
    <w:rsid w:val="00F4391D"/>
    <w:rsid w:val="00F47380"/>
    <w:rsid w:val="00F74DD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C5625"/>
  <w15:docId w15:val="{3FB955C7-5C38-4761-B4B1-C72ED7738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spacing w:line="240" w:lineRule="auto"/>
      <w:outlineLvl w:val="2"/>
    </w:pPr>
    <w:rPr>
      <w:rFonts w:ascii="Times New Roman" w:eastAsia="Times New Roman" w:hAnsi="Times New Roman" w:cs="Times New Roman"/>
      <w:sz w:val="27"/>
      <w:szCs w:val="27"/>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styleId="Tablaconcuadrcula">
    <w:name w:val="Table Grid"/>
    <w:basedOn w:val="Tablanormal"/>
    <w:uiPriority w:val="39"/>
    <w:rsid w:val="00314B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F93F7B"/>
    <w:pPr>
      <w:autoSpaceDE w:val="0"/>
      <w:autoSpaceDN w:val="0"/>
      <w:adjustRightInd w:val="0"/>
      <w:spacing w:after="0" w:line="240" w:lineRule="auto"/>
    </w:pPr>
    <w:rPr>
      <w:rFonts w:ascii="Cambria" w:hAnsi="Cambria" w:cs="Cambria"/>
      <w:color w:val="000000"/>
      <w:sz w:val="24"/>
      <w:szCs w:val="24"/>
    </w:rPr>
  </w:style>
  <w:style w:type="paragraph" w:styleId="Encabezado">
    <w:name w:val="header"/>
    <w:basedOn w:val="Normal"/>
    <w:link w:val="EncabezadoCar"/>
    <w:uiPriority w:val="99"/>
    <w:unhideWhenUsed/>
    <w:rsid w:val="00F93F7B"/>
    <w:pPr>
      <w:tabs>
        <w:tab w:val="center" w:pos="4252"/>
        <w:tab w:val="right" w:pos="8504"/>
      </w:tabs>
      <w:spacing w:after="0" w:line="240" w:lineRule="auto"/>
    </w:pPr>
    <w:rPr>
      <w:rFonts w:asciiTheme="minorHAnsi" w:eastAsiaTheme="minorHAnsi" w:hAnsiTheme="minorHAnsi" w:cstheme="minorBidi"/>
    </w:rPr>
  </w:style>
  <w:style w:type="character" w:customStyle="1" w:styleId="EncabezadoCar">
    <w:name w:val="Encabezado Car"/>
    <w:basedOn w:val="Fuentedeprrafopredeter"/>
    <w:link w:val="Encabezado"/>
    <w:uiPriority w:val="99"/>
    <w:rsid w:val="00F93F7B"/>
  </w:style>
  <w:style w:type="paragraph" w:styleId="Piedepgina">
    <w:name w:val="footer"/>
    <w:basedOn w:val="Normal"/>
    <w:link w:val="PiedepginaCar"/>
    <w:uiPriority w:val="99"/>
    <w:unhideWhenUsed/>
    <w:rsid w:val="00F93F7B"/>
    <w:pPr>
      <w:tabs>
        <w:tab w:val="center" w:pos="4252"/>
        <w:tab w:val="right" w:pos="8504"/>
      </w:tabs>
      <w:spacing w:after="0" w:line="240" w:lineRule="auto"/>
    </w:pPr>
    <w:rPr>
      <w:rFonts w:asciiTheme="minorHAnsi" w:eastAsiaTheme="minorHAnsi" w:hAnsiTheme="minorHAnsi" w:cstheme="minorBidi"/>
    </w:rPr>
  </w:style>
  <w:style w:type="character" w:customStyle="1" w:styleId="PiedepginaCar">
    <w:name w:val="Pie de página Car"/>
    <w:basedOn w:val="Fuentedeprrafopredeter"/>
    <w:link w:val="Piedepgina"/>
    <w:uiPriority w:val="99"/>
    <w:rsid w:val="00F93F7B"/>
  </w:style>
  <w:style w:type="paragraph" w:styleId="Prrafodelista">
    <w:name w:val="List Paragraph"/>
    <w:basedOn w:val="Normal"/>
    <w:uiPriority w:val="34"/>
    <w:qFormat/>
    <w:rsid w:val="00837222"/>
    <w:pPr>
      <w:spacing w:after="160" w:line="259" w:lineRule="auto"/>
      <w:ind w:left="720"/>
      <w:contextualSpacing/>
    </w:pPr>
    <w:rPr>
      <w:rFonts w:asciiTheme="minorHAnsi" w:eastAsiaTheme="minorHAnsi" w:hAnsiTheme="minorHAnsi" w:cstheme="minorBidi"/>
    </w:rPr>
  </w:style>
  <w:style w:type="character" w:styleId="Hipervnculo">
    <w:name w:val="Hyperlink"/>
    <w:basedOn w:val="Fuentedeprrafopredeter"/>
    <w:uiPriority w:val="99"/>
    <w:unhideWhenUsed/>
    <w:rsid w:val="00BD1B96"/>
    <w:rPr>
      <w:color w:val="0563C1" w:themeColor="hyperlink"/>
      <w:u w:val="single"/>
    </w:rPr>
  </w:style>
  <w:style w:type="paragraph" w:styleId="NormalWeb">
    <w:name w:val="Normal (Web)"/>
    <w:basedOn w:val="Normal"/>
    <w:uiPriority w:val="99"/>
    <w:unhideWhenUsed/>
    <w:rsid w:val="00E1145A"/>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7202B0"/>
    <w:rPr>
      <w:b/>
      <w:bCs/>
    </w:rPr>
  </w:style>
  <w:style w:type="paragraph" w:styleId="Textodeglobo">
    <w:name w:val="Balloon Text"/>
    <w:basedOn w:val="Normal"/>
    <w:link w:val="TextodegloboCar"/>
    <w:uiPriority w:val="99"/>
    <w:semiHidden/>
    <w:unhideWhenUsed/>
    <w:rsid w:val="000A150E"/>
    <w:pPr>
      <w:spacing w:after="0" w:line="240" w:lineRule="auto"/>
    </w:pPr>
    <w:rPr>
      <w:rFonts w:ascii="Tahoma" w:eastAsiaTheme="minorHAnsi" w:hAnsi="Tahoma" w:cs="Tahoma"/>
      <w:sz w:val="16"/>
      <w:szCs w:val="16"/>
    </w:rPr>
  </w:style>
  <w:style w:type="character" w:customStyle="1" w:styleId="TextodegloboCar">
    <w:name w:val="Texto de globo Car"/>
    <w:basedOn w:val="Fuentedeprrafopredeter"/>
    <w:link w:val="Textodeglobo"/>
    <w:uiPriority w:val="99"/>
    <w:semiHidden/>
    <w:rsid w:val="000A150E"/>
    <w:rPr>
      <w:rFonts w:ascii="Tahoma" w:hAnsi="Tahoma" w:cs="Tahoma"/>
      <w:sz w:val="16"/>
      <w:szCs w:val="16"/>
    </w:rPr>
  </w:style>
  <w:style w:type="character" w:customStyle="1" w:styleId="Ttulo3Car">
    <w:name w:val="Título 3 Car"/>
    <w:basedOn w:val="Fuentedeprrafopredeter"/>
    <w:uiPriority w:val="9"/>
    <w:rsid w:val="00DD2CBE"/>
    <w:rPr>
      <w:rFonts w:ascii="Times New Roman" w:eastAsia="Times New Roman" w:hAnsi="Times New Roman" w:cs="Times New Roman"/>
      <w:sz w:val="27"/>
      <w:szCs w:val="27"/>
      <w:lang w:eastAsia="es-ES"/>
    </w:rPr>
  </w:style>
  <w:style w:type="character" w:customStyle="1" w:styleId="field--department-affiliation">
    <w:name w:val="field--department-affiliation"/>
    <w:basedOn w:val="Fuentedeprrafopredeter"/>
    <w:rsid w:val="00DD2CBE"/>
  </w:style>
  <w:style w:type="character" w:customStyle="1" w:styleId="field--title6">
    <w:name w:val="field--title6"/>
    <w:basedOn w:val="Fuentedeprrafopredeter"/>
    <w:rsid w:val="00DD2CBE"/>
  </w:style>
  <w:style w:type="character" w:styleId="nfasis">
    <w:name w:val="Emphasis"/>
    <w:basedOn w:val="Fuentedeprrafopredeter"/>
    <w:uiPriority w:val="20"/>
    <w:qFormat/>
    <w:rsid w:val="00AE42EE"/>
    <w:rPr>
      <w:i/>
      <w:iCs/>
    </w:rPr>
  </w:style>
  <w:style w:type="character" w:customStyle="1" w:styleId="Ttulo1Car">
    <w:name w:val="Título 1 Car"/>
    <w:basedOn w:val="Fuentedeprrafopredeter"/>
    <w:uiPriority w:val="9"/>
    <w:rsid w:val="00217224"/>
    <w:rPr>
      <w:rFonts w:asciiTheme="majorHAnsi" w:eastAsiaTheme="majorEastAsia" w:hAnsiTheme="majorHAnsi" w:cstheme="majorBidi"/>
      <w:color w:val="2E74B5" w:themeColor="accent1" w:themeShade="BF"/>
      <w:sz w:val="32"/>
      <w:szCs w:val="32"/>
    </w:rPr>
  </w:style>
  <w:style w:type="paragraph" w:customStyle="1" w:styleId="Autora">
    <w:name w:val="Autoría"/>
    <w:basedOn w:val="Normal"/>
    <w:rsid w:val="00217224"/>
    <w:pPr>
      <w:spacing w:before="240" w:after="240"/>
      <w:jc w:val="both"/>
    </w:pPr>
    <w:rPr>
      <w:rFonts w:ascii="Arial" w:eastAsia="Times New Roman" w:hAnsi="Arial" w:cs="Times New Roman"/>
      <w:b/>
      <w:sz w:val="20"/>
    </w:rPr>
  </w:style>
  <w:style w:type="paragraph" w:styleId="Textoindependiente">
    <w:name w:val="Body Text"/>
    <w:basedOn w:val="Normal"/>
    <w:link w:val="TextoindependienteCar"/>
    <w:uiPriority w:val="1"/>
    <w:qFormat/>
    <w:rsid w:val="00D06BE2"/>
    <w:pPr>
      <w:widowControl w:val="0"/>
      <w:autoSpaceDE w:val="0"/>
      <w:autoSpaceDN w:val="0"/>
      <w:spacing w:after="0" w:line="240" w:lineRule="auto"/>
    </w:pPr>
    <w:rPr>
      <w:rFonts w:ascii="Cambria" w:eastAsia="Cambria" w:hAnsi="Cambria" w:cs="Cambria"/>
      <w:sz w:val="24"/>
      <w:szCs w:val="24"/>
      <w:lang w:eastAsia="en-US"/>
    </w:rPr>
  </w:style>
  <w:style w:type="character" w:customStyle="1" w:styleId="TextoindependienteCar">
    <w:name w:val="Texto independiente Car"/>
    <w:basedOn w:val="Fuentedeprrafopredeter"/>
    <w:link w:val="Textoindependiente"/>
    <w:uiPriority w:val="1"/>
    <w:rsid w:val="00D06BE2"/>
    <w:rPr>
      <w:rFonts w:ascii="Cambria" w:eastAsia="Cambria" w:hAnsi="Cambria" w:cs="Cambria"/>
      <w:sz w:val="24"/>
      <w:szCs w:val="24"/>
      <w:lang w:eastAsia="en-US"/>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rFonts w:cs="Arial"/>
      <w:sz w:val="20"/>
      <w:szCs w:val="20"/>
    </w:rPr>
  </w:style>
  <w:style w:type="character" w:styleId="Refdecomentario">
    <w:name w:val="annotation reference"/>
    <w:basedOn w:val="Fuentedeprrafopredeter"/>
    <w:uiPriority w:val="99"/>
    <w:semiHidden/>
    <w:unhideWhenUsed/>
    <w:rPr>
      <w:sz w:val="16"/>
      <w:szCs w:val="1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Mencinsinresolver">
    <w:name w:val="Unresolved Mention"/>
    <w:basedOn w:val="Fuentedeprrafopredeter"/>
    <w:uiPriority w:val="99"/>
    <w:semiHidden/>
    <w:unhideWhenUsed/>
    <w:rsid w:val="00E53345"/>
    <w:rPr>
      <w:color w:val="605E5C"/>
      <w:shd w:val="clear" w:color="auto" w:fill="E1DFDD"/>
    </w:rPr>
  </w:style>
  <w:style w:type="paragraph" w:customStyle="1" w:styleId="isselectedend">
    <w:name w:val="isselectedend"/>
    <w:basedOn w:val="Normal"/>
    <w:rsid w:val="00E53345"/>
    <w:pPr>
      <w:spacing w:before="100" w:beforeAutospacing="1" w:after="100" w:afterAutospacing="1" w:line="240" w:lineRule="auto"/>
    </w:pPr>
    <w:rPr>
      <w:rFonts w:ascii="Times New Roman" w:eastAsia="Times New Roman" w:hAnsi="Times New Roman" w:cs="Times New Roman"/>
      <w:sz w:val="24"/>
      <w:szCs w:val="24"/>
    </w:rPr>
  </w:style>
  <w:style w:type="paragraph" w:styleId="Descripcin">
    <w:name w:val="caption"/>
    <w:basedOn w:val="Normal"/>
    <w:next w:val="Normal"/>
    <w:uiPriority w:val="35"/>
    <w:unhideWhenUsed/>
    <w:qFormat/>
    <w:rsid w:val="001F3D37"/>
    <w:pPr>
      <w:spacing w:after="160" w:line="240" w:lineRule="auto"/>
    </w:pPr>
    <w:rPr>
      <w:rFonts w:asciiTheme="minorHAnsi" w:eastAsiaTheme="minorEastAsia" w:hAnsiTheme="minorHAnsi" w:cstheme="minorBidi"/>
      <w:b/>
      <w:bCs/>
      <w:smallCaps/>
      <w:color w:val="44546A" w:themeColor="text2"/>
      <w:lang w:eastAsia="en-US"/>
    </w:rPr>
  </w:style>
  <w:style w:type="paragraph" w:styleId="Textonotapie">
    <w:name w:val="footnote text"/>
    <w:basedOn w:val="Normal"/>
    <w:link w:val="TextonotapieCar"/>
    <w:uiPriority w:val="99"/>
    <w:semiHidden/>
    <w:unhideWhenUsed/>
    <w:rsid w:val="001F2A31"/>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1F2A31"/>
    <w:rPr>
      <w:sz w:val="20"/>
      <w:szCs w:val="20"/>
    </w:rPr>
  </w:style>
  <w:style w:type="character" w:styleId="Refdenotaalpie">
    <w:name w:val="footnote reference"/>
    <w:basedOn w:val="Fuentedeprrafopredeter"/>
    <w:uiPriority w:val="99"/>
    <w:semiHidden/>
    <w:unhideWhenUsed/>
    <w:rsid w:val="001F2A3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hart" Target="charts/chart2.xml"/><Relationship Id="rId18" Type="http://schemas.openxmlformats.org/officeDocument/2006/relationships/chart" Target="charts/chart7.xml"/><Relationship Id="rId26" Type="http://schemas.openxmlformats.org/officeDocument/2006/relationships/hyperlink" Target="https://oei.int/wp-content/uploads/2024/07/aspectos-normativos-final2-1.pdf" TargetMode="External"/><Relationship Id="rId3" Type="http://schemas.openxmlformats.org/officeDocument/2006/relationships/numbering" Target="numbering.xml"/><Relationship Id="rId21" Type="http://schemas.openxmlformats.org/officeDocument/2006/relationships/hyperlink" Target="https://bnm.me.gov.ar/giga1/documentos/EL008270.pdf" TargetMode="External"/><Relationship Id="rId7" Type="http://schemas.openxmlformats.org/officeDocument/2006/relationships/footnotes" Target="footnotes.xml"/><Relationship Id="rId12" Type="http://schemas.openxmlformats.org/officeDocument/2006/relationships/image" Target="media/image1.emf"/><Relationship Id="rId17" Type="http://schemas.openxmlformats.org/officeDocument/2006/relationships/chart" Target="charts/chart6.xml"/><Relationship Id="rId25" Type="http://schemas.openxmlformats.org/officeDocument/2006/relationships/hyperlink" Target="https://unesdoc.unesco.org/ark:/48223/pf0000386858" TargetMode="External"/><Relationship Id="rId2" Type="http://schemas.openxmlformats.org/officeDocument/2006/relationships/customXml" Target="../customXml/item2.xml"/><Relationship Id="rId16" Type="http://schemas.openxmlformats.org/officeDocument/2006/relationships/chart" Target="charts/chart5.xml"/><Relationship Id="rId20" Type="http://schemas.openxmlformats.org/officeDocument/2006/relationships/hyperlink" Target="https://bnm.me.gov.ar/giga1/documentos/EL008270.pdf"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hart" Target="charts/chart1.xml"/><Relationship Id="rId24" Type="http://schemas.openxmlformats.org/officeDocument/2006/relationships/hyperlink" Target="https://cdi.mecon.gob.ar/bases/docelec/az5475.pdf" TargetMode="External"/><Relationship Id="rId5" Type="http://schemas.openxmlformats.org/officeDocument/2006/relationships/settings" Target="settings.xml"/><Relationship Id="rId15" Type="http://schemas.openxmlformats.org/officeDocument/2006/relationships/chart" Target="charts/chart4.xml"/><Relationship Id="rId23" Type="http://schemas.openxmlformats.org/officeDocument/2006/relationships/hyperlink" Target="https://cdi.mecon.gob.ar/bases/docelec/az5472.pdf" TargetMode="External"/><Relationship Id="rId28" Type="http://schemas.openxmlformats.org/officeDocument/2006/relationships/header" Target="header1.xml"/><Relationship Id="rId10" Type="http://schemas.openxmlformats.org/officeDocument/2006/relationships/hyperlink" Target="mailto:stellamasrocha@unlu.edu.ar" TargetMode="External"/><Relationship Id="rId19" Type="http://schemas.openxmlformats.org/officeDocument/2006/relationships/chart" Target="charts/chart8.xml"/><Relationship Id="rId4" Type="http://schemas.openxmlformats.org/officeDocument/2006/relationships/styles" Target="styles.xml"/><Relationship Id="rId9" Type="http://schemas.openxmlformats.org/officeDocument/2006/relationships/hyperlink" Target="mailto:smas@unsam.edu.ar" TargetMode="External"/><Relationship Id="rId14" Type="http://schemas.openxmlformats.org/officeDocument/2006/relationships/chart" Target="charts/chart3.xml"/><Relationship Id="rId22" Type="http://schemas.openxmlformats.org/officeDocument/2006/relationships/hyperlink" Target="https://unesdoc.unesco.org/ark:/48223/pf0000385439" TargetMode="External"/><Relationship Id="rId27" Type="http://schemas.openxmlformats.org/officeDocument/2006/relationships/hyperlink" Target="https://evaluationreports.unicef.org/GetDocument?documentID=18177&amp;fileID=53465" TargetMode="Externa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5136370796327664"/>
          <c:y val="1.6233766233766232E-2"/>
          <c:w val="0.81153390649581991"/>
          <c:h val="0.88497673586256265"/>
        </c:manualLayout>
      </c:layout>
      <c:barChart>
        <c:barDir val="bar"/>
        <c:grouping val="clustered"/>
        <c:varyColors val="0"/>
        <c:ser>
          <c:idx val="0"/>
          <c:order val="0"/>
          <c:tx>
            <c:strRef>
              <c:f>Hoja1!$D$2</c:f>
              <c:strCache>
                <c:ptCount val="1"/>
                <c:pt idx="0">
                  <c:v>ICSE</c:v>
                </c:pt>
              </c:strCache>
            </c:strRef>
          </c:tx>
          <c:spPr>
            <a:solidFill>
              <a:schemeClr val="accent5">
                <a:lumMod val="75000"/>
              </a:schemeClr>
            </a:solidFill>
            <a:ln>
              <a:noFill/>
            </a:ln>
            <a:effectLst/>
          </c:spPr>
          <c:invertIfNegative val="0"/>
          <c:dPt>
            <c:idx val="0"/>
            <c:invertIfNegative val="0"/>
            <c:bubble3D val="0"/>
            <c:spPr>
              <a:solidFill>
                <a:srgbClr val="002060"/>
              </a:solidFill>
              <a:ln>
                <a:noFill/>
              </a:ln>
              <a:effectLst/>
            </c:spPr>
            <c:extLst>
              <c:ext xmlns:c16="http://schemas.microsoft.com/office/drawing/2014/chart" uri="{C3380CC4-5D6E-409C-BE32-E72D297353CC}">
                <c16:uniqueId val="{00000001-D8EA-4F8D-8A6A-53C54A41EC0A}"/>
              </c:ext>
            </c:extLst>
          </c:dPt>
          <c:dPt>
            <c:idx val="1"/>
            <c:invertIfNegative val="0"/>
            <c:bubble3D val="0"/>
            <c:spPr>
              <a:solidFill>
                <a:srgbClr val="002060"/>
              </a:solidFill>
              <a:ln>
                <a:noFill/>
              </a:ln>
              <a:effectLst/>
            </c:spPr>
            <c:extLst>
              <c:ext xmlns:c16="http://schemas.microsoft.com/office/drawing/2014/chart" uri="{C3380CC4-5D6E-409C-BE32-E72D297353CC}">
                <c16:uniqueId val="{00000003-D8EA-4F8D-8A6A-53C54A41EC0A}"/>
              </c:ext>
            </c:extLst>
          </c:dPt>
          <c:dPt>
            <c:idx val="2"/>
            <c:invertIfNegative val="0"/>
            <c:bubble3D val="0"/>
            <c:spPr>
              <a:solidFill>
                <a:srgbClr val="002060"/>
              </a:solidFill>
              <a:ln>
                <a:noFill/>
              </a:ln>
              <a:effectLst/>
            </c:spPr>
            <c:extLst>
              <c:ext xmlns:c16="http://schemas.microsoft.com/office/drawing/2014/chart" uri="{C3380CC4-5D6E-409C-BE32-E72D297353CC}">
                <c16:uniqueId val="{00000005-D8EA-4F8D-8A6A-53C54A41EC0A}"/>
              </c:ext>
            </c:extLst>
          </c:dPt>
          <c:dPt>
            <c:idx val="16"/>
            <c:invertIfNegative val="0"/>
            <c:bubble3D val="0"/>
            <c:spPr>
              <a:solidFill>
                <a:schemeClr val="accent5">
                  <a:lumMod val="40000"/>
                  <a:lumOff val="60000"/>
                </a:schemeClr>
              </a:solidFill>
              <a:ln>
                <a:noFill/>
              </a:ln>
              <a:effectLst/>
            </c:spPr>
            <c:extLst>
              <c:ext xmlns:c16="http://schemas.microsoft.com/office/drawing/2014/chart" uri="{C3380CC4-5D6E-409C-BE32-E72D297353CC}">
                <c16:uniqueId val="{00000007-D8EA-4F8D-8A6A-53C54A41EC0A}"/>
              </c:ext>
            </c:extLst>
          </c:dPt>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A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Hoja1!$C$3:$C$19</c:f>
              <c:strCache>
                <c:ptCount val="17"/>
                <c:pt idx="0">
                  <c:v>Burruyacú</c:v>
                </c:pt>
                <c:pt idx="1">
                  <c:v>Graneros</c:v>
                </c:pt>
                <c:pt idx="2">
                  <c:v>Simoca</c:v>
                </c:pt>
                <c:pt idx="3">
                  <c:v>Trancas</c:v>
                </c:pt>
                <c:pt idx="4">
                  <c:v>Cruz Alta</c:v>
                </c:pt>
                <c:pt idx="5">
                  <c:v>Tafí del Valle</c:v>
                </c:pt>
                <c:pt idx="6">
                  <c:v>La Cocha</c:v>
                </c:pt>
                <c:pt idx="7">
                  <c:v>Leales</c:v>
                </c:pt>
                <c:pt idx="8">
                  <c:v>Famaillá</c:v>
                </c:pt>
                <c:pt idx="9">
                  <c:v>Río Chico</c:v>
                </c:pt>
                <c:pt idx="10">
                  <c:v>J. B. Alberdi</c:v>
                </c:pt>
                <c:pt idx="11">
                  <c:v>Chicligasta</c:v>
                </c:pt>
                <c:pt idx="12">
                  <c:v>Lules</c:v>
                </c:pt>
                <c:pt idx="13">
                  <c:v>Monteros</c:v>
                </c:pt>
                <c:pt idx="14">
                  <c:v>Tafí Viejo</c:v>
                </c:pt>
                <c:pt idx="15">
                  <c:v>Capital</c:v>
                </c:pt>
                <c:pt idx="16">
                  <c:v>Yerba Buena</c:v>
                </c:pt>
              </c:strCache>
            </c:strRef>
          </c:cat>
          <c:val>
            <c:numRef>
              <c:f>Hoja1!$D$3:$D$19</c:f>
              <c:numCache>
                <c:formatCode>0.00</c:formatCode>
                <c:ptCount val="17"/>
                <c:pt idx="0">
                  <c:v>0.39600000000000002</c:v>
                </c:pt>
                <c:pt idx="1">
                  <c:v>0.371</c:v>
                </c:pt>
                <c:pt idx="2">
                  <c:v>0.37</c:v>
                </c:pt>
                <c:pt idx="3">
                  <c:v>0.34699999999999998</c:v>
                </c:pt>
                <c:pt idx="4">
                  <c:v>0.33900000000000002</c:v>
                </c:pt>
                <c:pt idx="5">
                  <c:v>0.33300000000000002</c:v>
                </c:pt>
                <c:pt idx="6">
                  <c:v>0.33100000000000002</c:v>
                </c:pt>
                <c:pt idx="7">
                  <c:v>0.32100000000000001</c:v>
                </c:pt>
                <c:pt idx="8">
                  <c:v>0.311</c:v>
                </c:pt>
                <c:pt idx="9">
                  <c:v>0.29099999999999998</c:v>
                </c:pt>
                <c:pt idx="10">
                  <c:v>0.28399999999999997</c:v>
                </c:pt>
                <c:pt idx="11">
                  <c:v>0.28299999999999997</c:v>
                </c:pt>
                <c:pt idx="12">
                  <c:v>0.27300000000000002</c:v>
                </c:pt>
                <c:pt idx="13">
                  <c:v>0.27300000000000002</c:v>
                </c:pt>
                <c:pt idx="14">
                  <c:v>0.255</c:v>
                </c:pt>
                <c:pt idx="15">
                  <c:v>0.23</c:v>
                </c:pt>
                <c:pt idx="16">
                  <c:v>0.159</c:v>
                </c:pt>
              </c:numCache>
            </c:numRef>
          </c:val>
          <c:extLst>
            <c:ext xmlns:c16="http://schemas.microsoft.com/office/drawing/2014/chart" uri="{C3380CC4-5D6E-409C-BE32-E72D297353CC}">
              <c16:uniqueId val="{00000008-D8EA-4F8D-8A6A-53C54A41EC0A}"/>
            </c:ext>
          </c:extLst>
        </c:ser>
        <c:dLbls>
          <c:dLblPos val="outEnd"/>
          <c:showLegendKey val="0"/>
          <c:showVal val="1"/>
          <c:showCatName val="0"/>
          <c:showSerName val="0"/>
          <c:showPercent val="0"/>
          <c:showBubbleSize val="0"/>
        </c:dLbls>
        <c:gapWidth val="182"/>
        <c:axId val="1544180575"/>
        <c:axId val="1544177663"/>
      </c:barChart>
      <c:catAx>
        <c:axId val="1544180575"/>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Times New Roman" panose="02020603050405020304" pitchFamily="18" charset="0"/>
              </a:defRPr>
            </a:pPr>
            <a:endParaRPr lang="es-AR"/>
          </a:p>
        </c:txPr>
        <c:crossAx val="1544177663"/>
        <c:crosses val="autoZero"/>
        <c:auto val="1"/>
        <c:lblAlgn val="ctr"/>
        <c:lblOffset val="100"/>
        <c:noMultiLvlLbl val="0"/>
      </c:catAx>
      <c:valAx>
        <c:axId val="1544177663"/>
        <c:scaling>
          <c:orientation val="minMax"/>
          <c:max val="0.4"/>
        </c:scaling>
        <c:delete val="0"/>
        <c:axPos val="b"/>
        <c:majorGridlines>
          <c:spPr>
            <a:ln w="9525" cap="flat" cmpd="sng" algn="ctr">
              <a:solidFill>
                <a:schemeClr val="bg1"/>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mn-lt"/>
                <a:ea typeface="+mn-ea"/>
                <a:cs typeface="+mn-cs"/>
              </a:defRPr>
            </a:pPr>
            <a:endParaRPr lang="es-AR"/>
          </a:p>
        </c:txPr>
        <c:crossAx val="1544180575"/>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AR"/>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percentStacked"/>
        <c:varyColors val="0"/>
        <c:ser>
          <c:idx val="0"/>
          <c:order val="0"/>
          <c:tx>
            <c:strRef>
              <c:f>'Aprender x Departamento Secunda'!$K$93</c:f>
              <c:strCache>
                <c:ptCount val="1"/>
                <c:pt idx="0">
                  <c:v>Debajo del básico</c:v>
                </c:pt>
              </c:strCache>
            </c:strRef>
          </c:tx>
          <c:spPr>
            <a:solidFill>
              <a:srgbClr val="406088"/>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ysClr val="windowText" lastClr="000000"/>
                    </a:solidFill>
                    <a:latin typeface="+mn-lt"/>
                    <a:ea typeface="+mn-ea"/>
                    <a:cs typeface="+mn-cs"/>
                  </a:defRPr>
                </a:pPr>
                <a:endParaRPr lang="es-A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'Aprender x Departamento Secunda'!$B$94:$B$111</c:f>
              <c:strCache>
                <c:ptCount val="18"/>
                <c:pt idx="0">
                  <c:v>Total Tucumán</c:v>
                </c:pt>
                <c:pt idx="1">
                  <c:v>Burruyacú</c:v>
                </c:pt>
                <c:pt idx="2">
                  <c:v>Capital</c:v>
                </c:pt>
                <c:pt idx="3">
                  <c:v>Chicligasta</c:v>
                </c:pt>
                <c:pt idx="4">
                  <c:v>Cruz Alta</c:v>
                </c:pt>
                <c:pt idx="5">
                  <c:v>Famaillá</c:v>
                </c:pt>
                <c:pt idx="6">
                  <c:v>Graneros</c:v>
                </c:pt>
                <c:pt idx="7">
                  <c:v>Juan Bautista Alberdi</c:v>
                </c:pt>
                <c:pt idx="8">
                  <c:v>La Cocha</c:v>
                </c:pt>
                <c:pt idx="9">
                  <c:v>Leales</c:v>
                </c:pt>
                <c:pt idx="10">
                  <c:v>Lules</c:v>
                </c:pt>
                <c:pt idx="11">
                  <c:v>Monteros</c:v>
                </c:pt>
                <c:pt idx="12">
                  <c:v>Río Chico</c:v>
                </c:pt>
                <c:pt idx="13">
                  <c:v>Simoca</c:v>
                </c:pt>
                <c:pt idx="14">
                  <c:v>Tafí del Valle</c:v>
                </c:pt>
                <c:pt idx="15">
                  <c:v>Tafí Viejo</c:v>
                </c:pt>
                <c:pt idx="16">
                  <c:v>Trancas</c:v>
                </c:pt>
                <c:pt idx="17">
                  <c:v>Yerba Buena</c:v>
                </c:pt>
              </c:strCache>
            </c:strRef>
          </c:cat>
          <c:val>
            <c:numRef>
              <c:f>'Aprender x Departamento Secunda'!$K$94:$K$111</c:f>
              <c:numCache>
                <c:formatCode>0.0%</c:formatCode>
                <c:ptCount val="18"/>
                <c:pt idx="0">
                  <c:v>0.28799999999999998</c:v>
                </c:pt>
                <c:pt idx="1">
                  <c:v>0.4345</c:v>
                </c:pt>
                <c:pt idx="2">
                  <c:v>0.223</c:v>
                </c:pt>
                <c:pt idx="3">
                  <c:v>0.30499999999999999</c:v>
                </c:pt>
                <c:pt idx="4">
                  <c:v>0.33760000000000001</c:v>
                </c:pt>
                <c:pt idx="5">
                  <c:v>0.38129999999999997</c:v>
                </c:pt>
                <c:pt idx="6">
                  <c:v>0.38140000000000002</c:v>
                </c:pt>
                <c:pt idx="7">
                  <c:v>0.35630000000000001</c:v>
                </c:pt>
                <c:pt idx="8">
                  <c:v>0.31430000000000002</c:v>
                </c:pt>
                <c:pt idx="9">
                  <c:v>0.40100000000000002</c:v>
                </c:pt>
                <c:pt idx="10">
                  <c:v>0.30480000000000002</c:v>
                </c:pt>
                <c:pt idx="11">
                  <c:v>0.35089999999999999</c:v>
                </c:pt>
                <c:pt idx="12">
                  <c:v>0.37369999999999998</c:v>
                </c:pt>
                <c:pt idx="13">
                  <c:v>0.42809999999999998</c:v>
                </c:pt>
                <c:pt idx="14">
                  <c:v>0.32950000000000002</c:v>
                </c:pt>
                <c:pt idx="15">
                  <c:v>0.3019</c:v>
                </c:pt>
                <c:pt idx="16">
                  <c:v>0.34739999999999999</c:v>
                </c:pt>
                <c:pt idx="17">
                  <c:v>0.1802</c:v>
                </c:pt>
              </c:numCache>
            </c:numRef>
          </c:val>
          <c:extLst>
            <c:ext xmlns:c16="http://schemas.microsoft.com/office/drawing/2014/chart" uri="{C3380CC4-5D6E-409C-BE32-E72D297353CC}">
              <c16:uniqueId val="{00000000-BC60-49BB-A4A9-121EFBBB8A71}"/>
            </c:ext>
          </c:extLst>
        </c:ser>
        <c:ser>
          <c:idx val="1"/>
          <c:order val="1"/>
          <c:tx>
            <c:strRef>
              <c:f>'Aprender x Departamento Secunda'!$L$93</c:f>
              <c:strCache>
                <c:ptCount val="1"/>
                <c:pt idx="0">
                  <c:v>Básico</c:v>
                </c:pt>
              </c:strCache>
            </c:strRef>
          </c:tx>
          <c:spPr>
            <a:solidFill>
              <a:srgbClr val="17A8A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ysClr val="windowText" lastClr="000000"/>
                    </a:solidFill>
                    <a:latin typeface="+mn-lt"/>
                    <a:ea typeface="+mn-ea"/>
                    <a:cs typeface="+mn-cs"/>
                  </a:defRPr>
                </a:pPr>
                <a:endParaRPr lang="es-A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'Aprender x Departamento Secunda'!$B$94:$B$111</c:f>
              <c:strCache>
                <c:ptCount val="18"/>
                <c:pt idx="0">
                  <c:v>Total Tucumán</c:v>
                </c:pt>
                <c:pt idx="1">
                  <c:v>Burruyacú</c:v>
                </c:pt>
                <c:pt idx="2">
                  <c:v>Capital</c:v>
                </c:pt>
                <c:pt idx="3">
                  <c:v>Chicligasta</c:v>
                </c:pt>
                <c:pt idx="4">
                  <c:v>Cruz Alta</c:v>
                </c:pt>
                <c:pt idx="5">
                  <c:v>Famaillá</c:v>
                </c:pt>
                <c:pt idx="6">
                  <c:v>Graneros</c:v>
                </c:pt>
                <c:pt idx="7">
                  <c:v>Juan Bautista Alberdi</c:v>
                </c:pt>
                <c:pt idx="8">
                  <c:v>La Cocha</c:v>
                </c:pt>
                <c:pt idx="9">
                  <c:v>Leales</c:v>
                </c:pt>
                <c:pt idx="10">
                  <c:v>Lules</c:v>
                </c:pt>
                <c:pt idx="11">
                  <c:v>Monteros</c:v>
                </c:pt>
                <c:pt idx="12">
                  <c:v>Río Chico</c:v>
                </c:pt>
                <c:pt idx="13">
                  <c:v>Simoca</c:v>
                </c:pt>
                <c:pt idx="14">
                  <c:v>Tafí del Valle</c:v>
                </c:pt>
                <c:pt idx="15">
                  <c:v>Tafí Viejo</c:v>
                </c:pt>
                <c:pt idx="16">
                  <c:v>Trancas</c:v>
                </c:pt>
                <c:pt idx="17">
                  <c:v>Yerba Buena</c:v>
                </c:pt>
              </c:strCache>
            </c:strRef>
          </c:cat>
          <c:val>
            <c:numRef>
              <c:f>'Aprender x Departamento Secunda'!$L$94:$L$111</c:f>
              <c:numCache>
                <c:formatCode>0.0%</c:formatCode>
                <c:ptCount val="18"/>
                <c:pt idx="0">
                  <c:v>0.224</c:v>
                </c:pt>
                <c:pt idx="1">
                  <c:v>0.26179999999999998</c:v>
                </c:pt>
                <c:pt idx="2">
                  <c:v>0.2034</c:v>
                </c:pt>
                <c:pt idx="3">
                  <c:v>0.22209999999999999</c:v>
                </c:pt>
                <c:pt idx="4">
                  <c:v>0.2487</c:v>
                </c:pt>
                <c:pt idx="5">
                  <c:v>0.23580000000000001</c:v>
                </c:pt>
                <c:pt idx="6">
                  <c:v>0.21609999999999999</c:v>
                </c:pt>
                <c:pt idx="7">
                  <c:v>0.22</c:v>
                </c:pt>
                <c:pt idx="8">
                  <c:v>0.314</c:v>
                </c:pt>
                <c:pt idx="9">
                  <c:v>0.23960000000000001</c:v>
                </c:pt>
                <c:pt idx="10">
                  <c:v>0.2412</c:v>
                </c:pt>
                <c:pt idx="11">
                  <c:v>0.23749999999999999</c:v>
                </c:pt>
                <c:pt idx="12">
                  <c:v>0.24399999999999999</c:v>
                </c:pt>
                <c:pt idx="13">
                  <c:v>0.24179999999999999</c:v>
                </c:pt>
                <c:pt idx="14">
                  <c:v>0.25659999999999999</c:v>
                </c:pt>
                <c:pt idx="15">
                  <c:v>0.25669999999999998</c:v>
                </c:pt>
                <c:pt idx="16">
                  <c:v>0.27989999999999998</c:v>
                </c:pt>
                <c:pt idx="17">
                  <c:v>0.1762</c:v>
                </c:pt>
              </c:numCache>
            </c:numRef>
          </c:val>
          <c:extLst>
            <c:ext xmlns:c16="http://schemas.microsoft.com/office/drawing/2014/chart" uri="{C3380CC4-5D6E-409C-BE32-E72D297353CC}">
              <c16:uniqueId val="{00000001-BC60-49BB-A4A9-121EFBBB8A71}"/>
            </c:ext>
          </c:extLst>
        </c:ser>
        <c:ser>
          <c:idx val="2"/>
          <c:order val="2"/>
          <c:tx>
            <c:strRef>
              <c:f>'Aprender x Departamento Secunda'!$M$93</c:f>
              <c:strCache>
                <c:ptCount val="1"/>
                <c:pt idx="0">
                  <c:v>Satisfactorio</c:v>
                </c:pt>
              </c:strCache>
            </c:strRef>
          </c:tx>
          <c:spPr>
            <a:solidFill>
              <a:srgbClr val="18214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bg1"/>
                    </a:solidFill>
                    <a:latin typeface="+mn-lt"/>
                    <a:ea typeface="+mn-ea"/>
                    <a:cs typeface="+mn-cs"/>
                  </a:defRPr>
                </a:pPr>
                <a:endParaRPr lang="es-A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'Aprender x Departamento Secunda'!$B$94:$B$111</c:f>
              <c:strCache>
                <c:ptCount val="18"/>
                <c:pt idx="0">
                  <c:v>Total Tucumán</c:v>
                </c:pt>
                <c:pt idx="1">
                  <c:v>Burruyacú</c:v>
                </c:pt>
                <c:pt idx="2">
                  <c:v>Capital</c:v>
                </c:pt>
                <c:pt idx="3">
                  <c:v>Chicligasta</c:v>
                </c:pt>
                <c:pt idx="4">
                  <c:v>Cruz Alta</c:v>
                </c:pt>
                <c:pt idx="5">
                  <c:v>Famaillá</c:v>
                </c:pt>
                <c:pt idx="6">
                  <c:v>Graneros</c:v>
                </c:pt>
                <c:pt idx="7">
                  <c:v>Juan Bautista Alberdi</c:v>
                </c:pt>
                <c:pt idx="8">
                  <c:v>La Cocha</c:v>
                </c:pt>
                <c:pt idx="9">
                  <c:v>Leales</c:v>
                </c:pt>
                <c:pt idx="10">
                  <c:v>Lules</c:v>
                </c:pt>
                <c:pt idx="11">
                  <c:v>Monteros</c:v>
                </c:pt>
                <c:pt idx="12">
                  <c:v>Río Chico</c:v>
                </c:pt>
                <c:pt idx="13">
                  <c:v>Simoca</c:v>
                </c:pt>
                <c:pt idx="14">
                  <c:v>Tafí del Valle</c:v>
                </c:pt>
                <c:pt idx="15">
                  <c:v>Tafí Viejo</c:v>
                </c:pt>
                <c:pt idx="16">
                  <c:v>Trancas</c:v>
                </c:pt>
                <c:pt idx="17">
                  <c:v>Yerba Buena</c:v>
                </c:pt>
              </c:strCache>
            </c:strRef>
          </c:cat>
          <c:val>
            <c:numRef>
              <c:f>'Aprender x Departamento Secunda'!$M$94:$M$111</c:f>
              <c:numCache>
                <c:formatCode>0.0%</c:formatCode>
                <c:ptCount val="18"/>
                <c:pt idx="0">
                  <c:v>0.38800000000000001</c:v>
                </c:pt>
                <c:pt idx="1">
                  <c:v>0.27889999999999998</c:v>
                </c:pt>
                <c:pt idx="2">
                  <c:v>0.43669999999999998</c:v>
                </c:pt>
                <c:pt idx="3">
                  <c:v>0.39650000000000002</c:v>
                </c:pt>
                <c:pt idx="4">
                  <c:v>0.35249999999999998</c:v>
                </c:pt>
                <c:pt idx="5">
                  <c:v>0.34279999999999999</c:v>
                </c:pt>
                <c:pt idx="6">
                  <c:v>0.33779999999999999</c:v>
                </c:pt>
                <c:pt idx="7">
                  <c:v>0.34660000000000002</c:v>
                </c:pt>
                <c:pt idx="8">
                  <c:v>0.32140000000000002</c:v>
                </c:pt>
                <c:pt idx="9">
                  <c:v>0.31559999999999999</c:v>
                </c:pt>
                <c:pt idx="10">
                  <c:v>0.3947</c:v>
                </c:pt>
                <c:pt idx="11">
                  <c:v>0.35220000000000001</c:v>
                </c:pt>
                <c:pt idx="12">
                  <c:v>0.31080000000000002</c:v>
                </c:pt>
                <c:pt idx="13">
                  <c:v>0.2863</c:v>
                </c:pt>
                <c:pt idx="14">
                  <c:v>0.37359999999999999</c:v>
                </c:pt>
                <c:pt idx="15">
                  <c:v>0.37040000000000001</c:v>
                </c:pt>
                <c:pt idx="16">
                  <c:v>0.32879999999999998</c:v>
                </c:pt>
                <c:pt idx="17">
                  <c:v>0.41360000000000002</c:v>
                </c:pt>
              </c:numCache>
            </c:numRef>
          </c:val>
          <c:extLst>
            <c:ext xmlns:c16="http://schemas.microsoft.com/office/drawing/2014/chart" uri="{C3380CC4-5D6E-409C-BE32-E72D297353CC}">
              <c16:uniqueId val="{00000002-BC60-49BB-A4A9-121EFBBB8A71}"/>
            </c:ext>
          </c:extLst>
        </c:ser>
        <c:ser>
          <c:idx val="3"/>
          <c:order val="3"/>
          <c:tx>
            <c:strRef>
              <c:f>'Aprender x Departamento Secunda'!$N$93</c:f>
              <c:strCache>
                <c:ptCount val="1"/>
                <c:pt idx="0">
                  <c:v>Avanzado</c:v>
                </c:pt>
              </c:strCache>
            </c:strRef>
          </c:tx>
          <c:spPr>
            <a:solidFill>
              <a:srgbClr val="898EA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ysClr val="windowText" lastClr="000000"/>
                    </a:solidFill>
                    <a:latin typeface="+mn-lt"/>
                    <a:ea typeface="+mn-ea"/>
                    <a:cs typeface="+mn-cs"/>
                  </a:defRPr>
                </a:pPr>
                <a:endParaRPr lang="es-A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'Aprender x Departamento Secunda'!$B$94:$B$111</c:f>
              <c:strCache>
                <c:ptCount val="18"/>
                <c:pt idx="0">
                  <c:v>Total Tucumán</c:v>
                </c:pt>
                <c:pt idx="1">
                  <c:v>Burruyacú</c:v>
                </c:pt>
                <c:pt idx="2">
                  <c:v>Capital</c:v>
                </c:pt>
                <c:pt idx="3">
                  <c:v>Chicligasta</c:v>
                </c:pt>
                <c:pt idx="4">
                  <c:v>Cruz Alta</c:v>
                </c:pt>
                <c:pt idx="5">
                  <c:v>Famaillá</c:v>
                </c:pt>
                <c:pt idx="6">
                  <c:v>Graneros</c:v>
                </c:pt>
                <c:pt idx="7">
                  <c:v>Juan Bautista Alberdi</c:v>
                </c:pt>
                <c:pt idx="8">
                  <c:v>La Cocha</c:v>
                </c:pt>
                <c:pt idx="9">
                  <c:v>Leales</c:v>
                </c:pt>
                <c:pt idx="10">
                  <c:v>Lules</c:v>
                </c:pt>
                <c:pt idx="11">
                  <c:v>Monteros</c:v>
                </c:pt>
                <c:pt idx="12">
                  <c:v>Río Chico</c:v>
                </c:pt>
                <c:pt idx="13">
                  <c:v>Simoca</c:v>
                </c:pt>
                <c:pt idx="14">
                  <c:v>Tafí del Valle</c:v>
                </c:pt>
                <c:pt idx="15">
                  <c:v>Tafí Viejo</c:v>
                </c:pt>
                <c:pt idx="16">
                  <c:v>Trancas</c:v>
                </c:pt>
                <c:pt idx="17">
                  <c:v>Yerba Buena</c:v>
                </c:pt>
              </c:strCache>
            </c:strRef>
          </c:cat>
          <c:val>
            <c:numRef>
              <c:f>'Aprender x Departamento Secunda'!$N$94:$N$111</c:f>
              <c:numCache>
                <c:formatCode>0.0%</c:formatCode>
                <c:ptCount val="18"/>
                <c:pt idx="0">
                  <c:v>0.1</c:v>
                </c:pt>
                <c:pt idx="1">
                  <c:v>2.4799999999999999E-2</c:v>
                </c:pt>
                <c:pt idx="2">
                  <c:v>0.1368</c:v>
                </c:pt>
                <c:pt idx="3">
                  <c:v>7.6399999999999996E-2</c:v>
                </c:pt>
                <c:pt idx="4">
                  <c:v>6.13E-2</c:v>
                </c:pt>
                <c:pt idx="5">
                  <c:v>4.0099999999999997E-2</c:v>
                </c:pt>
                <c:pt idx="6">
                  <c:v>6.4600000000000005E-2</c:v>
                </c:pt>
                <c:pt idx="7">
                  <c:v>7.6999999999999999E-2</c:v>
                </c:pt>
                <c:pt idx="8">
                  <c:v>5.0299999999999997E-2</c:v>
                </c:pt>
                <c:pt idx="9">
                  <c:v>4.3799999999999999E-2</c:v>
                </c:pt>
                <c:pt idx="10">
                  <c:v>5.9299999999999999E-2</c:v>
                </c:pt>
                <c:pt idx="11">
                  <c:v>5.9299999999999999E-2</c:v>
                </c:pt>
                <c:pt idx="12">
                  <c:v>7.1599999999999997E-2</c:v>
                </c:pt>
                <c:pt idx="13">
                  <c:v>4.3799999999999999E-2</c:v>
                </c:pt>
                <c:pt idx="14">
                  <c:v>4.0300000000000002E-2</c:v>
                </c:pt>
                <c:pt idx="15">
                  <c:v>6.3799999999999996E-2</c:v>
                </c:pt>
                <c:pt idx="16">
                  <c:v>4.3900000000000002E-2</c:v>
                </c:pt>
                <c:pt idx="17">
                  <c:v>0.23</c:v>
                </c:pt>
              </c:numCache>
            </c:numRef>
          </c:val>
          <c:extLst>
            <c:ext xmlns:c16="http://schemas.microsoft.com/office/drawing/2014/chart" uri="{C3380CC4-5D6E-409C-BE32-E72D297353CC}">
              <c16:uniqueId val="{00000003-BC60-49BB-A4A9-121EFBBB8A71}"/>
            </c:ext>
          </c:extLst>
        </c:ser>
        <c:dLbls>
          <c:showLegendKey val="0"/>
          <c:showVal val="0"/>
          <c:showCatName val="0"/>
          <c:showSerName val="0"/>
          <c:showPercent val="0"/>
          <c:showBubbleSize val="0"/>
        </c:dLbls>
        <c:gapWidth val="60"/>
        <c:overlap val="100"/>
        <c:axId val="594459983"/>
        <c:axId val="1024037599"/>
      </c:barChart>
      <c:catAx>
        <c:axId val="59445998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solidFill>
                <a:latin typeface="+mn-lt"/>
                <a:ea typeface="+mn-ea"/>
                <a:cs typeface="+mn-cs"/>
              </a:defRPr>
            </a:pPr>
            <a:endParaRPr lang="es-AR"/>
          </a:p>
        </c:txPr>
        <c:crossAx val="1024037599"/>
        <c:crosses val="autoZero"/>
        <c:auto val="1"/>
        <c:lblAlgn val="ctr"/>
        <c:lblOffset val="100"/>
        <c:noMultiLvlLbl val="0"/>
      </c:catAx>
      <c:valAx>
        <c:axId val="1024037599"/>
        <c:scaling>
          <c:orientation val="minMax"/>
          <c:max val="1"/>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solidFill>
                <a:latin typeface="+mn-lt"/>
                <a:ea typeface="+mn-ea"/>
                <a:cs typeface="+mn-cs"/>
              </a:defRPr>
            </a:pPr>
            <a:endParaRPr lang="es-AR"/>
          </a:p>
        </c:txPr>
        <c:crossAx val="59445998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s-A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A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percentStacked"/>
        <c:varyColors val="0"/>
        <c:ser>
          <c:idx val="0"/>
          <c:order val="0"/>
          <c:tx>
            <c:strRef>
              <c:f>'Aprender x Departamento Secunda'!$K$66</c:f>
              <c:strCache>
                <c:ptCount val="1"/>
                <c:pt idx="0">
                  <c:v>Debajo del básico</c:v>
                </c:pt>
              </c:strCache>
            </c:strRef>
          </c:tx>
          <c:spPr>
            <a:solidFill>
              <a:srgbClr val="406088"/>
            </a:solidFill>
            <a:ln>
              <a:noFill/>
            </a:ln>
            <a:effectLst/>
          </c:spPr>
          <c:invertIfNegative val="0"/>
          <c:dLbls>
            <c:numFmt formatCode="0.0%" sourceLinked="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ysClr val="windowText" lastClr="000000"/>
                    </a:solidFill>
                    <a:latin typeface="+mn-lt"/>
                    <a:ea typeface="+mn-ea"/>
                    <a:cs typeface="+mn-cs"/>
                  </a:defRPr>
                </a:pPr>
                <a:endParaRPr lang="es-A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'Aprender x Departamento Secunda'!$B$67:$B$84</c:f>
              <c:strCache>
                <c:ptCount val="18"/>
                <c:pt idx="0">
                  <c:v>Total Tucumán</c:v>
                </c:pt>
                <c:pt idx="1">
                  <c:v>Burruyacú</c:v>
                </c:pt>
                <c:pt idx="2">
                  <c:v>Capital</c:v>
                </c:pt>
                <c:pt idx="3">
                  <c:v>Chicligasta</c:v>
                </c:pt>
                <c:pt idx="4">
                  <c:v>Cruz Alta</c:v>
                </c:pt>
                <c:pt idx="5">
                  <c:v>Famaillá</c:v>
                </c:pt>
                <c:pt idx="6">
                  <c:v>Graneros</c:v>
                </c:pt>
                <c:pt idx="7">
                  <c:v>Juan Bautista Alberdi</c:v>
                </c:pt>
                <c:pt idx="8">
                  <c:v>La Cocha</c:v>
                </c:pt>
                <c:pt idx="9">
                  <c:v>Leales</c:v>
                </c:pt>
                <c:pt idx="10">
                  <c:v>Lules</c:v>
                </c:pt>
                <c:pt idx="11">
                  <c:v>Monteros</c:v>
                </c:pt>
                <c:pt idx="12">
                  <c:v>Río Chico</c:v>
                </c:pt>
                <c:pt idx="13">
                  <c:v>Simoca</c:v>
                </c:pt>
                <c:pt idx="14">
                  <c:v>Tafí del Valle</c:v>
                </c:pt>
                <c:pt idx="15">
                  <c:v>Tafí Viejo</c:v>
                </c:pt>
                <c:pt idx="16">
                  <c:v>Trancas</c:v>
                </c:pt>
                <c:pt idx="17">
                  <c:v>Yerba Buena</c:v>
                </c:pt>
              </c:strCache>
            </c:strRef>
          </c:cat>
          <c:val>
            <c:numRef>
              <c:f>'Aprender x Departamento Secunda'!$K$67:$K$84</c:f>
              <c:numCache>
                <c:formatCode>0.0%</c:formatCode>
                <c:ptCount val="18"/>
                <c:pt idx="0">
                  <c:v>0.64200000000000002</c:v>
                </c:pt>
                <c:pt idx="1">
                  <c:v>0.80410000000000004</c:v>
                </c:pt>
                <c:pt idx="2">
                  <c:v>0.56740000000000002</c:v>
                </c:pt>
                <c:pt idx="3">
                  <c:v>0.67879999999999996</c:v>
                </c:pt>
                <c:pt idx="4">
                  <c:v>0.71589999999999998</c:v>
                </c:pt>
                <c:pt idx="5">
                  <c:v>0.77490000000000003</c:v>
                </c:pt>
                <c:pt idx="6">
                  <c:v>0.76239999999999997</c:v>
                </c:pt>
                <c:pt idx="7">
                  <c:v>0.75190000000000001</c:v>
                </c:pt>
                <c:pt idx="8">
                  <c:v>0.70169999999999999</c:v>
                </c:pt>
                <c:pt idx="9">
                  <c:v>0.73109999999999997</c:v>
                </c:pt>
                <c:pt idx="10">
                  <c:v>0.67210000000000003</c:v>
                </c:pt>
                <c:pt idx="11">
                  <c:v>0.71499999999999997</c:v>
                </c:pt>
                <c:pt idx="12">
                  <c:v>0.76300000000000001</c:v>
                </c:pt>
                <c:pt idx="13">
                  <c:v>0.77059999999999995</c:v>
                </c:pt>
                <c:pt idx="14">
                  <c:v>0.72350000000000003</c:v>
                </c:pt>
                <c:pt idx="15">
                  <c:v>0.67530000000000001</c:v>
                </c:pt>
                <c:pt idx="16">
                  <c:v>0.77170000000000005</c:v>
                </c:pt>
                <c:pt idx="17">
                  <c:v>0.43340000000000001</c:v>
                </c:pt>
              </c:numCache>
            </c:numRef>
          </c:val>
          <c:extLst>
            <c:ext xmlns:c16="http://schemas.microsoft.com/office/drawing/2014/chart" uri="{C3380CC4-5D6E-409C-BE32-E72D297353CC}">
              <c16:uniqueId val="{00000000-52C1-4491-9E8F-12A938AC328B}"/>
            </c:ext>
          </c:extLst>
        </c:ser>
        <c:ser>
          <c:idx val="1"/>
          <c:order val="1"/>
          <c:tx>
            <c:strRef>
              <c:f>'Aprender x Departamento Secunda'!$L$66</c:f>
              <c:strCache>
                <c:ptCount val="1"/>
                <c:pt idx="0">
                  <c:v>Básico</c:v>
                </c:pt>
              </c:strCache>
            </c:strRef>
          </c:tx>
          <c:spPr>
            <a:solidFill>
              <a:srgbClr val="17A8A2"/>
            </a:solidFill>
            <a:ln>
              <a:noFill/>
            </a:ln>
            <a:effectLst/>
          </c:spPr>
          <c:invertIfNegative val="0"/>
          <c:dLbls>
            <c:numFmt formatCode="0.0%" sourceLinked="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ysClr val="windowText" lastClr="000000"/>
                    </a:solidFill>
                    <a:latin typeface="+mn-lt"/>
                    <a:ea typeface="+mn-ea"/>
                    <a:cs typeface="+mn-cs"/>
                  </a:defRPr>
                </a:pPr>
                <a:endParaRPr lang="es-A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'Aprender x Departamento Secunda'!$B$67:$B$84</c:f>
              <c:strCache>
                <c:ptCount val="18"/>
                <c:pt idx="0">
                  <c:v>Total Tucumán</c:v>
                </c:pt>
                <c:pt idx="1">
                  <c:v>Burruyacú</c:v>
                </c:pt>
                <c:pt idx="2">
                  <c:v>Capital</c:v>
                </c:pt>
                <c:pt idx="3">
                  <c:v>Chicligasta</c:v>
                </c:pt>
                <c:pt idx="4">
                  <c:v>Cruz Alta</c:v>
                </c:pt>
                <c:pt idx="5">
                  <c:v>Famaillá</c:v>
                </c:pt>
                <c:pt idx="6">
                  <c:v>Graneros</c:v>
                </c:pt>
                <c:pt idx="7">
                  <c:v>Juan Bautista Alberdi</c:v>
                </c:pt>
                <c:pt idx="8">
                  <c:v>La Cocha</c:v>
                </c:pt>
                <c:pt idx="9">
                  <c:v>Leales</c:v>
                </c:pt>
                <c:pt idx="10">
                  <c:v>Lules</c:v>
                </c:pt>
                <c:pt idx="11">
                  <c:v>Monteros</c:v>
                </c:pt>
                <c:pt idx="12">
                  <c:v>Río Chico</c:v>
                </c:pt>
                <c:pt idx="13">
                  <c:v>Simoca</c:v>
                </c:pt>
                <c:pt idx="14">
                  <c:v>Tafí del Valle</c:v>
                </c:pt>
                <c:pt idx="15">
                  <c:v>Tafí Viejo</c:v>
                </c:pt>
                <c:pt idx="16">
                  <c:v>Trancas</c:v>
                </c:pt>
                <c:pt idx="17">
                  <c:v>Yerba Buena</c:v>
                </c:pt>
              </c:strCache>
            </c:strRef>
          </c:cat>
          <c:val>
            <c:numRef>
              <c:f>'Aprender x Departamento Secunda'!$L$67:$L$84</c:f>
              <c:numCache>
                <c:formatCode>0.0%</c:formatCode>
                <c:ptCount val="18"/>
                <c:pt idx="0">
                  <c:v>0.23</c:v>
                </c:pt>
                <c:pt idx="1">
                  <c:v>0.16250000000000001</c:v>
                </c:pt>
                <c:pt idx="2">
                  <c:v>0.2555</c:v>
                </c:pt>
                <c:pt idx="3">
                  <c:v>0.2467</c:v>
                </c:pt>
                <c:pt idx="4">
                  <c:v>0.214</c:v>
                </c:pt>
                <c:pt idx="5">
                  <c:v>0.19500000000000001</c:v>
                </c:pt>
                <c:pt idx="6">
                  <c:v>0.17449999999999999</c:v>
                </c:pt>
                <c:pt idx="7">
                  <c:v>0.16170000000000001</c:v>
                </c:pt>
                <c:pt idx="8">
                  <c:v>0.19839999999999999</c:v>
                </c:pt>
                <c:pt idx="9">
                  <c:v>0.21279999999999999</c:v>
                </c:pt>
                <c:pt idx="10">
                  <c:v>0.22819999999999999</c:v>
                </c:pt>
                <c:pt idx="11">
                  <c:v>0.2175</c:v>
                </c:pt>
                <c:pt idx="12">
                  <c:v>0.14480000000000001</c:v>
                </c:pt>
                <c:pt idx="13">
                  <c:v>0.1933</c:v>
                </c:pt>
                <c:pt idx="14">
                  <c:v>0.24010000000000001</c:v>
                </c:pt>
                <c:pt idx="15">
                  <c:v>0.23119999999999999</c:v>
                </c:pt>
                <c:pt idx="16">
                  <c:v>0.18290000000000001</c:v>
                </c:pt>
                <c:pt idx="17">
                  <c:v>0.25280000000000002</c:v>
                </c:pt>
              </c:numCache>
            </c:numRef>
          </c:val>
          <c:extLst>
            <c:ext xmlns:c16="http://schemas.microsoft.com/office/drawing/2014/chart" uri="{C3380CC4-5D6E-409C-BE32-E72D297353CC}">
              <c16:uniqueId val="{00000001-52C1-4491-9E8F-12A938AC328B}"/>
            </c:ext>
          </c:extLst>
        </c:ser>
        <c:ser>
          <c:idx val="2"/>
          <c:order val="2"/>
          <c:tx>
            <c:strRef>
              <c:f>'Aprender x Departamento Secunda'!$M$66</c:f>
              <c:strCache>
                <c:ptCount val="1"/>
                <c:pt idx="0">
                  <c:v>Satisfactorio</c:v>
                </c:pt>
              </c:strCache>
            </c:strRef>
          </c:tx>
          <c:spPr>
            <a:solidFill>
              <a:srgbClr val="18214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bg1"/>
                    </a:solidFill>
                    <a:latin typeface="+mn-lt"/>
                    <a:ea typeface="+mn-ea"/>
                    <a:cs typeface="+mn-cs"/>
                  </a:defRPr>
                </a:pPr>
                <a:endParaRPr lang="es-A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'Aprender x Departamento Secunda'!$B$67:$B$84</c:f>
              <c:strCache>
                <c:ptCount val="18"/>
                <c:pt idx="0">
                  <c:v>Total Tucumán</c:v>
                </c:pt>
                <c:pt idx="1">
                  <c:v>Burruyacú</c:v>
                </c:pt>
                <c:pt idx="2">
                  <c:v>Capital</c:v>
                </c:pt>
                <c:pt idx="3">
                  <c:v>Chicligasta</c:v>
                </c:pt>
                <c:pt idx="4">
                  <c:v>Cruz Alta</c:v>
                </c:pt>
                <c:pt idx="5">
                  <c:v>Famaillá</c:v>
                </c:pt>
                <c:pt idx="6">
                  <c:v>Graneros</c:v>
                </c:pt>
                <c:pt idx="7">
                  <c:v>Juan Bautista Alberdi</c:v>
                </c:pt>
                <c:pt idx="8">
                  <c:v>La Cocha</c:v>
                </c:pt>
                <c:pt idx="9">
                  <c:v>Leales</c:v>
                </c:pt>
                <c:pt idx="10">
                  <c:v>Lules</c:v>
                </c:pt>
                <c:pt idx="11">
                  <c:v>Monteros</c:v>
                </c:pt>
                <c:pt idx="12">
                  <c:v>Río Chico</c:v>
                </c:pt>
                <c:pt idx="13">
                  <c:v>Simoca</c:v>
                </c:pt>
                <c:pt idx="14">
                  <c:v>Tafí del Valle</c:v>
                </c:pt>
                <c:pt idx="15">
                  <c:v>Tafí Viejo</c:v>
                </c:pt>
                <c:pt idx="16">
                  <c:v>Trancas</c:v>
                </c:pt>
                <c:pt idx="17">
                  <c:v>Yerba Buena</c:v>
                </c:pt>
              </c:strCache>
            </c:strRef>
          </c:cat>
          <c:val>
            <c:numRef>
              <c:f>'Aprender x Departamento Secunda'!$M$67:$M$84</c:f>
              <c:numCache>
                <c:formatCode>0.0%</c:formatCode>
                <c:ptCount val="18"/>
                <c:pt idx="0">
                  <c:v>0.127</c:v>
                </c:pt>
                <c:pt idx="1">
                  <c:v>3.3399999999999999E-2</c:v>
                </c:pt>
                <c:pt idx="2">
                  <c:v>0.1757</c:v>
                </c:pt>
                <c:pt idx="3">
                  <c:v>7.4499999999999997E-2</c:v>
                </c:pt>
                <c:pt idx="4">
                  <c:v>6.9699999999999998E-2</c:v>
                </c:pt>
                <c:pt idx="5">
                  <c:v>3.0099999999999998E-2</c:v>
                </c:pt>
                <c:pt idx="6">
                  <c:v>6.3100000000000003E-2</c:v>
                </c:pt>
                <c:pt idx="7">
                  <c:v>8.6400000000000005E-2</c:v>
                </c:pt>
                <c:pt idx="8">
                  <c:v>9.9900000000000003E-2</c:v>
                </c:pt>
                <c:pt idx="9">
                  <c:v>5.6099999999999997E-2</c:v>
                </c:pt>
                <c:pt idx="10">
                  <c:v>9.9699999999999997E-2</c:v>
                </c:pt>
                <c:pt idx="11">
                  <c:v>6.7500000000000004E-2</c:v>
                </c:pt>
                <c:pt idx="12">
                  <c:v>9.2299999999999993E-2</c:v>
                </c:pt>
                <c:pt idx="13">
                  <c:v>3.61E-2</c:v>
                </c:pt>
                <c:pt idx="14">
                  <c:v>3.6400000000000002E-2</c:v>
                </c:pt>
                <c:pt idx="15">
                  <c:v>9.35E-2</c:v>
                </c:pt>
                <c:pt idx="16">
                  <c:v>4.5400000000000003E-2</c:v>
                </c:pt>
                <c:pt idx="17">
                  <c:v>0.313</c:v>
                </c:pt>
              </c:numCache>
            </c:numRef>
          </c:val>
          <c:extLst>
            <c:ext xmlns:c16="http://schemas.microsoft.com/office/drawing/2014/chart" uri="{C3380CC4-5D6E-409C-BE32-E72D297353CC}">
              <c16:uniqueId val="{00000002-52C1-4491-9E8F-12A938AC328B}"/>
            </c:ext>
          </c:extLst>
        </c:ser>
        <c:ser>
          <c:idx val="3"/>
          <c:order val="3"/>
          <c:tx>
            <c:strRef>
              <c:f>'Aprender x Departamento Secunda'!$N$66</c:f>
              <c:strCache>
                <c:ptCount val="1"/>
                <c:pt idx="0">
                  <c:v>Avanzado</c:v>
                </c:pt>
              </c:strCache>
            </c:strRef>
          </c:tx>
          <c:spPr>
            <a:solidFill>
              <a:srgbClr val="898EA5"/>
            </a:solidFill>
            <a:ln>
              <a:noFill/>
            </a:ln>
            <a:effectLst/>
          </c:spPr>
          <c:invertIfNegative val="0"/>
          <c:cat>
            <c:strRef>
              <c:f>'Aprender x Departamento Secunda'!$B$67:$B$84</c:f>
              <c:strCache>
                <c:ptCount val="18"/>
                <c:pt idx="0">
                  <c:v>Total Tucumán</c:v>
                </c:pt>
                <c:pt idx="1">
                  <c:v>Burruyacú</c:v>
                </c:pt>
                <c:pt idx="2">
                  <c:v>Capital</c:v>
                </c:pt>
                <c:pt idx="3">
                  <c:v>Chicligasta</c:v>
                </c:pt>
                <c:pt idx="4">
                  <c:v>Cruz Alta</c:v>
                </c:pt>
                <c:pt idx="5">
                  <c:v>Famaillá</c:v>
                </c:pt>
                <c:pt idx="6">
                  <c:v>Graneros</c:v>
                </c:pt>
                <c:pt idx="7">
                  <c:v>Juan Bautista Alberdi</c:v>
                </c:pt>
                <c:pt idx="8">
                  <c:v>La Cocha</c:v>
                </c:pt>
                <c:pt idx="9">
                  <c:v>Leales</c:v>
                </c:pt>
                <c:pt idx="10">
                  <c:v>Lules</c:v>
                </c:pt>
                <c:pt idx="11">
                  <c:v>Monteros</c:v>
                </c:pt>
                <c:pt idx="12">
                  <c:v>Río Chico</c:v>
                </c:pt>
                <c:pt idx="13">
                  <c:v>Simoca</c:v>
                </c:pt>
                <c:pt idx="14">
                  <c:v>Tafí del Valle</c:v>
                </c:pt>
                <c:pt idx="15">
                  <c:v>Tafí Viejo</c:v>
                </c:pt>
                <c:pt idx="16">
                  <c:v>Trancas</c:v>
                </c:pt>
                <c:pt idx="17">
                  <c:v>Yerba Buena</c:v>
                </c:pt>
              </c:strCache>
            </c:strRef>
          </c:cat>
          <c:val>
            <c:numRef>
              <c:f>'Aprender x Departamento Secunda'!$N$67:$N$84</c:f>
              <c:numCache>
                <c:formatCode>0.0%</c:formatCode>
                <c:ptCount val="18"/>
                <c:pt idx="0">
                  <c:v>1E-3</c:v>
                </c:pt>
                <c:pt idx="1">
                  <c:v>0</c:v>
                </c:pt>
                <c:pt idx="2">
                  <c:v>1.4E-3</c:v>
                </c:pt>
                <c:pt idx="3">
                  <c:v>0</c:v>
                </c:pt>
                <c:pt idx="4">
                  <c:v>5.0000000000000001E-4</c:v>
                </c:pt>
                <c:pt idx="5">
                  <c:v>0</c:v>
                </c:pt>
                <c:pt idx="6">
                  <c:v>0</c:v>
                </c:pt>
                <c:pt idx="7">
                  <c:v>0</c:v>
                </c:pt>
                <c:pt idx="8">
                  <c:v>0</c:v>
                </c:pt>
                <c:pt idx="9">
                  <c:v>0</c:v>
                </c:pt>
                <c:pt idx="10">
                  <c:v>0</c:v>
                </c:pt>
                <c:pt idx="11">
                  <c:v>0</c:v>
                </c:pt>
                <c:pt idx="12">
                  <c:v>0</c:v>
                </c:pt>
                <c:pt idx="13">
                  <c:v>0</c:v>
                </c:pt>
                <c:pt idx="14">
                  <c:v>0</c:v>
                </c:pt>
                <c:pt idx="15">
                  <c:v>0</c:v>
                </c:pt>
                <c:pt idx="16">
                  <c:v>0</c:v>
                </c:pt>
                <c:pt idx="17">
                  <c:v>8.9999999999999998E-4</c:v>
                </c:pt>
              </c:numCache>
            </c:numRef>
          </c:val>
          <c:extLst>
            <c:ext xmlns:c16="http://schemas.microsoft.com/office/drawing/2014/chart" uri="{C3380CC4-5D6E-409C-BE32-E72D297353CC}">
              <c16:uniqueId val="{00000003-52C1-4491-9E8F-12A938AC328B}"/>
            </c:ext>
          </c:extLst>
        </c:ser>
        <c:dLbls>
          <c:showLegendKey val="0"/>
          <c:showVal val="0"/>
          <c:showCatName val="0"/>
          <c:showSerName val="0"/>
          <c:showPercent val="0"/>
          <c:showBubbleSize val="0"/>
        </c:dLbls>
        <c:gapWidth val="60"/>
        <c:overlap val="100"/>
        <c:axId val="594459983"/>
        <c:axId val="1024037599"/>
      </c:barChart>
      <c:catAx>
        <c:axId val="59445998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mn-lt"/>
                <a:ea typeface="+mn-ea"/>
                <a:cs typeface="+mn-cs"/>
              </a:defRPr>
            </a:pPr>
            <a:endParaRPr lang="es-AR"/>
          </a:p>
        </c:txPr>
        <c:crossAx val="1024037599"/>
        <c:crosses val="autoZero"/>
        <c:auto val="1"/>
        <c:lblAlgn val="ctr"/>
        <c:lblOffset val="100"/>
        <c:noMultiLvlLbl val="0"/>
      </c:catAx>
      <c:valAx>
        <c:axId val="1024037599"/>
        <c:scaling>
          <c:orientation val="minMax"/>
          <c:max val="1"/>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mn-lt"/>
                <a:ea typeface="+mn-ea"/>
                <a:cs typeface="+mn-cs"/>
              </a:defRPr>
            </a:pPr>
            <a:endParaRPr lang="es-AR"/>
          </a:p>
        </c:txPr>
        <c:crossAx val="59445998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800" b="0" i="0" u="none" strike="noStrike" kern="1200" baseline="0">
              <a:solidFill>
                <a:sysClr val="windowText" lastClr="000000"/>
              </a:solidFill>
              <a:latin typeface="+mn-lt"/>
              <a:ea typeface="+mn-ea"/>
              <a:cs typeface="+mn-cs"/>
            </a:defRPr>
          </a:pPr>
          <a:endParaRPr lang="es-A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A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strRef>
              <c:f>Primaria!$A$55</c:f>
              <c:strCache>
                <c:ptCount val="1"/>
                <c:pt idx="0">
                  <c:v>Debajo del básico</c:v>
                </c:pt>
              </c:strCache>
            </c:strRef>
          </c:tx>
          <c:spPr>
            <a:solidFill>
              <a:srgbClr val="406088"/>
            </a:solidFill>
            <a:ln>
              <a:solidFill>
                <a:srgbClr val="00206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bg1"/>
                    </a:solidFill>
                    <a:latin typeface="+mn-lt"/>
                    <a:ea typeface="+mn-ea"/>
                    <a:cs typeface="+mn-cs"/>
                  </a:defRPr>
                </a:pPr>
                <a:endParaRPr lang="es-A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Primaria!$B$53:$E$54</c:f>
              <c:multiLvlStrCache>
                <c:ptCount val="4"/>
                <c:lvl>
                  <c:pt idx="0">
                    <c:v>Estatal</c:v>
                  </c:pt>
                  <c:pt idx="1">
                    <c:v>Privado</c:v>
                  </c:pt>
                  <c:pt idx="2">
                    <c:v>Estatal</c:v>
                  </c:pt>
                  <c:pt idx="3">
                    <c:v>Privado</c:v>
                  </c:pt>
                </c:lvl>
                <c:lvl>
                  <c:pt idx="0">
                    <c:v>LENGUA</c:v>
                  </c:pt>
                  <c:pt idx="2">
                    <c:v>MATEMÁTICA</c:v>
                  </c:pt>
                </c:lvl>
              </c:multiLvlStrCache>
            </c:multiLvlStrRef>
          </c:cat>
          <c:val>
            <c:numRef>
              <c:f>Primaria!$B$55:$E$55</c:f>
              <c:numCache>
                <c:formatCode>0.0%</c:formatCode>
                <c:ptCount val="4"/>
                <c:pt idx="0">
                  <c:v>0.16700000000000001</c:v>
                </c:pt>
                <c:pt idx="1">
                  <c:v>4.2000000000000003E-2</c:v>
                </c:pt>
                <c:pt idx="2">
                  <c:v>0.36099999999999999</c:v>
                </c:pt>
                <c:pt idx="3">
                  <c:v>0.157</c:v>
                </c:pt>
              </c:numCache>
            </c:numRef>
          </c:val>
          <c:extLst>
            <c:ext xmlns:c16="http://schemas.microsoft.com/office/drawing/2014/chart" uri="{C3380CC4-5D6E-409C-BE32-E72D297353CC}">
              <c16:uniqueId val="{00000000-2636-4C27-9F06-231DB1BF26B3}"/>
            </c:ext>
          </c:extLst>
        </c:ser>
        <c:ser>
          <c:idx val="1"/>
          <c:order val="1"/>
          <c:tx>
            <c:strRef>
              <c:f>Primaria!$A$56</c:f>
              <c:strCache>
                <c:ptCount val="1"/>
                <c:pt idx="0">
                  <c:v>Básico</c:v>
                </c:pt>
              </c:strCache>
            </c:strRef>
          </c:tx>
          <c:spPr>
            <a:solidFill>
              <a:srgbClr val="17A8A2"/>
            </a:solidFill>
            <a:ln>
              <a:solidFill>
                <a:schemeClr val="bg1">
                  <a:lumMod val="50000"/>
                </a:schemeClr>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ysClr val="windowText" lastClr="000000"/>
                    </a:solidFill>
                    <a:latin typeface="+mn-lt"/>
                    <a:ea typeface="+mn-ea"/>
                    <a:cs typeface="+mn-cs"/>
                  </a:defRPr>
                </a:pPr>
                <a:endParaRPr lang="es-A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Primaria!$B$53:$E$54</c:f>
              <c:multiLvlStrCache>
                <c:ptCount val="4"/>
                <c:lvl>
                  <c:pt idx="0">
                    <c:v>Estatal</c:v>
                  </c:pt>
                  <c:pt idx="1">
                    <c:v>Privado</c:v>
                  </c:pt>
                  <c:pt idx="2">
                    <c:v>Estatal</c:v>
                  </c:pt>
                  <c:pt idx="3">
                    <c:v>Privado</c:v>
                  </c:pt>
                </c:lvl>
                <c:lvl>
                  <c:pt idx="0">
                    <c:v>LENGUA</c:v>
                  </c:pt>
                  <c:pt idx="2">
                    <c:v>MATEMÁTICA</c:v>
                  </c:pt>
                </c:lvl>
              </c:multiLvlStrCache>
            </c:multiLvlStrRef>
          </c:cat>
          <c:val>
            <c:numRef>
              <c:f>Primaria!$B$56:$E$56</c:f>
              <c:numCache>
                <c:formatCode>0.0%</c:formatCode>
                <c:ptCount val="4"/>
                <c:pt idx="0">
                  <c:v>0.27700000000000002</c:v>
                </c:pt>
                <c:pt idx="1">
                  <c:v>0.111</c:v>
                </c:pt>
                <c:pt idx="2">
                  <c:v>0.27200000000000002</c:v>
                </c:pt>
                <c:pt idx="3">
                  <c:v>0.192</c:v>
                </c:pt>
              </c:numCache>
            </c:numRef>
          </c:val>
          <c:extLst>
            <c:ext xmlns:c16="http://schemas.microsoft.com/office/drawing/2014/chart" uri="{C3380CC4-5D6E-409C-BE32-E72D297353CC}">
              <c16:uniqueId val="{00000001-2636-4C27-9F06-231DB1BF26B3}"/>
            </c:ext>
          </c:extLst>
        </c:ser>
        <c:ser>
          <c:idx val="2"/>
          <c:order val="2"/>
          <c:tx>
            <c:strRef>
              <c:f>Primaria!$A$57</c:f>
              <c:strCache>
                <c:ptCount val="1"/>
                <c:pt idx="0">
                  <c:v>Satisfactorio</c:v>
                </c:pt>
              </c:strCache>
            </c:strRef>
          </c:tx>
          <c:spPr>
            <a:solidFill>
              <a:srgbClr val="182145"/>
            </a:solidFill>
            <a:ln>
              <a:solidFill>
                <a:schemeClr val="accent1">
                  <a:lumMod val="60000"/>
                  <a:lumOff val="40000"/>
                </a:schemeClr>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bg1"/>
                    </a:solidFill>
                    <a:latin typeface="+mn-lt"/>
                    <a:ea typeface="+mn-ea"/>
                    <a:cs typeface="+mn-cs"/>
                  </a:defRPr>
                </a:pPr>
                <a:endParaRPr lang="es-A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Primaria!$B$53:$E$54</c:f>
              <c:multiLvlStrCache>
                <c:ptCount val="4"/>
                <c:lvl>
                  <c:pt idx="0">
                    <c:v>Estatal</c:v>
                  </c:pt>
                  <c:pt idx="1">
                    <c:v>Privado</c:v>
                  </c:pt>
                  <c:pt idx="2">
                    <c:v>Estatal</c:v>
                  </c:pt>
                  <c:pt idx="3">
                    <c:v>Privado</c:v>
                  </c:pt>
                </c:lvl>
                <c:lvl>
                  <c:pt idx="0">
                    <c:v>LENGUA</c:v>
                  </c:pt>
                  <c:pt idx="2">
                    <c:v>MATEMÁTICA</c:v>
                  </c:pt>
                </c:lvl>
              </c:multiLvlStrCache>
            </c:multiLvlStrRef>
          </c:cat>
          <c:val>
            <c:numRef>
              <c:f>Primaria!$B$57:$E$57</c:f>
              <c:numCache>
                <c:formatCode>0.0%</c:formatCode>
                <c:ptCount val="4"/>
                <c:pt idx="0">
                  <c:v>0.36699999999999999</c:v>
                </c:pt>
                <c:pt idx="1">
                  <c:v>0.34399999999999997</c:v>
                </c:pt>
                <c:pt idx="2">
                  <c:v>0.313</c:v>
                </c:pt>
                <c:pt idx="3">
                  <c:v>0.45700000000000002</c:v>
                </c:pt>
              </c:numCache>
            </c:numRef>
          </c:val>
          <c:extLst>
            <c:ext xmlns:c16="http://schemas.microsoft.com/office/drawing/2014/chart" uri="{C3380CC4-5D6E-409C-BE32-E72D297353CC}">
              <c16:uniqueId val="{00000002-2636-4C27-9F06-231DB1BF26B3}"/>
            </c:ext>
          </c:extLst>
        </c:ser>
        <c:ser>
          <c:idx val="3"/>
          <c:order val="3"/>
          <c:tx>
            <c:strRef>
              <c:f>Primaria!$A$58</c:f>
              <c:strCache>
                <c:ptCount val="1"/>
                <c:pt idx="0">
                  <c:v>Avanzado</c:v>
                </c:pt>
              </c:strCache>
            </c:strRef>
          </c:tx>
          <c:spPr>
            <a:solidFill>
              <a:srgbClr val="898EA5"/>
            </a:solidFill>
            <a:ln>
              <a:solidFill>
                <a:srgbClr val="00B0F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ysClr val="windowText" lastClr="000000"/>
                    </a:solidFill>
                    <a:latin typeface="+mn-lt"/>
                    <a:ea typeface="+mn-ea"/>
                    <a:cs typeface="+mn-cs"/>
                  </a:defRPr>
                </a:pPr>
                <a:endParaRPr lang="es-A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Primaria!$B$53:$E$54</c:f>
              <c:multiLvlStrCache>
                <c:ptCount val="4"/>
                <c:lvl>
                  <c:pt idx="0">
                    <c:v>Estatal</c:v>
                  </c:pt>
                  <c:pt idx="1">
                    <c:v>Privado</c:v>
                  </c:pt>
                  <c:pt idx="2">
                    <c:v>Estatal</c:v>
                  </c:pt>
                  <c:pt idx="3">
                    <c:v>Privado</c:v>
                  </c:pt>
                </c:lvl>
                <c:lvl>
                  <c:pt idx="0">
                    <c:v>LENGUA</c:v>
                  </c:pt>
                  <c:pt idx="2">
                    <c:v>MATEMÁTICA</c:v>
                  </c:pt>
                </c:lvl>
              </c:multiLvlStrCache>
            </c:multiLvlStrRef>
          </c:cat>
          <c:val>
            <c:numRef>
              <c:f>Primaria!$B$58:$E$58</c:f>
              <c:numCache>
                <c:formatCode>0.0%</c:formatCode>
                <c:ptCount val="4"/>
                <c:pt idx="0">
                  <c:v>0.189</c:v>
                </c:pt>
                <c:pt idx="1">
                  <c:v>0.503</c:v>
                </c:pt>
                <c:pt idx="2">
                  <c:v>5.3999999999999999E-2</c:v>
                </c:pt>
                <c:pt idx="3">
                  <c:v>0.19400000000000001</c:v>
                </c:pt>
              </c:numCache>
            </c:numRef>
          </c:val>
          <c:extLst>
            <c:ext xmlns:c16="http://schemas.microsoft.com/office/drawing/2014/chart" uri="{C3380CC4-5D6E-409C-BE32-E72D297353CC}">
              <c16:uniqueId val="{00000003-2636-4C27-9F06-231DB1BF26B3}"/>
            </c:ext>
          </c:extLst>
        </c:ser>
        <c:dLbls>
          <c:dLblPos val="ctr"/>
          <c:showLegendKey val="0"/>
          <c:showVal val="1"/>
          <c:showCatName val="0"/>
          <c:showSerName val="0"/>
          <c:showPercent val="0"/>
          <c:showBubbleSize val="0"/>
        </c:dLbls>
        <c:gapWidth val="150"/>
        <c:overlap val="100"/>
        <c:axId val="199395839"/>
        <c:axId val="199395359"/>
      </c:barChart>
      <c:catAx>
        <c:axId val="19939583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s-AR"/>
          </a:p>
        </c:txPr>
        <c:crossAx val="199395359"/>
        <c:crosses val="autoZero"/>
        <c:auto val="1"/>
        <c:lblAlgn val="ctr"/>
        <c:lblOffset val="100"/>
        <c:noMultiLvlLbl val="0"/>
      </c:catAx>
      <c:valAx>
        <c:axId val="199395359"/>
        <c:scaling>
          <c:orientation val="minMax"/>
          <c:max val="1"/>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s-AR"/>
          </a:p>
        </c:txPr>
        <c:crossAx val="19939583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s-A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A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strRef>
              <c:f>'Secundaria 2024 (2)'!$A$48</c:f>
              <c:strCache>
                <c:ptCount val="1"/>
                <c:pt idx="0">
                  <c:v>Debajo del básico</c:v>
                </c:pt>
              </c:strCache>
            </c:strRef>
          </c:tx>
          <c:spPr>
            <a:solidFill>
              <a:srgbClr val="406088"/>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bg1"/>
                    </a:solidFill>
                    <a:latin typeface="+mn-lt"/>
                    <a:ea typeface="+mn-ea"/>
                    <a:cs typeface="+mn-cs"/>
                  </a:defRPr>
                </a:pPr>
                <a:endParaRPr lang="es-A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'Secundaria 2024 (2)'!$B$46:$E$47</c:f>
              <c:multiLvlStrCache>
                <c:ptCount val="4"/>
                <c:lvl>
                  <c:pt idx="0">
                    <c:v>Estatal</c:v>
                  </c:pt>
                  <c:pt idx="1">
                    <c:v>Privado</c:v>
                  </c:pt>
                  <c:pt idx="2">
                    <c:v>Estatal</c:v>
                  </c:pt>
                  <c:pt idx="3">
                    <c:v>Privado</c:v>
                  </c:pt>
                </c:lvl>
                <c:lvl>
                  <c:pt idx="0">
                    <c:v>LENGUA</c:v>
                  </c:pt>
                  <c:pt idx="2">
                    <c:v>MATEMÁTICA</c:v>
                  </c:pt>
                </c:lvl>
              </c:multiLvlStrCache>
            </c:multiLvlStrRef>
          </c:cat>
          <c:val>
            <c:numRef>
              <c:f>'Secundaria 2024 (2)'!$B$48:$E$48</c:f>
              <c:numCache>
                <c:formatCode>0.0%</c:formatCode>
                <c:ptCount val="4"/>
                <c:pt idx="0">
                  <c:v>0.35499999999999998</c:v>
                </c:pt>
                <c:pt idx="1">
                  <c:v>0.151</c:v>
                </c:pt>
                <c:pt idx="2">
                  <c:v>0.72199999999999998</c:v>
                </c:pt>
                <c:pt idx="3">
                  <c:v>0.47799999999999998</c:v>
                </c:pt>
              </c:numCache>
            </c:numRef>
          </c:val>
          <c:extLst>
            <c:ext xmlns:c16="http://schemas.microsoft.com/office/drawing/2014/chart" uri="{C3380CC4-5D6E-409C-BE32-E72D297353CC}">
              <c16:uniqueId val="{00000000-CC2B-4B62-A0CF-4D484351DBF2}"/>
            </c:ext>
          </c:extLst>
        </c:ser>
        <c:ser>
          <c:idx val="1"/>
          <c:order val="1"/>
          <c:tx>
            <c:strRef>
              <c:f>'Secundaria 2024 (2)'!$A$49</c:f>
              <c:strCache>
                <c:ptCount val="1"/>
                <c:pt idx="0">
                  <c:v>Básico</c:v>
                </c:pt>
              </c:strCache>
            </c:strRef>
          </c:tx>
          <c:spPr>
            <a:solidFill>
              <a:srgbClr val="17A8A2"/>
            </a:solidFill>
            <a:ln>
              <a:solidFill>
                <a:schemeClr val="bg1">
                  <a:lumMod val="50000"/>
                </a:schemeClr>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ysClr val="windowText" lastClr="000000"/>
                    </a:solidFill>
                    <a:latin typeface="+mn-lt"/>
                    <a:ea typeface="+mn-ea"/>
                    <a:cs typeface="+mn-cs"/>
                  </a:defRPr>
                </a:pPr>
                <a:endParaRPr lang="es-A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'Secundaria 2024 (2)'!$B$46:$E$47</c:f>
              <c:multiLvlStrCache>
                <c:ptCount val="4"/>
                <c:lvl>
                  <c:pt idx="0">
                    <c:v>Estatal</c:v>
                  </c:pt>
                  <c:pt idx="1">
                    <c:v>Privado</c:v>
                  </c:pt>
                  <c:pt idx="2">
                    <c:v>Estatal</c:v>
                  </c:pt>
                  <c:pt idx="3">
                    <c:v>Privado</c:v>
                  </c:pt>
                </c:lvl>
                <c:lvl>
                  <c:pt idx="0">
                    <c:v>LENGUA</c:v>
                  </c:pt>
                  <c:pt idx="2">
                    <c:v>MATEMÁTICA</c:v>
                  </c:pt>
                </c:lvl>
              </c:multiLvlStrCache>
            </c:multiLvlStrRef>
          </c:cat>
          <c:val>
            <c:numRef>
              <c:f>'Secundaria 2024 (2)'!$B$49:$E$49</c:f>
              <c:numCache>
                <c:formatCode>0.0%</c:formatCode>
                <c:ptCount val="4"/>
                <c:pt idx="0">
                  <c:v>0.246</c:v>
                </c:pt>
                <c:pt idx="1">
                  <c:v>0.18099999999999999</c:v>
                </c:pt>
                <c:pt idx="2">
                  <c:v>0.20100000000000001</c:v>
                </c:pt>
                <c:pt idx="3">
                  <c:v>0.28899999999999998</c:v>
                </c:pt>
              </c:numCache>
            </c:numRef>
          </c:val>
          <c:extLst>
            <c:ext xmlns:c16="http://schemas.microsoft.com/office/drawing/2014/chart" uri="{C3380CC4-5D6E-409C-BE32-E72D297353CC}">
              <c16:uniqueId val="{00000001-CC2B-4B62-A0CF-4D484351DBF2}"/>
            </c:ext>
          </c:extLst>
        </c:ser>
        <c:ser>
          <c:idx val="2"/>
          <c:order val="2"/>
          <c:tx>
            <c:strRef>
              <c:f>'Secundaria 2024 (2)'!$A$50</c:f>
              <c:strCache>
                <c:ptCount val="1"/>
                <c:pt idx="0">
                  <c:v>Satisfactorio</c:v>
                </c:pt>
              </c:strCache>
            </c:strRef>
          </c:tx>
          <c:spPr>
            <a:solidFill>
              <a:srgbClr val="18214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bg1"/>
                    </a:solidFill>
                    <a:latin typeface="+mn-lt"/>
                    <a:ea typeface="+mn-ea"/>
                    <a:cs typeface="+mn-cs"/>
                  </a:defRPr>
                </a:pPr>
                <a:endParaRPr lang="es-A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'Secundaria 2024 (2)'!$B$46:$E$47</c:f>
              <c:multiLvlStrCache>
                <c:ptCount val="4"/>
                <c:lvl>
                  <c:pt idx="0">
                    <c:v>Estatal</c:v>
                  </c:pt>
                  <c:pt idx="1">
                    <c:v>Privado</c:v>
                  </c:pt>
                  <c:pt idx="2">
                    <c:v>Estatal</c:v>
                  </c:pt>
                  <c:pt idx="3">
                    <c:v>Privado</c:v>
                  </c:pt>
                </c:lvl>
                <c:lvl>
                  <c:pt idx="0">
                    <c:v>LENGUA</c:v>
                  </c:pt>
                  <c:pt idx="2">
                    <c:v>MATEMÁTICA</c:v>
                  </c:pt>
                </c:lvl>
              </c:multiLvlStrCache>
            </c:multiLvlStrRef>
          </c:cat>
          <c:val>
            <c:numRef>
              <c:f>'Secundaria 2024 (2)'!$B$50:$E$50</c:f>
              <c:numCache>
                <c:formatCode>0.0%</c:formatCode>
                <c:ptCount val="4"/>
                <c:pt idx="0">
                  <c:v>0.34100000000000003</c:v>
                </c:pt>
                <c:pt idx="1">
                  <c:v>0.48399999999999999</c:v>
                </c:pt>
                <c:pt idx="2">
                  <c:v>7.6999999999999999E-2</c:v>
                </c:pt>
                <c:pt idx="3">
                  <c:v>0.23100000000000001</c:v>
                </c:pt>
              </c:numCache>
            </c:numRef>
          </c:val>
          <c:extLst>
            <c:ext xmlns:c16="http://schemas.microsoft.com/office/drawing/2014/chart" uri="{C3380CC4-5D6E-409C-BE32-E72D297353CC}">
              <c16:uniqueId val="{00000002-CC2B-4B62-A0CF-4D484351DBF2}"/>
            </c:ext>
          </c:extLst>
        </c:ser>
        <c:ser>
          <c:idx val="3"/>
          <c:order val="3"/>
          <c:tx>
            <c:strRef>
              <c:f>'Secundaria 2024 (2)'!$A$51</c:f>
              <c:strCache>
                <c:ptCount val="1"/>
                <c:pt idx="0">
                  <c:v>Avanzado</c:v>
                </c:pt>
              </c:strCache>
            </c:strRef>
          </c:tx>
          <c:spPr>
            <a:solidFill>
              <a:srgbClr val="898EA5"/>
            </a:solidFill>
            <a:ln>
              <a:solidFill>
                <a:srgbClr val="00B0F0"/>
              </a:solidFill>
            </a:ln>
            <a:effectLst/>
          </c:spPr>
          <c:invertIfNegative val="0"/>
          <c:dLbls>
            <c:dLbl>
              <c:idx val="2"/>
              <c:delete val="1"/>
              <c:extLst>
                <c:ext xmlns:c15="http://schemas.microsoft.com/office/drawing/2012/chart" uri="{CE6537A1-D6FC-4f65-9D91-7224C49458BB}"/>
                <c:ext xmlns:c16="http://schemas.microsoft.com/office/drawing/2014/chart" uri="{C3380CC4-5D6E-409C-BE32-E72D297353CC}">
                  <c16:uniqueId val="{00000003-CC2B-4B62-A0CF-4D484351DBF2}"/>
                </c:ext>
              </c:extLst>
            </c:dLbl>
            <c:dLbl>
              <c:idx val="3"/>
              <c:delete val="1"/>
              <c:extLst>
                <c:ext xmlns:c15="http://schemas.microsoft.com/office/drawing/2012/chart" uri="{CE6537A1-D6FC-4f65-9D91-7224C49458BB}"/>
                <c:ext xmlns:c16="http://schemas.microsoft.com/office/drawing/2014/chart" uri="{C3380CC4-5D6E-409C-BE32-E72D297353CC}">
                  <c16:uniqueId val="{00000004-CC2B-4B62-A0CF-4D484351DBF2}"/>
                </c:ext>
              </c:extLst>
            </c:dLbl>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ysClr val="windowText" lastClr="000000"/>
                    </a:solidFill>
                    <a:latin typeface="+mn-lt"/>
                    <a:ea typeface="+mn-ea"/>
                    <a:cs typeface="+mn-cs"/>
                  </a:defRPr>
                </a:pPr>
                <a:endParaRPr lang="es-A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'Secundaria 2024 (2)'!$B$46:$E$47</c:f>
              <c:multiLvlStrCache>
                <c:ptCount val="4"/>
                <c:lvl>
                  <c:pt idx="0">
                    <c:v>Estatal</c:v>
                  </c:pt>
                  <c:pt idx="1">
                    <c:v>Privado</c:v>
                  </c:pt>
                  <c:pt idx="2">
                    <c:v>Estatal</c:v>
                  </c:pt>
                  <c:pt idx="3">
                    <c:v>Privado</c:v>
                  </c:pt>
                </c:lvl>
                <c:lvl>
                  <c:pt idx="0">
                    <c:v>LENGUA</c:v>
                  </c:pt>
                  <c:pt idx="2">
                    <c:v>MATEMÁTICA</c:v>
                  </c:pt>
                </c:lvl>
              </c:multiLvlStrCache>
            </c:multiLvlStrRef>
          </c:cat>
          <c:val>
            <c:numRef>
              <c:f>'Secundaria 2024 (2)'!$B$51:$E$51</c:f>
              <c:numCache>
                <c:formatCode>0.0%</c:formatCode>
                <c:ptCount val="4"/>
                <c:pt idx="0">
                  <c:v>5.8000000000000003E-2</c:v>
                </c:pt>
                <c:pt idx="1">
                  <c:v>0.184</c:v>
                </c:pt>
                <c:pt idx="2">
                  <c:v>0</c:v>
                </c:pt>
                <c:pt idx="3">
                  <c:v>2.0000000000000001E-4</c:v>
                </c:pt>
              </c:numCache>
            </c:numRef>
          </c:val>
          <c:extLst>
            <c:ext xmlns:c16="http://schemas.microsoft.com/office/drawing/2014/chart" uri="{C3380CC4-5D6E-409C-BE32-E72D297353CC}">
              <c16:uniqueId val="{00000005-CC2B-4B62-A0CF-4D484351DBF2}"/>
            </c:ext>
          </c:extLst>
        </c:ser>
        <c:dLbls>
          <c:dLblPos val="ctr"/>
          <c:showLegendKey val="0"/>
          <c:showVal val="1"/>
          <c:showCatName val="0"/>
          <c:showSerName val="0"/>
          <c:showPercent val="0"/>
          <c:showBubbleSize val="0"/>
        </c:dLbls>
        <c:gapWidth val="150"/>
        <c:overlap val="100"/>
        <c:axId val="326030223"/>
        <c:axId val="326029263"/>
      </c:barChart>
      <c:catAx>
        <c:axId val="3260302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s-AR"/>
          </a:p>
        </c:txPr>
        <c:crossAx val="326029263"/>
        <c:crosses val="autoZero"/>
        <c:auto val="1"/>
        <c:lblAlgn val="ctr"/>
        <c:lblOffset val="100"/>
        <c:noMultiLvlLbl val="0"/>
      </c:catAx>
      <c:valAx>
        <c:axId val="326029263"/>
        <c:scaling>
          <c:orientation val="minMax"/>
          <c:max val="1"/>
          <c:min val="0"/>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s-AR"/>
          </a:p>
        </c:txPr>
        <c:crossAx val="32603022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s-A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AR"/>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strRef>
              <c:f>' NSE Sec 2024'!$D$45</c:f>
              <c:strCache>
                <c:ptCount val="1"/>
                <c:pt idx="0">
                  <c:v>Debajo del básico</c:v>
                </c:pt>
              </c:strCache>
            </c:strRef>
          </c:tx>
          <c:spPr>
            <a:solidFill>
              <a:srgbClr val="406088"/>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bg1"/>
                    </a:solidFill>
                    <a:latin typeface="+mn-lt"/>
                    <a:ea typeface="+mn-ea"/>
                    <a:cs typeface="+mn-cs"/>
                  </a:defRPr>
                </a:pPr>
                <a:endParaRPr lang="es-A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 NSE Sec 2024'!$B$46:$C$55</c:f>
              <c:multiLvlStrCache>
                <c:ptCount val="10"/>
                <c:lvl>
                  <c:pt idx="0">
                    <c:v>Q1</c:v>
                  </c:pt>
                  <c:pt idx="1">
                    <c:v>Q2</c:v>
                  </c:pt>
                  <c:pt idx="2">
                    <c:v>Q3</c:v>
                  </c:pt>
                  <c:pt idx="3">
                    <c:v>Q4</c:v>
                  </c:pt>
                  <c:pt idx="4">
                    <c:v>Q5</c:v>
                  </c:pt>
                  <c:pt idx="5">
                    <c:v>Q1</c:v>
                  </c:pt>
                  <c:pt idx="6">
                    <c:v>Q2</c:v>
                  </c:pt>
                  <c:pt idx="7">
                    <c:v>Q3</c:v>
                  </c:pt>
                  <c:pt idx="8">
                    <c:v>Q4</c:v>
                  </c:pt>
                  <c:pt idx="9">
                    <c:v>Q5</c:v>
                  </c:pt>
                </c:lvl>
                <c:lvl>
                  <c:pt idx="0">
                    <c:v>Matemática</c:v>
                  </c:pt>
                  <c:pt idx="5">
                    <c:v>Lengua</c:v>
                  </c:pt>
                </c:lvl>
              </c:multiLvlStrCache>
            </c:multiLvlStrRef>
          </c:cat>
          <c:val>
            <c:numRef>
              <c:f>' NSE Sec 2024'!$D$46:$D$55</c:f>
              <c:numCache>
                <c:formatCode>0.0%</c:formatCode>
                <c:ptCount val="10"/>
                <c:pt idx="0">
                  <c:v>0.77200000000000002</c:v>
                </c:pt>
                <c:pt idx="1">
                  <c:v>0.71899999999999997</c:v>
                </c:pt>
                <c:pt idx="2">
                  <c:v>0.63300000000000001</c:v>
                </c:pt>
                <c:pt idx="3">
                  <c:v>0.54900000000000004</c:v>
                </c:pt>
                <c:pt idx="4">
                  <c:v>0.40600000000000003</c:v>
                </c:pt>
                <c:pt idx="5">
                  <c:v>0.39500000000000002</c:v>
                </c:pt>
                <c:pt idx="6">
                  <c:v>0.32</c:v>
                </c:pt>
                <c:pt idx="7">
                  <c:v>0.25800000000000001</c:v>
                </c:pt>
                <c:pt idx="8">
                  <c:v>0.218</c:v>
                </c:pt>
                <c:pt idx="9">
                  <c:v>0.157</c:v>
                </c:pt>
              </c:numCache>
            </c:numRef>
          </c:val>
          <c:extLst>
            <c:ext xmlns:c16="http://schemas.microsoft.com/office/drawing/2014/chart" uri="{C3380CC4-5D6E-409C-BE32-E72D297353CC}">
              <c16:uniqueId val="{00000000-8E8A-4F5F-8ACD-2868DB71099B}"/>
            </c:ext>
          </c:extLst>
        </c:ser>
        <c:ser>
          <c:idx val="1"/>
          <c:order val="1"/>
          <c:tx>
            <c:strRef>
              <c:f>' NSE Sec 2024'!$E$45</c:f>
              <c:strCache>
                <c:ptCount val="1"/>
                <c:pt idx="0">
                  <c:v>Básico</c:v>
                </c:pt>
              </c:strCache>
            </c:strRef>
          </c:tx>
          <c:spPr>
            <a:solidFill>
              <a:srgbClr val="17A8A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ysClr val="windowText" lastClr="000000"/>
                    </a:solidFill>
                    <a:latin typeface="+mn-lt"/>
                    <a:ea typeface="+mn-ea"/>
                    <a:cs typeface="+mn-cs"/>
                  </a:defRPr>
                </a:pPr>
                <a:endParaRPr lang="es-A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 NSE Sec 2024'!$B$46:$C$55</c:f>
              <c:multiLvlStrCache>
                <c:ptCount val="10"/>
                <c:lvl>
                  <c:pt idx="0">
                    <c:v>Q1</c:v>
                  </c:pt>
                  <c:pt idx="1">
                    <c:v>Q2</c:v>
                  </c:pt>
                  <c:pt idx="2">
                    <c:v>Q3</c:v>
                  </c:pt>
                  <c:pt idx="3">
                    <c:v>Q4</c:v>
                  </c:pt>
                  <c:pt idx="4">
                    <c:v>Q5</c:v>
                  </c:pt>
                  <c:pt idx="5">
                    <c:v>Q1</c:v>
                  </c:pt>
                  <c:pt idx="6">
                    <c:v>Q2</c:v>
                  </c:pt>
                  <c:pt idx="7">
                    <c:v>Q3</c:v>
                  </c:pt>
                  <c:pt idx="8">
                    <c:v>Q4</c:v>
                  </c:pt>
                  <c:pt idx="9">
                    <c:v>Q5</c:v>
                  </c:pt>
                </c:lvl>
                <c:lvl>
                  <c:pt idx="0">
                    <c:v>Matemática</c:v>
                  </c:pt>
                  <c:pt idx="5">
                    <c:v>Lengua</c:v>
                  </c:pt>
                </c:lvl>
              </c:multiLvlStrCache>
            </c:multiLvlStrRef>
          </c:cat>
          <c:val>
            <c:numRef>
              <c:f>' NSE Sec 2024'!$E$46:$E$55</c:f>
              <c:numCache>
                <c:formatCode>0.0%</c:formatCode>
                <c:ptCount val="10"/>
                <c:pt idx="0">
                  <c:v>0.17899999999999999</c:v>
                </c:pt>
                <c:pt idx="1">
                  <c:v>0.21</c:v>
                </c:pt>
                <c:pt idx="2">
                  <c:v>0.26100000000000001</c:v>
                </c:pt>
                <c:pt idx="3">
                  <c:v>0.26300000000000001</c:v>
                </c:pt>
                <c:pt idx="4">
                  <c:v>0.27900000000000003</c:v>
                </c:pt>
                <c:pt idx="5">
                  <c:v>0.26600000000000001</c:v>
                </c:pt>
                <c:pt idx="6">
                  <c:v>0.245</c:v>
                </c:pt>
                <c:pt idx="7">
                  <c:v>0.222</c:v>
                </c:pt>
                <c:pt idx="8">
                  <c:v>0.193</c:v>
                </c:pt>
                <c:pt idx="9">
                  <c:v>0.155</c:v>
                </c:pt>
              </c:numCache>
            </c:numRef>
          </c:val>
          <c:extLst>
            <c:ext xmlns:c16="http://schemas.microsoft.com/office/drawing/2014/chart" uri="{C3380CC4-5D6E-409C-BE32-E72D297353CC}">
              <c16:uniqueId val="{00000001-8E8A-4F5F-8ACD-2868DB71099B}"/>
            </c:ext>
          </c:extLst>
        </c:ser>
        <c:ser>
          <c:idx val="2"/>
          <c:order val="2"/>
          <c:tx>
            <c:strRef>
              <c:f>' NSE Sec 2024'!$F$45</c:f>
              <c:strCache>
                <c:ptCount val="1"/>
                <c:pt idx="0">
                  <c:v>Satisfactorio</c:v>
                </c:pt>
              </c:strCache>
            </c:strRef>
          </c:tx>
          <c:spPr>
            <a:solidFill>
              <a:srgbClr val="18214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bg1"/>
                    </a:solidFill>
                    <a:latin typeface="+mn-lt"/>
                    <a:ea typeface="+mn-ea"/>
                    <a:cs typeface="+mn-cs"/>
                  </a:defRPr>
                </a:pPr>
                <a:endParaRPr lang="es-A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 NSE Sec 2024'!$B$46:$C$55</c:f>
              <c:multiLvlStrCache>
                <c:ptCount val="10"/>
                <c:lvl>
                  <c:pt idx="0">
                    <c:v>Q1</c:v>
                  </c:pt>
                  <c:pt idx="1">
                    <c:v>Q2</c:v>
                  </c:pt>
                  <c:pt idx="2">
                    <c:v>Q3</c:v>
                  </c:pt>
                  <c:pt idx="3">
                    <c:v>Q4</c:v>
                  </c:pt>
                  <c:pt idx="4">
                    <c:v>Q5</c:v>
                  </c:pt>
                  <c:pt idx="5">
                    <c:v>Q1</c:v>
                  </c:pt>
                  <c:pt idx="6">
                    <c:v>Q2</c:v>
                  </c:pt>
                  <c:pt idx="7">
                    <c:v>Q3</c:v>
                  </c:pt>
                  <c:pt idx="8">
                    <c:v>Q4</c:v>
                  </c:pt>
                  <c:pt idx="9">
                    <c:v>Q5</c:v>
                  </c:pt>
                </c:lvl>
                <c:lvl>
                  <c:pt idx="0">
                    <c:v>Matemática</c:v>
                  </c:pt>
                  <c:pt idx="5">
                    <c:v>Lengua</c:v>
                  </c:pt>
                </c:lvl>
              </c:multiLvlStrCache>
            </c:multiLvlStrRef>
          </c:cat>
          <c:val>
            <c:numRef>
              <c:f>' NSE Sec 2024'!$F$46:$F$55</c:f>
              <c:numCache>
                <c:formatCode>0.0%</c:formatCode>
                <c:ptCount val="10"/>
                <c:pt idx="0">
                  <c:v>4.9000000000000002E-2</c:v>
                </c:pt>
                <c:pt idx="1">
                  <c:v>7.0000000000000007E-2</c:v>
                </c:pt>
                <c:pt idx="2">
                  <c:v>0.106</c:v>
                </c:pt>
                <c:pt idx="3">
                  <c:v>0.187</c:v>
                </c:pt>
                <c:pt idx="4">
                  <c:v>0.313</c:v>
                </c:pt>
                <c:pt idx="5">
                  <c:v>0.3</c:v>
                </c:pt>
                <c:pt idx="6">
                  <c:v>0.375</c:v>
                </c:pt>
                <c:pt idx="7">
                  <c:v>0.42799999999999999</c:v>
                </c:pt>
                <c:pt idx="8">
                  <c:v>0.44700000000000001</c:v>
                </c:pt>
                <c:pt idx="9">
                  <c:v>0.45400000000000001</c:v>
                </c:pt>
              </c:numCache>
            </c:numRef>
          </c:val>
          <c:extLst>
            <c:ext xmlns:c16="http://schemas.microsoft.com/office/drawing/2014/chart" uri="{C3380CC4-5D6E-409C-BE32-E72D297353CC}">
              <c16:uniqueId val="{00000002-8E8A-4F5F-8ACD-2868DB71099B}"/>
            </c:ext>
          </c:extLst>
        </c:ser>
        <c:ser>
          <c:idx val="3"/>
          <c:order val="3"/>
          <c:tx>
            <c:strRef>
              <c:f>' NSE Sec 2024'!$G$45</c:f>
              <c:strCache>
                <c:ptCount val="1"/>
                <c:pt idx="0">
                  <c:v>Avanzado</c:v>
                </c:pt>
              </c:strCache>
            </c:strRef>
          </c:tx>
          <c:spPr>
            <a:solidFill>
              <a:srgbClr val="898EA5"/>
            </a:solidFill>
            <a:ln>
              <a:noFill/>
            </a:ln>
            <a:effectLst/>
          </c:spPr>
          <c:invertIfNegative val="0"/>
          <c:dLbls>
            <c:dLbl>
              <c:idx val="0"/>
              <c:delete val="1"/>
              <c:extLst>
                <c:ext xmlns:c15="http://schemas.microsoft.com/office/drawing/2012/chart" uri="{CE6537A1-D6FC-4f65-9D91-7224C49458BB}"/>
                <c:ext xmlns:c16="http://schemas.microsoft.com/office/drawing/2014/chart" uri="{C3380CC4-5D6E-409C-BE32-E72D297353CC}">
                  <c16:uniqueId val="{00000005-8E8A-4F5F-8ACD-2868DB71099B}"/>
                </c:ext>
              </c:extLst>
            </c:dLbl>
            <c:dLbl>
              <c:idx val="1"/>
              <c:layout>
                <c:manualLayout>
                  <c:x val="0"/>
                  <c:y val="-1.8518518518518517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8E8A-4F5F-8ACD-2868DB71099B}"/>
                </c:ext>
              </c:extLst>
            </c:dLbl>
            <c:dLbl>
              <c:idx val="2"/>
              <c:delete val="1"/>
              <c:extLst>
                <c:ext xmlns:c15="http://schemas.microsoft.com/office/drawing/2012/chart" uri="{CE6537A1-D6FC-4f65-9D91-7224C49458BB}"/>
                <c:ext xmlns:c16="http://schemas.microsoft.com/office/drawing/2014/chart" uri="{C3380CC4-5D6E-409C-BE32-E72D297353CC}">
                  <c16:uniqueId val="{00000007-8E8A-4F5F-8ACD-2868DB71099B}"/>
                </c:ext>
              </c:extLst>
            </c:dLbl>
            <c:dLbl>
              <c:idx val="3"/>
              <c:layout>
                <c:manualLayout>
                  <c:x val="-2.3946360153256703E-3"/>
                  <c:y val="-1.8518518518518517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8E8A-4F5F-8ACD-2868DB71099B}"/>
                </c:ext>
              </c:extLst>
            </c:dLbl>
            <c:dLbl>
              <c:idx val="4"/>
              <c:layout>
                <c:manualLayout>
                  <c:x val="2.3946360153256703E-3"/>
                  <c:y val="-1.8518518518518517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8E8A-4F5F-8ACD-2868DB71099B}"/>
                </c:ext>
              </c:extLst>
            </c:dLbl>
            <c:dLbl>
              <c:idx val="5"/>
              <c:layout>
                <c:manualLayout>
                  <c:x val="0"/>
                  <c:y val="-1.8518518518518521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8E8A-4F5F-8ACD-2868DB71099B}"/>
                </c:ext>
              </c:extLst>
            </c:dLbl>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ysClr val="windowText" lastClr="000000"/>
                    </a:solidFill>
                    <a:latin typeface="+mn-lt"/>
                    <a:ea typeface="+mn-ea"/>
                    <a:cs typeface="+mn-cs"/>
                  </a:defRPr>
                </a:pPr>
                <a:endParaRPr lang="es-A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 NSE Sec 2024'!$B$46:$C$55</c:f>
              <c:multiLvlStrCache>
                <c:ptCount val="10"/>
                <c:lvl>
                  <c:pt idx="0">
                    <c:v>Q1</c:v>
                  </c:pt>
                  <c:pt idx="1">
                    <c:v>Q2</c:v>
                  </c:pt>
                  <c:pt idx="2">
                    <c:v>Q3</c:v>
                  </c:pt>
                  <c:pt idx="3">
                    <c:v>Q4</c:v>
                  </c:pt>
                  <c:pt idx="4">
                    <c:v>Q5</c:v>
                  </c:pt>
                  <c:pt idx="5">
                    <c:v>Q1</c:v>
                  </c:pt>
                  <c:pt idx="6">
                    <c:v>Q2</c:v>
                  </c:pt>
                  <c:pt idx="7">
                    <c:v>Q3</c:v>
                  </c:pt>
                  <c:pt idx="8">
                    <c:v>Q4</c:v>
                  </c:pt>
                  <c:pt idx="9">
                    <c:v>Q5</c:v>
                  </c:pt>
                </c:lvl>
                <c:lvl>
                  <c:pt idx="0">
                    <c:v>Matemática</c:v>
                  </c:pt>
                  <c:pt idx="5">
                    <c:v>Lengua</c:v>
                  </c:pt>
                </c:lvl>
              </c:multiLvlStrCache>
            </c:multiLvlStrRef>
          </c:cat>
          <c:val>
            <c:numRef>
              <c:f>' NSE Sec 2024'!$G$46:$G$55</c:f>
              <c:numCache>
                <c:formatCode>0.0%</c:formatCode>
                <c:ptCount val="10"/>
                <c:pt idx="0">
                  <c:v>0</c:v>
                </c:pt>
                <c:pt idx="1">
                  <c:v>1E-3</c:v>
                </c:pt>
                <c:pt idx="2">
                  <c:v>0</c:v>
                </c:pt>
                <c:pt idx="3">
                  <c:v>1E-3</c:v>
                </c:pt>
                <c:pt idx="4">
                  <c:v>2E-3</c:v>
                </c:pt>
                <c:pt idx="5">
                  <c:v>3.8999999999999924E-2</c:v>
                </c:pt>
                <c:pt idx="6">
                  <c:v>0.06</c:v>
                </c:pt>
                <c:pt idx="7">
                  <c:v>9.1999999999999998E-2</c:v>
                </c:pt>
                <c:pt idx="8">
                  <c:v>0.14199999999999999</c:v>
                </c:pt>
                <c:pt idx="9">
                  <c:v>0.23400000000000001</c:v>
                </c:pt>
              </c:numCache>
            </c:numRef>
          </c:val>
          <c:extLst>
            <c:ext xmlns:c16="http://schemas.microsoft.com/office/drawing/2014/chart" uri="{C3380CC4-5D6E-409C-BE32-E72D297353CC}">
              <c16:uniqueId val="{00000003-8E8A-4F5F-8ACD-2868DB71099B}"/>
            </c:ext>
          </c:extLst>
        </c:ser>
        <c:dLbls>
          <c:showLegendKey val="0"/>
          <c:showVal val="0"/>
          <c:showCatName val="0"/>
          <c:showSerName val="0"/>
          <c:showPercent val="0"/>
          <c:showBubbleSize val="0"/>
        </c:dLbls>
        <c:gapWidth val="90"/>
        <c:overlap val="100"/>
        <c:axId val="1512660479"/>
        <c:axId val="1512652575"/>
      </c:barChart>
      <c:catAx>
        <c:axId val="1512660479"/>
        <c:scaling>
          <c:orientation val="minMax"/>
        </c:scaling>
        <c:delete val="0"/>
        <c:axPos val="b"/>
        <c:numFmt formatCode="General" sourceLinked="1"/>
        <c:majorTickMark val="none"/>
        <c:minorTickMark val="none"/>
        <c:tickLblPos val="nextTo"/>
        <c:spPr>
          <a:noFill/>
          <a:ln w="9525" cap="flat" cmpd="sng" algn="ctr">
            <a:solidFill>
              <a:schemeClr val="bg2">
                <a:lumMod val="50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s-AR"/>
          </a:p>
        </c:txPr>
        <c:crossAx val="1512652575"/>
        <c:crosses val="autoZero"/>
        <c:auto val="1"/>
        <c:lblAlgn val="ctr"/>
        <c:lblOffset val="100"/>
        <c:noMultiLvlLbl val="0"/>
      </c:catAx>
      <c:valAx>
        <c:axId val="1512652575"/>
        <c:scaling>
          <c:orientation val="minMax"/>
          <c:max val="1"/>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s-AR"/>
          </a:p>
        </c:txPr>
        <c:crossAx val="151266047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s-A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AR"/>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strRef>
              <c:f>'2013-2024'!$B$5</c:f>
              <c:strCache>
                <c:ptCount val="1"/>
                <c:pt idx="0">
                  <c:v>Debajo del básico</c:v>
                </c:pt>
              </c:strCache>
            </c:strRef>
          </c:tx>
          <c:spPr>
            <a:solidFill>
              <a:srgbClr val="406088"/>
            </a:solidFill>
            <a:ln>
              <a:solidFill>
                <a:srgbClr val="406088"/>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bg1"/>
                    </a:solidFill>
                    <a:latin typeface="+mn-lt"/>
                    <a:ea typeface="+mn-ea"/>
                    <a:cs typeface="Times New Roman" panose="02020603050405020304" pitchFamily="18" charset="0"/>
                  </a:defRPr>
                </a:pPr>
                <a:endParaRPr lang="es-A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'2013-2024'!$D$4:$H$4</c:f>
              <c:numCache>
                <c:formatCode>General</c:formatCode>
                <c:ptCount val="5"/>
                <c:pt idx="0">
                  <c:v>2016</c:v>
                </c:pt>
                <c:pt idx="1">
                  <c:v>2017</c:v>
                </c:pt>
                <c:pt idx="2">
                  <c:v>2019</c:v>
                </c:pt>
                <c:pt idx="3">
                  <c:v>2022</c:v>
                </c:pt>
                <c:pt idx="4">
                  <c:v>2024</c:v>
                </c:pt>
              </c:numCache>
            </c:numRef>
          </c:cat>
          <c:val>
            <c:numRef>
              <c:f>'2013-2024'!$D$5:$H$5</c:f>
              <c:numCache>
                <c:formatCode>0.0%</c:formatCode>
                <c:ptCount val="5"/>
                <c:pt idx="0">
                  <c:v>0.25600000000000001</c:v>
                </c:pt>
                <c:pt idx="1">
                  <c:v>0.23799999999999999</c:v>
                </c:pt>
                <c:pt idx="2">
                  <c:v>0.23</c:v>
                </c:pt>
                <c:pt idx="3">
                  <c:v>0.27200000000000002</c:v>
                </c:pt>
                <c:pt idx="4">
                  <c:v>0.28799999999999998</c:v>
                </c:pt>
              </c:numCache>
              <c:extLst/>
            </c:numRef>
          </c:val>
          <c:extLst>
            <c:ext xmlns:c16="http://schemas.microsoft.com/office/drawing/2014/chart" uri="{C3380CC4-5D6E-409C-BE32-E72D297353CC}">
              <c16:uniqueId val="{00000000-D745-434D-B963-F41979C05F5A}"/>
            </c:ext>
          </c:extLst>
        </c:ser>
        <c:ser>
          <c:idx val="1"/>
          <c:order val="1"/>
          <c:tx>
            <c:strRef>
              <c:f>'2013-2024'!$B$6</c:f>
              <c:strCache>
                <c:ptCount val="1"/>
                <c:pt idx="0">
                  <c:v>Básico</c:v>
                </c:pt>
              </c:strCache>
            </c:strRef>
          </c:tx>
          <c:spPr>
            <a:solidFill>
              <a:srgbClr val="17A8A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ysClr val="windowText" lastClr="000000"/>
                    </a:solidFill>
                    <a:latin typeface="+mn-lt"/>
                    <a:ea typeface="+mn-ea"/>
                    <a:cs typeface="Times New Roman" panose="02020603050405020304" pitchFamily="18" charset="0"/>
                  </a:defRPr>
                </a:pPr>
                <a:endParaRPr lang="es-A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'2013-2024'!$D$4:$H$4</c:f>
              <c:numCache>
                <c:formatCode>General</c:formatCode>
                <c:ptCount val="5"/>
                <c:pt idx="0">
                  <c:v>2016</c:v>
                </c:pt>
                <c:pt idx="1">
                  <c:v>2017</c:v>
                </c:pt>
                <c:pt idx="2">
                  <c:v>2019</c:v>
                </c:pt>
                <c:pt idx="3">
                  <c:v>2022</c:v>
                </c:pt>
                <c:pt idx="4">
                  <c:v>2024</c:v>
                </c:pt>
              </c:numCache>
            </c:numRef>
          </c:cat>
          <c:val>
            <c:numRef>
              <c:f>'2013-2024'!$D$6:$H$6</c:f>
              <c:numCache>
                <c:formatCode>0.0%</c:formatCode>
                <c:ptCount val="5"/>
                <c:pt idx="0">
                  <c:v>0.255</c:v>
                </c:pt>
                <c:pt idx="1">
                  <c:v>0.22</c:v>
                </c:pt>
                <c:pt idx="2">
                  <c:v>0.223</c:v>
                </c:pt>
                <c:pt idx="3">
                  <c:v>0.216</c:v>
                </c:pt>
                <c:pt idx="4">
                  <c:v>0.224</c:v>
                </c:pt>
              </c:numCache>
              <c:extLst/>
            </c:numRef>
          </c:val>
          <c:extLst>
            <c:ext xmlns:c16="http://schemas.microsoft.com/office/drawing/2014/chart" uri="{C3380CC4-5D6E-409C-BE32-E72D297353CC}">
              <c16:uniqueId val="{00000001-D745-434D-B963-F41979C05F5A}"/>
            </c:ext>
          </c:extLst>
        </c:ser>
        <c:ser>
          <c:idx val="2"/>
          <c:order val="2"/>
          <c:tx>
            <c:strRef>
              <c:f>'2013-2024'!$B$7</c:f>
              <c:strCache>
                <c:ptCount val="1"/>
                <c:pt idx="0">
                  <c:v>Satisfactorio</c:v>
                </c:pt>
              </c:strCache>
            </c:strRef>
          </c:tx>
          <c:spPr>
            <a:solidFill>
              <a:srgbClr val="18214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bg1"/>
                    </a:solidFill>
                    <a:latin typeface="+mn-lt"/>
                    <a:ea typeface="+mn-ea"/>
                    <a:cs typeface="Times New Roman" panose="02020603050405020304" pitchFamily="18" charset="0"/>
                  </a:defRPr>
                </a:pPr>
                <a:endParaRPr lang="es-A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'2013-2024'!$D$4:$H$4</c:f>
              <c:numCache>
                <c:formatCode>General</c:formatCode>
                <c:ptCount val="5"/>
                <c:pt idx="0">
                  <c:v>2016</c:v>
                </c:pt>
                <c:pt idx="1">
                  <c:v>2017</c:v>
                </c:pt>
                <c:pt idx="2">
                  <c:v>2019</c:v>
                </c:pt>
                <c:pt idx="3">
                  <c:v>2022</c:v>
                </c:pt>
                <c:pt idx="4">
                  <c:v>2024</c:v>
                </c:pt>
              </c:numCache>
            </c:numRef>
          </c:cat>
          <c:val>
            <c:numRef>
              <c:f>'2013-2024'!$D$7:$H$7</c:f>
              <c:numCache>
                <c:formatCode>0.0%</c:formatCode>
                <c:ptCount val="5"/>
                <c:pt idx="0">
                  <c:v>0.41199999999999998</c:v>
                </c:pt>
                <c:pt idx="1">
                  <c:v>0.41599999999999998</c:v>
                </c:pt>
                <c:pt idx="2">
                  <c:v>0.41799999999999998</c:v>
                </c:pt>
                <c:pt idx="3">
                  <c:v>0.38700000000000001</c:v>
                </c:pt>
                <c:pt idx="4">
                  <c:v>0.38800000000000001</c:v>
                </c:pt>
              </c:numCache>
              <c:extLst/>
            </c:numRef>
          </c:val>
          <c:extLst>
            <c:ext xmlns:c16="http://schemas.microsoft.com/office/drawing/2014/chart" uri="{C3380CC4-5D6E-409C-BE32-E72D297353CC}">
              <c16:uniqueId val="{00000002-D745-434D-B963-F41979C05F5A}"/>
            </c:ext>
          </c:extLst>
        </c:ser>
        <c:ser>
          <c:idx val="3"/>
          <c:order val="3"/>
          <c:tx>
            <c:strRef>
              <c:f>'2013-2024'!$B$8</c:f>
              <c:strCache>
                <c:ptCount val="1"/>
                <c:pt idx="0">
                  <c:v>Avanzado</c:v>
                </c:pt>
              </c:strCache>
            </c:strRef>
          </c:tx>
          <c:spPr>
            <a:solidFill>
              <a:srgbClr val="898EA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ysClr val="windowText" lastClr="000000"/>
                    </a:solidFill>
                    <a:latin typeface="+mn-lt"/>
                    <a:ea typeface="+mn-ea"/>
                    <a:cs typeface="Times New Roman" panose="02020603050405020304" pitchFamily="18" charset="0"/>
                  </a:defRPr>
                </a:pPr>
                <a:endParaRPr lang="es-A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'2013-2024'!$D$4:$H$4</c:f>
              <c:numCache>
                <c:formatCode>General</c:formatCode>
                <c:ptCount val="5"/>
                <c:pt idx="0">
                  <c:v>2016</c:v>
                </c:pt>
                <c:pt idx="1">
                  <c:v>2017</c:v>
                </c:pt>
                <c:pt idx="2">
                  <c:v>2019</c:v>
                </c:pt>
                <c:pt idx="3">
                  <c:v>2022</c:v>
                </c:pt>
                <c:pt idx="4">
                  <c:v>2024</c:v>
                </c:pt>
              </c:numCache>
            </c:numRef>
          </c:cat>
          <c:val>
            <c:numRef>
              <c:f>'2013-2024'!$D$8:$H$8</c:f>
              <c:numCache>
                <c:formatCode>0.0%</c:formatCode>
                <c:ptCount val="5"/>
                <c:pt idx="0">
                  <c:v>7.6999999999999999E-2</c:v>
                </c:pt>
                <c:pt idx="1">
                  <c:v>0.125</c:v>
                </c:pt>
                <c:pt idx="2">
                  <c:v>0.129</c:v>
                </c:pt>
                <c:pt idx="3">
                  <c:v>0.125</c:v>
                </c:pt>
                <c:pt idx="4">
                  <c:v>0.1</c:v>
                </c:pt>
              </c:numCache>
              <c:extLst/>
            </c:numRef>
          </c:val>
          <c:extLst>
            <c:ext xmlns:c16="http://schemas.microsoft.com/office/drawing/2014/chart" uri="{C3380CC4-5D6E-409C-BE32-E72D297353CC}">
              <c16:uniqueId val="{00000003-D745-434D-B963-F41979C05F5A}"/>
            </c:ext>
          </c:extLst>
        </c:ser>
        <c:dLbls>
          <c:showLegendKey val="0"/>
          <c:showVal val="0"/>
          <c:showCatName val="0"/>
          <c:showSerName val="0"/>
          <c:showPercent val="0"/>
          <c:showBubbleSize val="0"/>
        </c:dLbls>
        <c:gapWidth val="90"/>
        <c:overlap val="100"/>
        <c:axId val="443298512"/>
        <c:axId val="443305584"/>
      </c:barChart>
      <c:catAx>
        <c:axId val="4432985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Times New Roman" panose="02020603050405020304" pitchFamily="18" charset="0"/>
              </a:defRPr>
            </a:pPr>
            <a:endParaRPr lang="es-AR"/>
          </a:p>
        </c:txPr>
        <c:crossAx val="443305584"/>
        <c:crosses val="autoZero"/>
        <c:auto val="1"/>
        <c:lblAlgn val="ctr"/>
        <c:lblOffset val="100"/>
        <c:noMultiLvlLbl val="0"/>
      </c:catAx>
      <c:valAx>
        <c:axId val="443305584"/>
        <c:scaling>
          <c:orientation val="minMax"/>
          <c:max val="1"/>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Times New Roman" panose="02020603050405020304" pitchFamily="18" charset="0"/>
              </a:defRPr>
            </a:pPr>
            <a:endParaRPr lang="es-AR"/>
          </a:p>
        </c:txPr>
        <c:crossAx val="4432985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Times New Roman" panose="02020603050405020304" pitchFamily="18" charset="0"/>
            </a:defRPr>
          </a:pPr>
          <a:endParaRPr lang="es-A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AR"/>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strRef>
              <c:f>'2013-2024'!$B$14</c:f>
              <c:strCache>
                <c:ptCount val="1"/>
                <c:pt idx="0">
                  <c:v>Debajo del básico</c:v>
                </c:pt>
              </c:strCache>
            </c:strRef>
          </c:tx>
          <c:spPr>
            <a:solidFill>
              <a:srgbClr val="406088"/>
            </a:solidFill>
            <a:ln>
              <a:noFill/>
            </a:ln>
            <a:effectLst/>
          </c:spPr>
          <c:invertIfNegative val="0"/>
          <c:dLbls>
            <c:spPr>
              <a:noFill/>
              <a:ln>
                <a:noFill/>
              </a:ln>
              <a:effectLst/>
            </c:spPr>
            <c:txPr>
              <a:bodyPr rot="0" spcFirstLastPara="1" vertOverflow="ellipsis" vert="horz" wrap="square" anchor="ctr" anchorCtr="1"/>
              <a:lstStyle/>
              <a:p>
                <a:pPr>
                  <a:defRPr sz="800" b="0" i="0" u="none" strike="noStrike" kern="1200" baseline="0">
                    <a:solidFill>
                      <a:schemeClr val="bg1"/>
                    </a:solidFill>
                    <a:latin typeface="+mn-lt"/>
                    <a:ea typeface="+mn-ea"/>
                    <a:cs typeface="+mn-cs"/>
                  </a:defRPr>
                </a:pPr>
                <a:endParaRPr lang="es-A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'2013-2024'!$D$13:$H$13</c:f>
              <c:numCache>
                <c:formatCode>General</c:formatCode>
                <c:ptCount val="5"/>
                <c:pt idx="0">
                  <c:v>2016</c:v>
                </c:pt>
                <c:pt idx="1">
                  <c:v>2017</c:v>
                </c:pt>
                <c:pt idx="2">
                  <c:v>2019</c:v>
                </c:pt>
                <c:pt idx="3">
                  <c:v>2022</c:v>
                </c:pt>
                <c:pt idx="4">
                  <c:v>2024</c:v>
                </c:pt>
              </c:numCache>
            </c:numRef>
          </c:cat>
          <c:val>
            <c:numRef>
              <c:f>'2013-2024'!$D$14:$H$14</c:f>
              <c:numCache>
                <c:formatCode>0.0%</c:formatCode>
                <c:ptCount val="5"/>
                <c:pt idx="0">
                  <c:v>0.51200000000000001</c:v>
                </c:pt>
                <c:pt idx="1">
                  <c:v>0.51900000000000002</c:v>
                </c:pt>
                <c:pt idx="2">
                  <c:v>0.54300000000000004</c:v>
                </c:pt>
                <c:pt idx="3">
                  <c:v>0.61599999999999999</c:v>
                </c:pt>
                <c:pt idx="4">
                  <c:v>0.64200000000000002</c:v>
                </c:pt>
              </c:numCache>
              <c:extLst/>
            </c:numRef>
          </c:val>
          <c:extLst>
            <c:ext xmlns:c16="http://schemas.microsoft.com/office/drawing/2014/chart" uri="{C3380CC4-5D6E-409C-BE32-E72D297353CC}">
              <c16:uniqueId val="{00000000-84EE-43D2-AFBF-D0BC3FF5F897}"/>
            </c:ext>
          </c:extLst>
        </c:ser>
        <c:ser>
          <c:idx val="1"/>
          <c:order val="1"/>
          <c:tx>
            <c:strRef>
              <c:f>'2013-2024'!$B$15</c:f>
              <c:strCache>
                <c:ptCount val="1"/>
                <c:pt idx="0">
                  <c:v>Básico</c:v>
                </c:pt>
              </c:strCache>
            </c:strRef>
          </c:tx>
          <c:spPr>
            <a:solidFill>
              <a:srgbClr val="17A8A2"/>
            </a:solidFill>
            <a:ln>
              <a:noFill/>
            </a:ln>
            <a:effectLst/>
          </c:spPr>
          <c:invertIfNegative val="0"/>
          <c:dLbls>
            <c:spPr>
              <a:noFill/>
              <a:ln>
                <a:noFill/>
              </a:ln>
              <a:effectLst/>
            </c:spPr>
            <c:txPr>
              <a:bodyPr rot="0" spcFirstLastPara="1" vertOverflow="ellipsis" vert="horz" wrap="square" anchor="ctr" anchorCtr="1"/>
              <a:lstStyle/>
              <a:p>
                <a:pPr>
                  <a:defRPr sz="800" b="0" i="0" u="none" strike="noStrike" kern="1200" baseline="0">
                    <a:solidFill>
                      <a:sysClr val="windowText" lastClr="000000"/>
                    </a:solidFill>
                    <a:latin typeface="+mn-lt"/>
                    <a:ea typeface="+mn-ea"/>
                    <a:cs typeface="+mn-cs"/>
                  </a:defRPr>
                </a:pPr>
                <a:endParaRPr lang="es-A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'2013-2024'!$D$13:$H$13</c:f>
              <c:numCache>
                <c:formatCode>General</c:formatCode>
                <c:ptCount val="5"/>
                <c:pt idx="0">
                  <c:v>2016</c:v>
                </c:pt>
                <c:pt idx="1">
                  <c:v>2017</c:v>
                </c:pt>
                <c:pt idx="2">
                  <c:v>2019</c:v>
                </c:pt>
                <c:pt idx="3">
                  <c:v>2022</c:v>
                </c:pt>
                <c:pt idx="4">
                  <c:v>2024</c:v>
                </c:pt>
              </c:numCache>
            </c:numRef>
          </c:cat>
          <c:val>
            <c:numRef>
              <c:f>'2013-2024'!$D$15:$H$15</c:f>
              <c:numCache>
                <c:formatCode>0.0%</c:formatCode>
                <c:ptCount val="5"/>
                <c:pt idx="0">
                  <c:v>0.28699999999999998</c:v>
                </c:pt>
                <c:pt idx="1">
                  <c:v>0.27100000000000002</c:v>
                </c:pt>
                <c:pt idx="2">
                  <c:v>0.25900000000000001</c:v>
                </c:pt>
                <c:pt idx="3">
                  <c:v>0.26300000000000001</c:v>
                </c:pt>
                <c:pt idx="4">
                  <c:v>0.23</c:v>
                </c:pt>
              </c:numCache>
              <c:extLst/>
            </c:numRef>
          </c:val>
          <c:extLst>
            <c:ext xmlns:c16="http://schemas.microsoft.com/office/drawing/2014/chart" uri="{C3380CC4-5D6E-409C-BE32-E72D297353CC}">
              <c16:uniqueId val="{00000001-84EE-43D2-AFBF-D0BC3FF5F897}"/>
            </c:ext>
          </c:extLst>
        </c:ser>
        <c:ser>
          <c:idx val="2"/>
          <c:order val="2"/>
          <c:tx>
            <c:strRef>
              <c:f>'2013-2024'!$B$16</c:f>
              <c:strCache>
                <c:ptCount val="1"/>
                <c:pt idx="0">
                  <c:v>Satisfactorio</c:v>
                </c:pt>
              </c:strCache>
            </c:strRef>
          </c:tx>
          <c:spPr>
            <a:solidFill>
              <a:srgbClr val="182145"/>
            </a:solidFill>
            <a:ln>
              <a:noFill/>
            </a:ln>
            <a:effectLst/>
          </c:spPr>
          <c:invertIfNegative val="0"/>
          <c:dLbls>
            <c:spPr>
              <a:noFill/>
              <a:ln>
                <a:noFill/>
              </a:ln>
              <a:effectLst/>
            </c:spPr>
            <c:txPr>
              <a:bodyPr rot="0" spcFirstLastPara="1" vertOverflow="ellipsis" vert="horz" wrap="square" anchor="ctr" anchorCtr="1"/>
              <a:lstStyle/>
              <a:p>
                <a:pPr>
                  <a:defRPr sz="800" b="0" i="0" u="none" strike="noStrike" kern="1200" baseline="0">
                    <a:solidFill>
                      <a:schemeClr val="bg1"/>
                    </a:solidFill>
                    <a:latin typeface="+mn-lt"/>
                    <a:ea typeface="+mn-ea"/>
                    <a:cs typeface="+mn-cs"/>
                  </a:defRPr>
                </a:pPr>
                <a:endParaRPr lang="es-A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'2013-2024'!$D$13:$H$13</c:f>
              <c:numCache>
                <c:formatCode>General</c:formatCode>
                <c:ptCount val="5"/>
                <c:pt idx="0">
                  <c:v>2016</c:v>
                </c:pt>
                <c:pt idx="1">
                  <c:v>2017</c:v>
                </c:pt>
                <c:pt idx="2">
                  <c:v>2019</c:v>
                </c:pt>
                <c:pt idx="3">
                  <c:v>2022</c:v>
                </c:pt>
                <c:pt idx="4">
                  <c:v>2024</c:v>
                </c:pt>
              </c:numCache>
            </c:numRef>
          </c:cat>
          <c:val>
            <c:numRef>
              <c:f>'2013-2024'!$D$16:$H$16</c:f>
              <c:numCache>
                <c:formatCode>0.0%</c:formatCode>
                <c:ptCount val="5"/>
                <c:pt idx="0">
                  <c:v>0.16900000000000001</c:v>
                </c:pt>
                <c:pt idx="1">
                  <c:v>0.184</c:v>
                </c:pt>
                <c:pt idx="2">
                  <c:v>0.18</c:v>
                </c:pt>
                <c:pt idx="3">
                  <c:v>0.121</c:v>
                </c:pt>
                <c:pt idx="4">
                  <c:v>0.127</c:v>
                </c:pt>
              </c:numCache>
              <c:extLst/>
            </c:numRef>
          </c:val>
          <c:extLst>
            <c:ext xmlns:c16="http://schemas.microsoft.com/office/drawing/2014/chart" uri="{C3380CC4-5D6E-409C-BE32-E72D297353CC}">
              <c16:uniqueId val="{00000002-84EE-43D2-AFBF-D0BC3FF5F897}"/>
            </c:ext>
          </c:extLst>
        </c:ser>
        <c:ser>
          <c:idx val="3"/>
          <c:order val="3"/>
          <c:tx>
            <c:strRef>
              <c:f>'2013-2024'!$B$17</c:f>
              <c:strCache>
                <c:ptCount val="1"/>
                <c:pt idx="0">
                  <c:v>Avanzado</c:v>
                </c:pt>
              </c:strCache>
            </c:strRef>
          </c:tx>
          <c:spPr>
            <a:solidFill>
              <a:srgbClr val="898EA5"/>
            </a:solidFill>
            <a:ln>
              <a:noFill/>
            </a:ln>
            <a:effectLst/>
          </c:spPr>
          <c:invertIfNegative val="0"/>
          <c:dLbls>
            <c:dLbl>
              <c:idx val="0"/>
              <c:layout>
                <c:manualLayout>
                  <c:x val="-2.5329280648429585E-3"/>
                  <c:y val="-3.240740740740740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84EE-43D2-AFBF-D0BC3FF5F897}"/>
                </c:ext>
              </c:extLst>
            </c:dLbl>
            <c:dLbl>
              <c:idx val="1"/>
              <c:layout>
                <c:manualLayout>
                  <c:x val="0"/>
                  <c:y val="-2.777777777777777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84EE-43D2-AFBF-D0BC3FF5F897}"/>
                </c:ext>
              </c:extLst>
            </c:dLbl>
            <c:dLbl>
              <c:idx val="2"/>
              <c:layout>
                <c:manualLayout>
                  <c:x val="0"/>
                  <c:y val="-2.31481481481481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84EE-43D2-AFBF-D0BC3FF5F897}"/>
                </c:ext>
              </c:extLst>
            </c:dLbl>
            <c:dLbl>
              <c:idx val="3"/>
              <c:layout>
                <c:manualLayout>
                  <c:x val="-9.2872956167927001E-17"/>
                  <c:y val="-1.851851851851851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84EE-43D2-AFBF-D0BC3FF5F897}"/>
                </c:ext>
              </c:extLst>
            </c:dLbl>
            <c:dLbl>
              <c:idx val="4"/>
              <c:layout>
                <c:manualLayout>
                  <c:x val="0"/>
                  <c:y val="-1.851851851851852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84EE-43D2-AFBF-D0BC3FF5F897}"/>
                </c:ext>
              </c:extLst>
            </c:dLbl>
            <c:spPr>
              <a:noFill/>
              <a:ln>
                <a:noFill/>
              </a:ln>
              <a:effectLst/>
            </c:spPr>
            <c:txPr>
              <a:bodyPr rot="0" spcFirstLastPara="1" vertOverflow="ellipsis" vert="horz" wrap="square" anchor="ctr" anchorCtr="1"/>
              <a:lstStyle/>
              <a:p>
                <a:pPr>
                  <a:defRPr sz="800" b="0" i="0" u="none" strike="noStrike" kern="1200" baseline="0">
                    <a:solidFill>
                      <a:schemeClr val="tx1"/>
                    </a:solidFill>
                    <a:latin typeface="+mn-lt"/>
                    <a:ea typeface="+mn-ea"/>
                    <a:cs typeface="+mn-cs"/>
                  </a:defRPr>
                </a:pPr>
                <a:endParaRPr lang="es-A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'2013-2024'!$D$13:$H$13</c:f>
              <c:numCache>
                <c:formatCode>General</c:formatCode>
                <c:ptCount val="5"/>
                <c:pt idx="0">
                  <c:v>2016</c:v>
                </c:pt>
                <c:pt idx="1">
                  <c:v>2017</c:v>
                </c:pt>
                <c:pt idx="2">
                  <c:v>2019</c:v>
                </c:pt>
                <c:pt idx="3">
                  <c:v>2022</c:v>
                </c:pt>
                <c:pt idx="4">
                  <c:v>2024</c:v>
                </c:pt>
              </c:numCache>
            </c:numRef>
          </c:cat>
          <c:val>
            <c:numRef>
              <c:f>'2013-2024'!$D$17:$H$17</c:f>
              <c:numCache>
                <c:formatCode>0.0%</c:formatCode>
                <c:ptCount val="5"/>
                <c:pt idx="0">
                  <c:v>3.2000000000000001E-2</c:v>
                </c:pt>
                <c:pt idx="1">
                  <c:v>2.5999999999999999E-2</c:v>
                </c:pt>
                <c:pt idx="2">
                  <c:v>1.7999999999999999E-2</c:v>
                </c:pt>
                <c:pt idx="3">
                  <c:v>0</c:v>
                </c:pt>
                <c:pt idx="4">
                  <c:v>1E-3</c:v>
                </c:pt>
              </c:numCache>
              <c:extLst/>
            </c:numRef>
          </c:val>
          <c:extLst>
            <c:ext xmlns:c16="http://schemas.microsoft.com/office/drawing/2014/chart" uri="{C3380CC4-5D6E-409C-BE32-E72D297353CC}">
              <c16:uniqueId val="{00000003-84EE-43D2-AFBF-D0BC3FF5F897}"/>
            </c:ext>
          </c:extLst>
        </c:ser>
        <c:dLbls>
          <c:showLegendKey val="0"/>
          <c:showVal val="0"/>
          <c:showCatName val="0"/>
          <c:showSerName val="0"/>
          <c:showPercent val="0"/>
          <c:showBubbleSize val="0"/>
        </c:dLbls>
        <c:gapWidth val="90"/>
        <c:overlap val="100"/>
        <c:axId val="443298512"/>
        <c:axId val="443305584"/>
      </c:barChart>
      <c:catAx>
        <c:axId val="4432985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s-AR"/>
          </a:p>
        </c:txPr>
        <c:crossAx val="443305584"/>
        <c:crosses val="autoZero"/>
        <c:auto val="1"/>
        <c:lblAlgn val="ctr"/>
        <c:lblOffset val="100"/>
        <c:noMultiLvlLbl val="0"/>
      </c:catAx>
      <c:valAx>
        <c:axId val="443305584"/>
        <c:scaling>
          <c:orientation val="minMax"/>
          <c:max val="1"/>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s-AR"/>
          </a:p>
        </c:txPr>
        <c:crossAx val="4432985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s-A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mn-lt"/>
        </a:defRPr>
      </a:pPr>
      <a:endParaRPr lang="es-A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2iVYZC+bzlwSG0hqYdgS5XRugw==">CgMxLjAyDmguOGd3eHhjYmJ3aWdtMg5oLnk3ZXpzaG1jdnNhZzIIaC5namRneHM4AHIhMXRSS2RRaGEya192d2J5aGx0ZDAyenpYbGhzQk93SDU0</go:docsCustomData>
</go:gDocsCustomXmlDataStorage>
</file>

<file path=customXml/itemProps1.xml><?xml version="1.0" encoding="utf-8"?>
<ds:datastoreItem xmlns:ds="http://schemas.openxmlformats.org/officeDocument/2006/customXml" ds:itemID="{19FB1D0F-22FD-450B-BC49-52E2D7F99C9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17</Pages>
  <Words>4264</Words>
  <Characters>23452</Characters>
  <Application>Microsoft Office Word</Application>
  <DocSecurity>0</DocSecurity>
  <Lines>195</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jm.valle</dc:creator>
  <cp:lastModifiedBy>Stella Maris Más Rocha</cp:lastModifiedBy>
  <cp:revision>3</cp:revision>
  <dcterms:created xsi:type="dcterms:W3CDTF">2026-06-22T14:19:00Z</dcterms:created>
  <dcterms:modified xsi:type="dcterms:W3CDTF">2026-06-22T14:21:00Z</dcterms:modified>
</cp:coreProperties>
</file>