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23D5" w14:textId="77777777" w:rsidR="001C5BFD" w:rsidRDefault="00407F94">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0E233D"/>
          <w:sz w:val="40"/>
          <w:szCs w:val="40"/>
        </w:rPr>
      </w:pPr>
      <w:r>
        <w:rPr>
          <w:rFonts w:ascii="Times New Roman" w:eastAsia="Times New Roman" w:hAnsi="Times New Roman" w:cs="Times New Roman"/>
          <w:b/>
          <w:bCs/>
          <w:color w:val="0E233D"/>
          <w:sz w:val="40"/>
          <w:szCs w:val="40"/>
        </w:rPr>
        <w:t>VI COLOQUIO DE INVESTIGACIÓN EDUCATIVA EN ARGENTINA</w:t>
      </w:r>
    </w:p>
    <w:p w14:paraId="5ACA9A90" w14:textId="77777777" w:rsidR="001C5BFD" w:rsidRDefault="00407F94">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404040"/>
          <w:sz w:val="40"/>
          <w:szCs w:val="40"/>
        </w:rPr>
      </w:pPr>
      <w:bookmarkStart w:id="0" w:name="_heading=h.y7ezshmcvsag" w:colFirst="0" w:colLast="0"/>
      <w:bookmarkEnd w:id="0"/>
      <w:r>
        <w:rPr>
          <w:rFonts w:ascii="Times New Roman" w:eastAsia="Times New Roman" w:hAnsi="Times New Roman" w:cs="Times New Roman"/>
          <w:b/>
          <w:bCs/>
          <w:color w:val="404040"/>
          <w:sz w:val="40"/>
          <w:szCs w:val="40"/>
        </w:rPr>
        <w:t xml:space="preserve"> Desafíos para la investigación educativa en escenarios de crisis. Construyendo comunidades y futuros posibles</w:t>
      </w:r>
    </w:p>
    <w:p w14:paraId="2B78FD62" w14:textId="77777777" w:rsidR="009358B5" w:rsidRDefault="009358B5">
      <w:pPr>
        <w:pBdr>
          <w:top w:val="nil"/>
          <w:left w:val="nil"/>
          <w:bottom w:val="nil"/>
          <w:right w:val="nil"/>
          <w:between w:val="nil"/>
        </w:pBdr>
        <w:spacing w:line="360" w:lineRule="auto"/>
        <w:jc w:val="center"/>
        <w:rPr>
          <w:rFonts w:ascii="Times New Roman" w:eastAsia="Times New Roman" w:hAnsi="Times New Roman" w:cs="Times New Roman"/>
          <w:b/>
          <w:bCs/>
          <w:color w:val="3B3838"/>
          <w:sz w:val="28"/>
          <w:szCs w:val="28"/>
        </w:rPr>
      </w:pPr>
    </w:p>
    <w:p w14:paraId="29986DA4" w14:textId="0255AA75" w:rsidR="001C5BFD" w:rsidRDefault="00407F94">
      <w:pPr>
        <w:pBdr>
          <w:top w:val="nil"/>
          <w:left w:val="nil"/>
          <w:bottom w:val="nil"/>
          <w:right w:val="nil"/>
          <w:between w:val="nil"/>
        </w:pBdr>
        <w:spacing w:line="360" w:lineRule="auto"/>
        <w:jc w:val="center"/>
        <w:rPr>
          <w:rFonts w:ascii="Times New Roman" w:eastAsia="Times New Roman" w:hAnsi="Times New Roman" w:cs="Times New Roman"/>
          <w:b/>
          <w:bCs/>
          <w:color w:val="3B3838"/>
          <w:sz w:val="28"/>
          <w:szCs w:val="28"/>
        </w:rPr>
      </w:pPr>
      <w:r>
        <w:rPr>
          <w:rFonts w:ascii="Times New Roman" w:eastAsia="Times New Roman" w:hAnsi="Times New Roman" w:cs="Times New Roman"/>
          <w:b/>
          <w:bCs/>
          <w:color w:val="3B3838"/>
          <w:sz w:val="28"/>
          <w:szCs w:val="28"/>
        </w:rPr>
        <w:t>Resumen Ampliado para Sesiones de ATs/GTs</w:t>
      </w:r>
    </w:p>
    <w:p w14:paraId="57B2F28F" w14:textId="77777777" w:rsidR="001C5BFD" w:rsidRDefault="00407F94">
      <w:pPr>
        <w:numPr>
          <w:ilvl w:val="0"/>
          <w:numId w:val="4"/>
        </w:numPr>
        <w:spacing w:after="0" w:line="360" w:lineRule="auto"/>
        <w:jc w:val="both"/>
        <w:rPr>
          <w:b/>
          <w:bCs/>
          <w:color w:val="000000"/>
          <w:sz w:val="24"/>
          <w:szCs w:val="24"/>
        </w:rPr>
      </w:pPr>
      <w:bookmarkStart w:id="1" w:name="_heading=h.gjdgxs" w:colFirst="0" w:colLast="0"/>
      <w:bookmarkEnd w:id="1"/>
      <w:r>
        <w:rPr>
          <w:rFonts w:ascii="Times New Roman" w:eastAsia="Times New Roman" w:hAnsi="Times New Roman" w:cs="Times New Roman"/>
          <w:b/>
          <w:bCs/>
          <w:sz w:val="24"/>
          <w:szCs w:val="24"/>
        </w:rPr>
        <w:t>Área temática:</w:t>
      </w:r>
      <w:r>
        <w:t> </w:t>
      </w:r>
      <w:r>
        <w:rPr>
          <w:rFonts w:ascii="Times New Roman" w:eastAsia="Times New Roman" w:hAnsi="Times New Roman" w:cs="Times New Roman"/>
          <w:sz w:val="24"/>
          <w:szCs w:val="24"/>
        </w:rPr>
        <w:t>GT Usos de información estadística y acceso a datos públicos</w:t>
      </w:r>
    </w:p>
    <w:p w14:paraId="07104AD1" w14:textId="77777777" w:rsidR="001C5BFD" w:rsidRDefault="00407F94">
      <w:pPr>
        <w:numPr>
          <w:ilvl w:val="0"/>
          <w:numId w:val="4"/>
        </w:numPr>
        <w:spacing w:after="0" w:line="360" w:lineRule="auto"/>
        <w:jc w:val="both"/>
        <w:rPr>
          <w:b/>
          <w:bCs/>
          <w:color w:val="000000"/>
          <w:sz w:val="24"/>
          <w:szCs w:val="24"/>
        </w:rPr>
      </w:pPr>
      <w:r>
        <w:rPr>
          <w:rFonts w:ascii="Times New Roman" w:eastAsia="Times New Roman" w:hAnsi="Times New Roman" w:cs="Times New Roman"/>
          <w:b/>
          <w:bCs/>
          <w:sz w:val="24"/>
          <w:szCs w:val="24"/>
        </w:rPr>
        <w:t xml:space="preserve">Título del Trabajo: </w:t>
      </w:r>
      <w:r>
        <w:rPr>
          <w:rFonts w:ascii="Times New Roman" w:eastAsia="Times New Roman" w:hAnsi="Times New Roman" w:cs="Times New Roman"/>
          <w:sz w:val="24"/>
          <w:szCs w:val="24"/>
        </w:rPr>
        <w:t xml:space="preserve">Acerca de los usos de las evaluaciones estandarizadas: discusiones a partir de un estudio regional comparado  </w:t>
      </w:r>
    </w:p>
    <w:p w14:paraId="1712F8DD" w14:textId="59B69B8B" w:rsidR="001C5BFD" w:rsidRDefault="00407F94">
      <w:pPr>
        <w:numPr>
          <w:ilvl w:val="0"/>
          <w:numId w:val="4"/>
        </w:numPr>
        <w:spacing w:after="0" w:line="360" w:lineRule="auto"/>
        <w:jc w:val="both"/>
        <w:rPr>
          <w:b/>
          <w:bCs/>
          <w:color w:val="000000"/>
          <w:sz w:val="24"/>
          <w:szCs w:val="24"/>
        </w:rPr>
      </w:pPr>
      <w:r>
        <w:rPr>
          <w:rFonts w:ascii="Times New Roman" w:eastAsia="Times New Roman" w:hAnsi="Times New Roman" w:cs="Times New Roman"/>
          <w:b/>
          <w:bCs/>
          <w:sz w:val="24"/>
          <w:szCs w:val="24"/>
        </w:rPr>
        <w:t>Autor</w:t>
      </w:r>
      <w:r w:rsidR="0075397E">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w:t>
      </w:r>
    </w:p>
    <w:p w14:paraId="4DE1EDF5" w14:textId="77777777" w:rsidR="001C5BFD" w:rsidRDefault="00407F94">
      <w:pPr>
        <w:spacing w:after="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Montes, Nancy </w:t>
      </w:r>
    </w:p>
    <w:p w14:paraId="6F72A844" w14:textId="77777777" w:rsidR="001C5BFD" w:rsidRPr="0075397E" w:rsidRDefault="00407F94">
      <w:pPr>
        <w:spacing w:after="0" w:line="360" w:lineRule="auto"/>
        <w:jc w:val="both"/>
        <w:rPr>
          <w:rFonts w:ascii="Times New Roman" w:eastAsia="Times New Roman" w:hAnsi="Times New Roman" w:cs="Times New Roman"/>
          <w:sz w:val="24"/>
          <w:szCs w:val="24"/>
          <w:lang w:val="pt-BR"/>
        </w:rPr>
      </w:pPr>
      <w:r w:rsidRPr="0075397E">
        <w:rPr>
          <w:rFonts w:ascii="Times New Roman" w:eastAsia="Times New Roman" w:hAnsi="Times New Roman" w:cs="Times New Roman"/>
          <w:sz w:val="24"/>
          <w:szCs w:val="24"/>
          <w:lang w:val="pt-BR"/>
        </w:rPr>
        <w:t xml:space="preserve">FLACSO-OEI – </w:t>
      </w:r>
      <w:hyperlink r:id="rId9">
        <w:r w:rsidRPr="0075397E">
          <w:rPr>
            <w:rFonts w:ascii="Times New Roman" w:eastAsia="Times New Roman" w:hAnsi="Times New Roman" w:cs="Times New Roman"/>
            <w:sz w:val="24"/>
            <w:szCs w:val="24"/>
            <w:u w:val="single"/>
            <w:lang w:val="pt-BR"/>
          </w:rPr>
          <w:t>nmontes@flacso.org.ar</w:t>
        </w:r>
      </w:hyperlink>
    </w:p>
    <w:p w14:paraId="1CAE37DC" w14:textId="77777777" w:rsidR="001C5BFD" w:rsidRPr="0075397E" w:rsidRDefault="00407F94">
      <w:pPr>
        <w:spacing w:after="0" w:line="360" w:lineRule="auto"/>
        <w:jc w:val="both"/>
        <w:rPr>
          <w:rFonts w:ascii="Times New Roman" w:eastAsia="Times New Roman" w:hAnsi="Times New Roman" w:cs="Times New Roman"/>
          <w:i/>
          <w:iCs/>
          <w:sz w:val="24"/>
          <w:szCs w:val="24"/>
        </w:rPr>
      </w:pPr>
      <w:r w:rsidRPr="0075397E">
        <w:rPr>
          <w:rFonts w:ascii="Times New Roman" w:eastAsia="Times New Roman" w:hAnsi="Times New Roman" w:cs="Times New Roman"/>
          <w:i/>
          <w:iCs/>
          <w:sz w:val="24"/>
          <w:szCs w:val="24"/>
        </w:rPr>
        <w:t xml:space="preserve">Nota: algunas de estas líneas han sido escritas de manera conjunta con Daniel Pinkasz, quien también postula un resumen para este Grupo de Trabajo </w:t>
      </w:r>
    </w:p>
    <w:p w14:paraId="62A1AFD6" w14:textId="77777777" w:rsidR="001C5BFD" w:rsidRDefault="001C5BFD">
      <w:pPr>
        <w:spacing w:after="0" w:line="360" w:lineRule="auto"/>
        <w:jc w:val="both"/>
        <w:rPr>
          <w:rFonts w:ascii="Times New Roman" w:eastAsia="Times New Roman" w:hAnsi="Times New Roman" w:cs="Times New Roman"/>
          <w:sz w:val="24"/>
          <w:szCs w:val="24"/>
        </w:rPr>
      </w:pPr>
    </w:p>
    <w:p w14:paraId="6FE3986E" w14:textId="77777777" w:rsidR="001C5BFD" w:rsidRDefault="00407F94">
      <w:pPr>
        <w:numPr>
          <w:ilvl w:val="0"/>
          <w:numId w:val="4"/>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Título del Proyecto / identificación de la investigación e institución en la que se inscribe el trabajo: </w:t>
      </w:r>
      <w:r>
        <w:rPr>
          <w:rFonts w:ascii="Times New Roman" w:eastAsia="Times New Roman" w:hAnsi="Times New Roman" w:cs="Times New Roman"/>
          <w:sz w:val="24"/>
          <w:szCs w:val="24"/>
        </w:rPr>
        <w:t>El uso de los resultados de las pruebas de evaluación de los aprendizajes en el planeamiento de las políticas educativas en seis países de la región, IIPE UNESCO, Oficina Buenos Aires (Coordinación: Daniel Pinkasz)</w:t>
      </w:r>
    </w:p>
    <w:p w14:paraId="095B9F30" w14:textId="77777777" w:rsidR="001C5BFD" w:rsidRDefault="001C5BFD">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p>
    <w:p w14:paraId="1AF6A538" w14:textId="77777777" w:rsidR="001C5BFD" w:rsidRPr="0075397E" w:rsidRDefault="00407F94">
      <w:pPr>
        <w:numPr>
          <w:ilvl w:val="0"/>
          <w:numId w:val="4"/>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Palabras clave:</w:t>
      </w:r>
      <w:r>
        <w:rPr>
          <w:rFonts w:ascii="Times New Roman" w:eastAsia="Times New Roman" w:hAnsi="Times New Roman" w:cs="Times New Roman"/>
          <w:sz w:val="24"/>
          <w:szCs w:val="24"/>
        </w:rPr>
        <w:t xml:space="preserve"> Usos de información; Evaluaciones estandarizadas; Políticas de mejora; Calidad educativa; Estudio regional comparado</w:t>
      </w:r>
    </w:p>
    <w:p w14:paraId="61EF27C1" w14:textId="77777777" w:rsidR="0075397E" w:rsidRDefault="0075397E" w:rsidP="0075397E">
      <w:pPr>
        <w:pStyle w:val="Prrafodelista"/>
        <w:rPr>
          <w:rFonts w:ascii="Times New Roman" w:eastAsia="Times New Roman" w:hAnsi="Times New Roman" w:cs="Times New Roman"/>
          <w:b/>
          <w:bCs/>
          <w:color w:val="000000"/>
          <w:sz w:val="24"/>
          <w:szCs w:val="24"/>
        </w:rPr>
      </w:pPr>
    </w:p>
    <w:p w14:paraId="5C23BBF9" w14:textId="77777777" w:rsidR="0075397E" w:rsidRDefault="0075397E" w:rsidP="0075397E">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032D1257" w14:textId="77777777" w:rsidR="001C5BFD" w:rsidRPr="0075397E" w:rsidRDefault="00407F94" w:rsidP="0075397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75397E">
        <w:rPr>
          <w:rFonts w:ascii="Times New Roman" w:eastAsia="Times New Roman" w:hAnsi="Times New Roman" w:cs="Times New Roman"/>
          <w:b/>
          <w:bCs/>
          <w:sz w:val="24"/>
          <w:szCs w:val="24"/>
        </w:rPr>
        <w:t>Introducción:</w:t>
      </w:r>
      <w:r w:rsidRPr="0075397E">
        <w:rPr>
          <w:rFonts w:ascii="Times New Roman" w:eastAsia="Times New Roman" w:hAnsi="Times New Roman" w:cs="Times New Roman"/>
          <w:b/>
          <w:bCs/>
          <w:sz w:val="24"/>
          <w:szCs w:val="24"/>
        </w:rPr>
        <w:t xml:space="preserve"> </w:t>
      </w:r>
    </w:p>
    <w:p w14:paraId="3677E7F6" w14:textId="77777777" w:rsidR="0075397E"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hace tres décadas en la Argentina y en los países de América Latina los operativos de evaluaciones estandarizadas que miden los desempeños escolares de los y las estudiantes en la educación básica se constituyeron como uno de los instrumentos de las políticas asociadas al interés por la mejora de la calidad educativa. En ese período se consolidaron operativos de evaluación nacionales (en Argentina, los ONE a partir de 1993 y Aprender a partir de 2016), regionales (organizados por el Laboratorio Latino</w:t>
      </w:r>
      <w:r>
        <w:rPr>
          <w:rFonts w:ascii="Times New Roman" w:eastAsia="Times New Roman" w:hAnsi="Times New Roman" w:cs="Times New Roman"/>
          <w:sz w:val="24"/>
          <w:szCs w:val="24"/>
        </w:rPr>
        <w:t xml:space="preserve">americano de Evaluación de la Calidad de la Educación -LLECE- bajo la coordinación de UNESCO Santiago, orientados al nivel primario, 3er y 6to grado) e internacionales (organizados por la Organización para la Cooperación del Desarrollo Económico -OCDE- denominados PISA, orientados al nivel secundario, a estudiantes de 15 años de edad). Por otra parte, en los últimos años, en Argentina se amplió a las jurisdicciones la existencia y continuidad de operativos complementarios al nacional que evalúan otros años </w:t>
      </w:r>
      <w:r>
        <w:rPr>
          <w:rFonts w:ascii="Times New Roman" w:eastAsia="Times New Roman" w:hAnsi="Times New Roman" w:cs="Times New Roman"/>
          <w:sz w:val="24"/>
          <w:szCs w:val="24"/>
        </w:rPr>
        <w:t>de estudio o los mismos, con adecuación a diseños curriculares y áreas priorizadas por las políticas locales (habilidades socioemocionales, comprensión lectora, uso de tecnologías, entre otras) (SEIE, 2023 y Perusia y Xanthopoulos, 2024) y, a nivel nacional se amplió la disponibilidad de resultados (además de los informes habituales y la disponibilidad de bases se desarrolló la plataforma SICDIE), la captura de otros tipos de información (por ejemplo, proyecto Voces de los estudiantes) y la integración o vi</w:t>
      </w:r>
      <w:r>
        <w:rPr>
          <w:rFonts w:ascii="Times New Roman" w:eastAsia="Times New Roman" w:hAnsi="Times New Roman" w:cs="Times New Roman"/>
          <w:sz w:val="24"/>
          <w:szCs w:val="24"/>
        </w:rPr>
        <w:t xml:space="preserve">nculación  de los resultados de los operativos con otras fuentes de información (en particular a partir de la pandemia con la iniciativa “Evaluación nacional del proceso de continuidad pedagógica”). De todas maneras, el objeto más evaluado ha sido el desempeño estudiantil, quedando aún vacante otras entidades posibles de ser evaluadas, como las políticas, los desempeños docentes, las instituciones o los propios dispositivos de evaluación (según prescribe el artículo 95 de la Ley de Educación Nacional). </w:t>
      </w:r>
    </w:p>
    <w:p w14:paraId="54E45888" w14:textId="71C8913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Este recorrido, descripto de manera sucinta, ha ampliado las posibilidades de usos de los resultados disponibles, tema que la convocatoria del GT “Usos de información estadística y acceso a datos públicos” invita a analizar y a debatir.   </w:t>
      </w:r>
    </w:p>
    <w:p w14:paraId="5725303F"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48B8CEBB"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en la Argentina, un debate sobre la capacidad de las pruebas estandarizadas para dar cuenta de manera integral de los resultados académicos de los y las estudiantes basado en argumentos técnicos (en el sentido que considera únicamente algunas disciplinas; recorta un año de estudios; no siempre resultan comparables los ítems evaluados; el tipo de operativo no siempre es censal ni mantiene la misma periodicidad; existen altos niveles de no respuesta), o bien, en el uso político de las autoridades para </w:t>
      </w:r>
      <w:r>
        <w:rPr>
          <w:rFonts w:ascii="Times New Roman" w:eastAsia="Times New Roman" w:hAnsi="Times New Roman" w:cs="Times New Roman"/>
          <w:sz w:val="24"/>
          <w:szCs w:val="24"/>
        </w:rPr>
        <w:t>legitimar la crítica a distintos actores (en particular a los docentes) y, en algunos casos para calificar la actuación de algunas gestiones de gobierno (en el año 2015, se cuestionó la elaboración de la muestra del operativo PISA como modo de objetar la gestión de gobierno saliente, razón por la cual, para ese año, no hay datos disponibles para el país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También el uso mediático basado en datos de impacto y rankings que alimentan la idea de crisis o de colapso de la educación es esgrimido como ejemplos de malos usos de la información (Ravela, 2001). </w:t>
      </w:r>
    </w:p>
    <w:p w14:paraId="7FDB1E79" w14:textId="77777777" w:rsidR="0075397E" w:rsidRDefault="0075397E">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6F0EBB8" w14:textId="310AA14F"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obstante esas críticas, asistimos a un uso creciente y diversificado de los resultados de evaluación por parte de actores especializados, </w:t>
      </w:r>
      <w:r>
        <w:rPr>
          <w:rFonts w:ascii="Times New Roman" w:eastAsia="Times New Roman" w:hAnsi="Times New Roman" w:cs="Times New Roman"/>
          <w:i/>
          <w:iCs/>
          <w:sz w:val="24"/>
          <w:szCs w:val="24"/>
        </w:rPr>
        <w:t>think tanks</w:t>
      </w:r>
      <w:r>
        <w:rPr>
          <w:rFonts w:ascii="Times New Roman" w:eastAsia="Times New Roman" w:hAnsi="Times New Roman" w:cs="Times New Roman"/>
          <w:sz w:val="24"/>
          <w:szCs w:val="24"/>
        </w:rPr>
        <w:t xml:space="preserve">, organismos internacionales, universidades e institutos de investigación (UNESCO, 2013; Rivas, 2015; Llach, 2020; Banco Mundial, 2022; Torre, Perusia y Xanthopoulos, 2023; Ganimian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2024; Arias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2024; OEI-UNICEF, 2024; Perusia y Xanthopoulos, 2025). </w:t>
      </w:r>
    </w:p>
    <w:p w14:paraId="238FD760"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60463612"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hipótesis que se desarrolla aquí es que, paralelamente al debate mencionado, en Argentina asistimos a tres tipos de usos crecientes, por un lado, el vinculado a la producción de conocimiento (como se indicó en el párrafo precedente), luego, uno asociado a la instalación de diagnósticos entre la población (Campaña por la Alfabetización) y un tercero, asociado a la definición y legitimación de políticas (Plan Nacional de Alfabetización, Pruebas Escolares Bonaerenses, Plan de Desarrollo Educativo de Córdoba</w:t>
      </w:r>
      <w:r>
        <w:rPr>
          <w:rFonts w:ascii="Times New Roman" w:eastAsia="Times New Roman" w:hAnsi="Times New Roman" w:cs="Times New Roman"/>
          <w:sz w:val="24"/>
          <w:szCs w:val="24"/>
        </w:rPr>
        <w:t xml:space="preserve"> 2024-2027, Escuelas en foco en la Ciudad de Buenos Aires).</w:t>
      </w:r>
    </w:p>
    <w:p w14:paraId="00953339"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76DACDA6" w14:textId="77777777" w:rsidR="001C5BFD" w:rsidRPr="0075397E" w:rsidRDefault="00407F94" w:rsidP="0075397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75397E">
        <w:rPr>
          <w:rFonts w:ascii="Times New Roman" w:eastAsia="Times New Roman" w:hAnsi="Times New Roman" w:cs="Times New Roman"/>
          <w:b/>
          <w:bCs/>
          <w:sz w:val="24"/>
          <w:szCs w:val="24"/>
        </w:rPr>
        <w:t>Aspectos teórico-metodológicos:</w:t>
      </w:r>
      <w:r w:rsidRPr="0075397E">
        <w:rPr>
          <w:rFonts w:ascii="Times New Roman" w:eastAsia="Times New Roman" w:hAnsi="Times New Roman" w:cs="Times New Roman"/>
          <w:b/>
          <w:bCs/>
          <w:sz w:val="24"/>
          <w:szCs w:val="24"/>
        </w:rPr>
        <w:t xml:space="preserve"> </w:t>
      </w:r>
    </w:p>
    <w:p w14:paraId="43103F22"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p>
    <w:p w14:paraId="6152DB09"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estudio utilizó la técnica del estudio de casos (Marradi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2007)) orientado a la comprensión de los procesos que subyacen al uso observado de los resultados de las evaluaciones en distintos niveles del sistema educativo. Los países indagados presentan una variedad de características apropiadas para la comparación: tres de ellos son estados federales (Argentina, Brasil y México); tienen variadas trayectorias de institucionalización de sus dispositivos de evaluación y, desde el punto de vista de las consecuencias que originan los resultados de las evaluaciones est</w:t>
      </w:r>
      <w:r>
        <w:rPr>
          <w:rFonts w:ascii="Times New Roman" w:eastAsia="Times New Roman" w:hAnsi="Times New Roman" w:cs="Times New Roman"/>
          <w:sz w:val="24"/>
          <w:szCs w:val="24"/>
        </w:rPr>
        <w:t>andarizadas, presentan diferentes modelos. Por otra parte, se tomaron países de sistemas educativos de diverso tamaño (los más grandes y algunos de los más pequeños en términos de cantidad de estudiantes). El estudio se realizó entre agosto y diciembre de 2021.</w:t>
      </w:r>
    </w:p>
    <w:p w14:paraId="42A9C063"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54660D2"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cada país, se seleccionaron las evaluaciones nacionales estandarizadas de logro de aprendizajes, aplicadas en los niveles de educación obligatoria (CINE 1, 2 y 3) y las principales evaluaciones internacionales, es decir, las aplicadas por el LLECE, PISA y otras (según el país).</w:t>
      </w:r>
    </w:p>
    <w:p w14:paraId="77FD1D5F" w14:textId="77777777" w:rsidR="001C5BFD" w:rsidRDefault="001C5BFD">
      <w:pPr>
        <w:spacing w:after="0" w:line="360" w:lineRule="auto"/>
        <w:ind w:left="720"/>
        <w:jc w:val="both"/>
        <w:rPr>
          <w:rFonts w:ascii="Times New Roman" w:eastAsia="Times New Roman" w:hAnsi="Times New Roman" w:cs="Times New Roman"/>
          <w:sz w:val="24"/>
          <w:szCs w:val="24"/>
        </w:rPr>
      </w:pPr>
    </w:p>
    <w:p w14:paraId="445CB17C"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trabajo se basó en el relevamiento y análisis de fuentes secundarias, a partir de un corpus documental compuesto por marcos legales generales, organigramas de organismos de educación y de evaluación, planes educativos nacionales y marcos regulatorios específicos de los sistemas y de organismos de evaluación. Las fuentes primarias estuvieron constituidas por un corpus de alrededor de 120 entrevistas realizadas a personas que se desempeñan en la toma de decisiones políticas, a responsables de áreas de plan</w:t>
      </w:r>
      <w:r>
        <w:rPr>
          <w:rFonts w:ascii="Times New Roman" w:eastAsia="Times New Roman" w:hAnsi="Times New Roman" w:cs="Times New Roman"/>
          <w:sz w:val="24"/>
          <w:szCs w:val="24"/>
        </w:rPr>
        <w:t>eamiento, de áreas de producción de información, unidades de evaluación, áreas operativas, organismos de sociedad civil, representantes gremiales y ex funcionarios/as.</w:t>
      </w:r>
    </w:p>
    <w:p w14:paraId="3311B225"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48EC15F3"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relación con el marco interpretativo utilizado en el estudio (Pinkasz, 2022), las siguientes nociones, discusiones y referencias teóricas organizaron los análisis: </w:t>
      </w:r>
    </w:p>
    <w:p w14:paraId="2412E352"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3A784AE" w14:textId="77777777" w:rsidR="001C5BFD" w:rsidRDefault="00407F94">
      <w:pPr>
        <w:numPr>
          <w:ilvl w:val="0"/>
          <w:numId w:val="2"/>
        </w:numPr>
        <w:spacing w:after="0" w:line="360" w:lineRule="auto"/>
        <w:jc w:val="both"/>
        <w:rPr>
          <w:color w:val="000000"/>
          <w:sz w:val="24"/>
          <w:szCs w:val="24"/>
        </w:rPr>
      </w:pPr>
      <w:r>
        <w:rPr>
          <w:rFonts w:ascii="Times New Roman" w:eastAsia="Times New Roman" w:hAnsi="Times New Roman" w:cs="Times New Roman"/>
          <w:i/>
          <w:iCs/>
          <w:sz w:val="24"/>
          <w:szCs w:val="24"/>
        </w:rPr>
        <w:t>Modelo de policy analysis de "racionalidad limitada" o "incremental":</w:t>
      </w:r>
      <w:r>
        <w:rPr>
          <w:rFonts w:ascii="Times New Roman" w:eastAsia="Times New Roman" w:hAnsi="Times New Roman" w:cs="Times New Roman"/>
          <w:sz w:val="24"/>
          <w:szCs w:val="24"/>
        </w:rPr>
        <w:t xml:space="preserve"> el estudio adopta este enfoque para comprender cómo se formulan las políticas públicas, el cual asume que los gobiernos no pueden "comenzar de cero", sino que existen compromisos y decisiones previas cuyos costos de ruptura o reforma deben evaluar constantemente.</w:t>
      </w:r>
    </w:p>
    <w:p w14:paraId="4C99AA0D" w14:textId="77777777" w:rsidR="001C5BFD" w:rsidRDefault="00407F94">
      <w:pPr>
        <w:numPr>
          <w:ilvl w:val="0"/>
          <w:numId w:val="2"/>
        </w:numPr>
        <w:spacing w:after="0" w:line="360" w:lineRule="auto"/>
        <w:jc w:val="both"/>
        <w:rPr>
          <w:color w:val="000000"/>
          <w:sz w:val="24"/>
          <w:szCs w:val="24"/>
        </w:rPr>
      </w:pPr>
      <w:r>
        <w:rPr>
          <w:rFonts w:ascii="Times New Roman" w:eastAsia="Times New Roman" w:hAnsi="Times New Roman" w:cs="Times New Roman"/>
          <w:i/>
          <w:iCs/>
          <w:sz w:val="24"/>
          <w:szCs w:val="24"/>
        </w:rPr>
        <w:t xml:space="preserve">Dispositivos de evaluación como instrumentos de gobernanza y regulación: </w:t>
      </w:r>
      <w:r>
        <w:rPr>
          <w:rFonts w:ascii="Times New Roman" w:eastAsia="Times New Roman" w:hAnsi="Times New Roman" w:cs="Times New Roman"/>
          <w:sz w:val="24"/>
          <w:szCs w:val="24"/>
        </w:rPr>
        <w:t>las evaluaciones a gran escala no se ven como herramientas neutrales, sino como parte del herramental del Estado para ejercer gobernanza en el ámbito educativo. Se conceptualizan como elementos de un espacio de regulación sobre los agentes del sistema (burocracias, docentes). En este espacio se producen tensiones por el control de los recursos estatales, se pone en juego la autonomía profesional y corporativa y se redefinen los modelos de gestión educativa (Aguilar Villanueva, 2013).</w:t>
      </w:r>
    </w:p>
    <w:p w14:paraId="3E1DA052" w14:textId="77777777" w:rsidR="001C5BFD" w:rsidRDefault="00407F94">
      <w:pPr>
        <w:numPr>
          <w:ilvl w:val="0"/>
          <w:numId w:val="2"/>
        </w:numPr>
        <w:spacing w:after="0" w:line="360" w:lineRule="auto"/>
        <w:jc w:val="both"/>
        <w:rPr>
          <w:color w:val="000000"/>
          <w:sz w:val="24"/>
          <w:szCs w:val="24"/>
        </w:rPr>
      </w:pPr>
      <w:r>
        <w:rPr>
          <w:rFonts w:ascii="Times New Roman" w:eastAsia="Times New Roman" w:hAnsi="Times New Roman" w:cs="Times New Roman"/>
          <w:i/>
          <w:iCs/>
          <w:sz w:val="24"/>
          <w:szCs w:val="24"/>
        </w:rPr>
        <w:t>Enfoque descriptivo frente al enfoque normativo de Políticas Públicas Basadas en Evidencia (PPBE):</w:t>
      </w:r>
      <w:r>
        <w:rPr>
          <w:rFonts w:ascii="Times New Roman" w:eastAsia="Times New Roman" w:hAnsi="Times New Roman" w:cs="Times New Roman"/>
          <w:sz w:val="24"/>
          <w:szCs w:val="24"/>
        </w:rPr>
        <w:t xml:space="preserve"> Aunque en la región es común el paradigma de las PPBE </w:t>
      </w:r>
      <w:r>
        <w:rPr>
          <w:rFonts w:ascii="Times New Roman" w:eastAsia="Times New Roman" w:hAnsi="Times New Roman" w:cs="Times New Roman"/>
          <w:sz w:val="24"/>
          <w:szCs w:val="24"/>
        </w:rPr>
        <w:lastRenderedPageBreak/>
        <w:t>(entendido normativamente como el uso de procedimientos sistemáticos para generar conocimiento útil en la toma de decisiones) , el estudio opta por una posición descriptiva a fin de capturar la complejidad de las decisiones políticas en contextos democráticos, en las que el conocimiento no opera de forma lineal, sino que se integra en estrategias de argumentación para construir factibilidad frente a múltiples condicionamientos.</w:t>
      </w:r>
    </w:p>
    <w:p w14:paraId="119C3D56" w14:textId="77777777" w:rsidR="001C5BFD" w:rsidRDefault="00407F94">
      <w:pPr>
        <w:numPr>
          <w:ilvl w:val="0"/>
          <w:numId w:val="2"/>
        </w:numPr>
        <w:spacing w:after="0" w:line="360" w:lineRule="auto"/>
        <w:jc w:val="both"/>
        <w:rPr>
          <w:color w:val="000000"/>
          <w:sz w:val="24"/>
          <w:szCs w:val="24"/>
        </w:rPr>
      </w:pPr>
      <w:r>
        <w:rPr>
          <w:rFonts w:ascii="Times New Roman" w:eastAsia="Times New Roman" w:hAnsi="Times New Roman" w:cs="Times New Roman"/>
          <w:i/>
          <w:iCs/>
          <w:sz w:val="24"/>
          <w:szCs w:val="24"/>
        </w:rPr>
        <w:t xml:space="preserve">Tipología de usos del conocimiento de Carol Weiss: </w:t>
      </w:r>
      <w:r>
        <w:rPr>
          <w:rFonts w:ascii="Times New Roman" w:eastAsia="Times New Roman" w:hAnsi="Times New Roman" w:cs="Times New Roman"/>
          <w:sz w:val="24"/>
          <w:szCs w:val="24"/>
        </w:rPr>
        <w:t xml:space="preserve">para profundizar en la relación entre conocimiento (investigación/evaluación) y política, el texto se apoya en las categorías que describen diferentes funciones de la información y de la producción de conocimiento considerando: a) Usos legitimadores, b) Usos que amplían el conocimiento de los problemas, c) Usos que contribuyen al debate público y c) Usos instrumentales. </w:t>
      </w:r>
    </w:p>
    <w:p w14:paraId="31E9D406" w14:textId="77777777" w:rsidR="001C5BFD" w:rsidRDefault="00407F94">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Evaluaciones de altas consecuencias (high stakes) y bajas consecuencias (low stakes): </w:t>
      </w:r>
      <w:r>
        <w:rPr>
          <w:rFonts w:ascii="Times New Roman" w:eastAsia="Times New Roman" w:hAnsi="Times New Roman" w:cs="Times New Roman"/>
          <w:sz w:val="24"/>
          <w:szCs w:val="24"/>
        </w:rPr>
        <w:t>esta noción es tomada de la literatura anglosajona en tanto marco de interpretación para categorizar el impacto de las evaluaciones estandarizadas sobre los actores involucrados (estudiantes, docentes, escuelas, etc.). Así, se constata la existencia de modelos de: a) altas consecuencias (sumativos), en los que el resultado de la evaluación se vincula de manera directa o automatizada con una decisión (por ejemplo, sanciones, premios o incentivos) y b) bajas consecuencias (formativos), en los que el resultado</w:t>
      </w:r>
      <w:r>
        <w:rPr>
          <w:rFonts w:ascii="Times New Roman" w:eastAsia="Times New Roman" w:hAnsi="Times New Roman" w:cs="Times New Roman"/>
          <w:sz w:val="24"/>
          <w:szCs w:val="24"/>
        </w:rPr>
        <w:t xml:space="preserve"> no genera consecuencias automáticas sino que funciona como una guía u orientación que permite seleccionar opciones entre varias alternativas dentro de un proceso. Estas funciones polares no sólo caracterizan técnicamente a los dispositivos, sino que reflejan las preferencias y pugnas de los actores en el marco de distintos modos de gobernabilidad del sistema educativo.</w:t>
      </w:r>
    </w:p>
    <w:p w14:paraId="7277C477" w14:textId="77777777" w:rsidR="001C5BFD" w:rsidRDefault="001C5BFD">
      <w:pPr>
        <w:spacing w:after="0" w:line="360" w:lineRule="auto"/>
        <w:jc w:val="both"/>
        <w:rPr>
          <w:rFonts w:ascii="Times New Roman" w:eastAsia="Times New Roman" w:hAnsi="Times New Roman" w:cs="Times New Roman"/>
          <w:b/>
          <w:bCs/>
          <w:sz w:val="24"/>
          <w:szCs w:val="24"/>
        </w:rPr>
      </w:pPr>
    </w:p>
    <w:p w14:paraId="77B904B6" w14:textId="77777777" w:rsidR="001C5BFD" w:rsidRDefault="00407F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manera conjunta, estas coordenadas teóricas permiten interpretar los conflictos entre actores y el uso argumentativo o legitimador de los datos como componentes constitutivos de la política educativa. Asimismo, definen el diseño institucional de los sistemas de evaluación que operan, al mismo tiempo, como un campo de juego regulador y como el resultado de las tensiones históricas por la gobernabilidad del espacio escolar.</w:t>
      </w:r>
    </w:p>
    <w:p w14:paraId="0FF6A126"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p>
    <w:p w14:paraId="0390D8FE" w14:textId="77777777" w:rsidR="001C5BFD" w:rsidRPr="0075397E" w:rsidRDefault="00407F94" w:rsidP="0075397E">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75397E">
        <w:rPr>
          <w:rFonts w:ascii="Times New Roman" w:eastAsia="Times New Roman" w:hAnsi="Times New Roman" w:cs="Times New Roman"/>
          <w:b/>
          <w:bCs/>
          <w:sz w:val="24"/>
          <w:szCs w:val="24"/>
        </w:rPr>
        <w:t>Hallazgos:</w:t>
      </w:r>
      <w:r w:rsidRPr="0075397E">
        <w:rPr>
          <w:rFonts w:ascii="Times New Roman" w:eastAsia="Times New Roman" w:hAnsi="Times New Roman" w:cs="Times New Roman"/>
          <w:b/>
          <w:bCs/>
          <w:color w:val="3B3838"/>
          <w:sz w:val="24"/>
          <w:szCs w:val="24"/>
        </w:rPr>
        <w:t xml:space="preserve"> </w:t>
      </w:r>
    </w:p>
    <w:p w14:paraId="66E145DD"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p>
    <w:p w14:paraId="6B4214F6" w14:textId="20370C47" w:rsidR="001C5BFD" w:rsidRDefault="00407F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relación con los usos de las evaluaciones estandarizadas de aprendizajes escolares a gran escala, l</w:t>
      </w:r>
      <w:r>
        <w:rPr>
          <w:rFonts w:ascii="Times New Roman" w:eastAsia="Times New Roman" w:hAnsi="Times New Roman" w:cs="Times New Roman"/>
          <w:sz w:val="24"/>
          <w:szCs w:val="24"/>
        </w:rPr>
        <w:t>a investigación comparada que aquí se referencia, realizada en seis países de la región (Argentina, Brasil, Chile, Ecuador, México y Uruguay), identificó los siguientes usos efectivos: 1) Planificar estrategias en distintos niveles del sistema educativo; 2) Producir conocimiento (identificar problemas educativos, áreas de intervención y asociar factores con los resultados de los aprendizajes); 3) Desarrollar políticas y programas de apoyo, generales y focalizados, para la mejora de los resultados; 4) Orient</w:t>
      </w:r>
      <w:r>
        <w:rPr>
          <w:rFonts w:ascii="Times New Roman" w:eastAsia="Times New Roman" w:hAnsi="Times New Roman" w:cs="Times New Roman"/>
          <w:sz w:val="24"/>
          <w:szCs w:val="24"/>
        </w:rPr>
        <w:t>ar la definición del currículo y la elaboración de materiales pedagógicos; 5) Formar y fortalecer la profesionalización de los docentes; 6) Certificar estudios y realizar pruebas de selección para el ingreso a la educación superior; 7) Evaluar y/o generar incentivos a docentes y 8) Ordenar posiciones según niveles de desempeño (Pinkasz, 2021</w:t>
      </w:r>
      <w:r>
        <w:rPr>
          <w:rFonts w:ascii="Times New Roman" w:eastAsia="Times New Roman" w:hAnsi="Times New Roman" w:cs="Times New Roman"/>
          <w:sz w:val="24"/>
          <w:szCs w:val="24"/>
        </w:rPr>
        <w:t>).</w:t>
      </w:r>
    </w:p>
    <w:p w14:paraId="612B0DDD" w14:textId="77777777" w:rsidR="001C5BFD" w:rsidRDefault="001C5BFD">
      <w:pPr>
        <w:spacing w:after="0" w:line="360" w:lineRule="auto"/>
        <w:ind w:left="720"/>
        <w:jc w:val="both"/>
        <w:rPr>
          <w:rFonts w:ascii="Times New Roman" w:eastAsia="Times New Roman" w:hAnsi="Times New Roman" w:cs="Times New Roman"/>
          <w:sz w:val="24"/>
          <w:szCs w:val="24"/>
        </w:rPr>
      </w:pPr>
    </w:p>
    <w:p w14:paraId="4BBFB1B9" w14:textId="77777777" w:rsidR="001C5BFD" w:rsidRDefault="00407F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su parte, el informe de la misma investigación referido a Argentina (Montes, 2021) que analizó el ámbito nacional y dos estados subnacionales (Ciudad de Buenos Aires y Córdoba), identificó tres tipos de usos efectivos: 1) los vinculados a la toma de decisiones que emplea tanto los resultados académicos como la información proveniente de cuadernillos complementarios, bajo la forma de insumos para el diagnóstico, para la planificación, el establecimiento de metas y la selección de establecimientos para pr</w:t>
      </w:r>
      <w:r>
        <w:rPr>
          <w:rFonts w:ascii="Times New Roman" w:eastAsia="Times New Roman" w:hAnsi="Times New Roman" w:cs="Times New Roman"/>
          <w:sz w:val="24"/>
          <w:szCs w:val="24"/>
        </w:rPr>
        <w:t xml:space="preserve">ogramas específicos; 2) los vinculados a la elaboración de materiales para la mejora de </w:t>
      </w:r>
      <w:r>
        <w:rPr>
          <w:rFonts w:ascii="Times New Roman" w:eastAsia="Times New Roman" w:hAnsi="Times New Roman" w:cs="Times New Roman"/>
          <w:sz w:val="24"/>
          <w:szCs w:val="24"/>
        </w:rPr>
        <w:lastRenderedPageBreak/>
        <w:t>la enseñanza y para el trabajo con niveles de gestión intermedia o establecimientos por parte de algunas provincias y 3) los que tienen como destinatarios audiencias específicas, instituciones de educación superior, organizaciones de la sociedad civil productoras de conocimiento, gremios docentes, legislaturas provinciales y público en general (través de los medios) y que, de manera amplia, forman parte de un debate soci</w:t>
      </w:r>
      <w:r>
        <w:rPr>
          <w:rFonts w:ascii="Times New Roman" w:eastAsia="Times New Roman" w:hAnsi="Times New Roman" w:cs="Times New Roman"/>
          <w:sz w:val="24"/>
          <w:szCs w:val="24"/>
        </w:rPr>
        <w:t>al acerca del “estado de la educación” en la Argentina.</w:t>
      </w:r>
    </w:p>
    <w:p w14:paraId="1411E944" w14:textId="77777777" w:rsidR="001C5BFD" w:rsidRDefault="001C5BFD">
      <w:pPr>
        <w:spacing w:after="0" w:line="360" w:lineRule="auto"/>
        <w:jc w:val="both"/>
        <w:rPr>
          <w:rFonts w:ascii="Times New Roman" w:eastAsia="Times New Roman" w:hAnsi="Times New Roman" w:cs="Times New Roman"/>
          <w:sz w:val="24"/>
          <w:szCs w:val="24"/>
        </w:rPr>
      </w:pPr>
    </w:p>
    <w:p w14:paraId="0E2E8E21" w14:textId="64F3BC58" w:rsidR="001C5BFD" w:rsidRDefault="00407F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elaboración de tipologías constituye en sí mismo un aporte para los procesos de análisis propios de la investigación dado que, al mismo tiempo que definen y delimitan aspectos, proponen también esquemas interpretativos respecto del universo que analizan, con cierta pretensión de exhaustividad y originalidad. Para estos trabajos se tomaron también otros antecedentes en esa línea</w:t>
      </w:r>
      <w:r w:rsidR="005F1C68">
        <w:rPr>
          <w:rFonts w:ascii="Times New Roman" w:eastAsia="Times New Roman" w:hAnsi="Times New Roman" w:cs="Times New Roman"/>
          <w:sz w:val="24"/>
          <w:szCs w:val="24"/>
        </w:rPr>
        <w:t xml:space="preserve">, sintetizados en la siguiente tabla: </w:t>
      </w:r>
    </w:p>
    <w:p w14:paraId="3E680DD3" w14:textId="77777777" w:rsidR="009358B5" w:rsidRDefault="009358B5">
      <w:pPr>
        <w:spacing w:after="0" w:line="360" w:lineRule="auto"/>
        <w:jc w:val="both"/>
        <w:rPr>
          <w:rFonts w:ascii="Times New Roman" w:eastAsia="Times New Roman" w:hAnsi="Times New Roman" w:cs="Times New Roman"/>
          <w:sz w:val="24"/>
          <w:szCs w:val="24"/>
        </w:rPr>
      </w:pPr>
    </w:p>
    <w:p w14:paraId="1A95E71A" w14:textId="3306003A" w:rsidR="009358B5" w:rsidRPr="00D61100" w:rsidRDefault="009358B5">
      <w:pPr>
        <w:spacing w:after="0" w:line="360" w:lineRule="auto"/>
        <w:jc w:val="both"/>
        <w:rPr>
          <w:rFonts w:ascii="Times New Roman" w:eastAsia="Times New Roman" w:hAnsi="Times New Roman" w:cs="Times New Roman"/>
        </w:rPr>
      </w:pPr>
      <w:r w:rsidRPr="00D61100">
        <w:rPr>
          <w:rFonts w:ascii="Times New Roman" w:eastAsia="Times New Roman" w:hAnsi="Times New Roman" w:cs="Times New Roman"/>
        </w:rPr>
        <w:t xml:space="preserve">Tabla 1. Tipologías de usos de las evaluaciones utilizadas como antecedente según autoría y área de intervención referida. </w:t>
      </w:r>
    </w:p>
    <w:p w14:paraId="20C4EEDF" w14:textId="77777777" w:rsidR="009358B5" w:rsidRDefault="009358B5">
      <w:pPr>
        <w:spacing w:after="0" w:line="360" w:lineRule="auto"/>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1696"/>
        <w:gridCol w:w="1717"/>
        <w:gridCol w:w="2262"/>
        <w:gridCol w:w="2819"/>
      </w:tblGrid>
      <w:tr w:rsidR="00D61100" w:rsidRPr="009358B5" w14:paraId="44F54829" w14:textId="77777777" w:rsidTr="00D61100">
        <w:tc>
          <w:tcPr>
            <w:tcW w:w="5675" w:type="dxa"/>
            <w:gridSpan w:val="3"/>
          </w:tcPr>
          <w:p w14:paraId="353C3C63" w14:textId="7A58D3D0" w:rsidR="00D61100" w:rsidRPr="00D61100" w:rsidRDefault="00D61100" w:rsidP="009358B5">
            <w:pPr>
              <w:spacing w:line="360" w:lineRule="auto"/>
              <w:jc w:val="center"/>
              <w:rPr>
                <w:rFonts w:ascii="Times New Roman" w:eastAsia="Times New Roman" w:hAnsi="Times New Roman" w:cs="Times New Roman"/>
                <w:b/>
                <w:bCs/>
                <w:sz w:val="24"/>
                <w:szCs w:val="24"/>
                <w:lang w:val="pt-BR"/>
              </w:rPr>
            </w:pPr>
            <w:r w:rsidRPr="00D61100">
              <w:rPr>
                <w:rFonts w:ascii="Times New Roman" w:eastAsia="Times New Roman" w:hAnsi="Times New Roman" w:cs="Times New Roman"/>
                <w:b/>
                <w:bCs/>
                <w:sz w:val="24"/>
                <w:szCs w:val="24"/>
                <w:lang w:val="pt-BR"/>
              </w:rPr>
              <w:t>Autor/a tomado como antecedente</w:t>
            </w:r>
          </w:p>
        </w:tc>
        <w:tc>
          <w:tcPr>
            <w:tcW w:w="2819" w:type="dxa"/>
            <w:vMerge w:val="restart"/>
          </w:tcPr>
          <w:p w14:paraId="6596C811" w14:textId="77777777" w:rsidR="00D61100" w:rsidRPr="00D61100" w:rsidRDefault="00D61100">
            <w:pPr>
              <w:spacing w:line="360" w:lineRule="auto"/>
              <w:jc w:val="both"/>
              <w:rPr>
                <w:rFonts w:ascii="Times New Roman" w:eastAsia="Times New Roman" w:hAnsi="Times New Roman" w:cs="Times New Roman"/>
                <w:b/>
                <w:bCs/>
                <w:sz w:val="24"/>
                <w:szCs w:val="24"/>
                <w:lang w:val="pt-BR"/>
              </w:rPr>
            </w:pPr>
          </w:p>
          <w:p w14:paraId="18F68912" w14:textId="1CB1A1BE" w:rsidR="00D61100" w:rsidRPr="00D61100" w:rsidRDefault="00D61100" w:rsidP="00D61100">
            <w:pPr>
              <w:spacing w:line="360" w:lineRule="auto"/>
              <w:jc w:val="center"/>
              <w:rPr>
                <w:rFonts w:ascii="Times New Roman" w:eastAsia="Times New Roman" w:hAnsi="Times New Roman" w:cs="Times New Roman"/>
                <w:b/>
                <w:bCs/>
                <w:sz w:val="24"/>
                <w:szCs w:val="24"/>
                <w:lang w:val="pt-BR"/>
              </w:rPr>
            </w:pPr>
            <w:r w:rsidRPr="00D61100">
              <w:rPr>
                <w:rFonts w:ascii="Times New Roman" w:eastAsia="Times New Roman" w:hAnsi="Times New Roman" w:cs="Times New Roman"/>
                <w:b/>
                <w:bCs/>
                <w:sz w:val="24"/>
                <w:szCs w:val="24"/>
                <w:lang w:val="pt-BR"/>
              </w:rPr>
              <w:t>Área de intervención referida</w:t>
            </w:r>
          </w:p>
        </w:tc>
      </w:tr>
      <w:tr w:rsidR="00D61100" w:rsidRPr="009358B5" w14:paraId="2A5377B9" w14:textId="77777777" w:rsidTr="00D61100">
        <w:tc>
          <w:tcPr>
            <w:tcW w:w="1696" w:type="dxa"/>
          </w:tcPr>
          <w:p w14:paraId="0565FDD0" w14:textId="77777777" w:rsidR="00D61100" w:rsidRPr="00D61100" w:rsidRDefault="00D61100" w:rsidP="009358B5">
            <w:pPr>
              <w:pStyle w:val="TableParagraph"/>
              <w:spacing w:before="19"/>
              <w:ind w:left="0"/>
              <w:rPr>
                <w:rFonts w:ascii="Times New Roman" w:hAnsi="Times New Roman" w:cs="Times New Roman"/>
                <w:sz w:val="20"/>
                <w:szCs w:val="20"/>
              </w:rPr>
            </w:pPr>
          </w:p>
          <w:p w14:paraId="10DE37D2" w14:textId="34C6C6C4" w:rsidR="00D61100" w:rsidRPr="00D61100" w:rsidRDefault="00D61100" w:rsidP="009358B5">
            <w:pPr>
              <w:spacing w:line="360" w:lineRule="auto"/>
              <w:jc w:val="both"/>
              <w:rPr>
                <w:rFonts w:ascii="Times New Roman" w:eastAsia="Times New Roman" w:hAnsi="Times New Roman" w:cs="Times New Roman"/>
                <w:sz w:val="20"/>
                <w:szCs w:val="20"/>
                <w:lang w:val="pt-BR"/>
              </w:rPr>
            </w:pPr>
            <w:r w:rsidRPr="00D61100">
              <w:rPr>
                <w:rFonts w:ascii="Times New Roman" w:hAnsi="Times New Roman" w:cs="Times New Roman"/>
                <w:b/>
                <w:w w:val="105"/>
                <w:sz w:val="20"/>
                <w:szCs w:val="20"/>
              </w:rPr>
              <w:t>Kellaghan</w:t>
            </w:r>
            <w:r w:rsidRPr="00D61100">
              <w:rPr>
                <w:rFonts w:ascii="Times New Roman" w:hAnsi="Times New Roman" w:cs="Times New Roman"/>
                <w:b/>
                <w:spacing w:val="-12"/>
                <w:w w:val="105"/>
                <w:sz w:val="20"/>
                <w:szCs w:val="20"/>
              </w:rPr>
              <w:t xml:space="preserve"> </w:t>
            </w:r>
            <w:r w:rsidRPr="00D61100">
              <w:rPr>
                <w:rFonts w:ascii="Times New Roman" w:hAnsi="Times New Roman" w:cs="Times New Roman"/>
                <w:b/>
                <w:spacing w:val="-2"/>
                <w:w w:val="105"/>
                <w:sz w:val="20"/>
                <w:szCs w:val="20"/>
              </w:rPr>
              <w:t>(1997)</w:t>
            </w:r>
          </w:p>
        </w:tc>
        <w:tc>
          <w:tcPr>
            <w:tcW w:w="1717" w:type="dxa"/>
          </w:tcPr>
          <w:p w14:paraId="48C41B81" w14:textId="77777777" w:rsidR="00D61100" w:rsidRPr="00D61100" w:rsidRDefault="00D61100" w:rsidP="009358B5">
            <w:pPr>
              <w:pStyle w:val="TableParagraph"/>
              <w:spacing w:before="19"/>
              <w:ind w:left="0"/>
              <w:rPr>
                <w:rFonts w:ascii="Times New Roman" w:hAnsi="Times New Roman" w:cs="Times New Roman"/>
                <w:sz w:val="20"/>
                <w:szCs w:val="20"/>
              </w:rPr>
            </w:pPr>
          </w:p>
          <w:p w14:paraId="38102E7C" w14:textId="265FF696" w:rsidR="00D61100" w:rsidRPr="00D61100" w:rsidRDefault="00D61100" w:rsidP="009358B5">
            <w:pPr>
              <w:spacing w:line="360" w:lineRule="auto"/>
              <w:jc w:val="both"/>
              <w:rPr>
                <w:rFonts w:ascii="Times New Roman" w:eastAsia="Times New Roman" w:hAnsi="Times New Roman" w:cs="Times New Roman"/>
                <w:sz w:val="20"/>
                <w:szCs w:val="20"/>
                <w:lang w:val="pt-BR"/>
              </w:rPr>
            </w:pPr>
            <w:r w:rsidRPr="00D61100">
              <w:rPr>
                <w:rFonts w:ascii="Times New Roman" w:hAnsi="Times New Roman" w:cs="Times New Roman"/>
                <w:b/>
                <w:sz w:val="20"/>
                <w:szCs w:val="20"/>
              </w:rPr>
              <w:t>Arregui</w:t>
            </w:r>
            <w:r w:rsidRPr="00D61100">
              <w:rPr>
                <w:rFonts w:ascii="Times New Roman" w:hAnsi="Times New Roman" w:cs="Times New Roman"/>
                <w:b/>
                <w:spacing w:val="-1"/>
                <w:sz w:val="20"/>
                <w:szCs w:val="20"/>
              </w:rPr>
              <w:t xml:space="preserve"> </w:t>
            </w:r>
            <w:r w:rsidRPr="00D61100">
              <w:rPr>
                <w:rFonts w:ascii="Times New Roman" w:hAnsi="Times New Roman" w:cs="Times New Roman"/>
                <w:b/>
                <w:spacing w:val="-2"/>
                <w:sz w:val="20"/>
                <w:szCs w:val="20"/>
              </w:rPr>
              <w:t>(2008)</w:t>
            </w:r>
          </w:p>
        </w:tc>
        <w:tc>
          <w:tcPr>
            <w:tcW w:w="2262" w:type="dxa"/>
          </w:tcPr>
          <w:p w14:paraId="0AFBE5C5" w14:textId="77777777" w:rsidR="00D61100" w:rsidRDefault="00D61100" w:rsidP="009358B5">
            <w:pPr>
              <w:spacing w:line="360" w:lineRule="auto"/>
              <w:jc w:val="both"/>
              <w:rPr>
                <w:rFonts w:ascii="Times New Roman" w:hAnsi="Times New Roman" w:cs="Times New Roman"/>
                <w:b/>
                <w:w w:val="105"/>
                <w:sz w:val="20"/>
                <w:szCs w:val="20"/>
              </w:rPr>
            </w:pPr>
          </w:p>
          <w:p w14:paraId="5FD4118E" w14:textId="64863068" w:rsidR="00D61100" w:rsidRPr="00D61100" w:rsidRDefault="00D61100" w:rsidP="009358B5">
            <w:pPr>
              <w:spacing w:line="360" w:lineRule="auto"/>
              <w:jc w:val="both"/>
              <w:rPr>
                <w:rFonts w:ascii="Times New Roman" w:eastAsia="Times New Roman" w:hAnsi="Times New Roman" w:cs="Times New Roman"/>
                <w:sz w:val="20"/>
                <w:szCs w:val="20"/>
                <w:lang w:val="pt-BR"/>
              </w:rPr>
            </w:pPr>
            <w:r w:rsidRPr="00D61100">
              <w:rPr>
                <w:rFonts w:ascii="Times New Roman" w:hAnsi="Times New Roman" w:cs="Times New Roman"/>
                <w:b/>
                <w:w w:val="105"/>
                <w:sz w:val="20"/>
                <w:szCs w:val="20"/>
              </w:rPr>
              <w:t>Galas</w:t>
            </w:r>
            <w:r w:rsidRPr="00D61100">
              <w:rPr>
                <w:rFonts w:ascii="Times New Roman" w:hAnsi="Times New Roman" w:cs="Times New Roman"/>
                <w:b/>
                <w:spacing w:val="-19"/>
                <w:w w:val="105"/>
                <w:sz w:val="20"/>
                <w:szCs w:val="20"/>
              </w:rPr>
              <w:t xml:space="preserve"> </w:t>
            </w:r>
            <w:r w:rsidRPr="00D61100">
              <w:rPr>
                <w:rFonts w:ascii="Times New Roman" w:hAnsi="Times New Roman" w:cs="Times New Roman"/>
                <w:b/>
                <w:w w:val="105"/>
                <w:sz w:val="20"/>
                <w:szCs w:val="20"/>
              </w:rPr>
              <w:t>Taboada</w:t>
            </w:r>
            <w:r w:rsidRPr="00D61100">
              <w:rPr>
                <w:rFonts w:ascii="Times New Roman" w:hAnsi="Times New Roman" w:cs="Times New Roman"/>
                <w:b/>
                <w:spacing w:val="-18"/>
                <w:w w:val="105"/>
                <w:sz w:val="20"/>
                <w:szCs w:val="20"/>
              </w:rPr>
              <w:t xml:space="preserve"> </w:t>
            </w:r>
            <w:r w:rsidRPr="00D61100">
              <w:rPr>
                <w:rFonts w:ascii="Times New Roman" w:hAnsi="Times New Roman" w:cs="Times New Roman"/>
                <w:b/>
                <w:i/>
                <w:iCs/>
                <w:w w:val="105"/>
                <w:sz w:val="20"/>
                <w:szCs w:val="20"/>
              </w:rPr>
              <w:t>et al</w:t>
            </w:r>
            <w:r w:rsidRPr="00D61100">
              <w:rPr>
                <w:rFonts w:ascii="Times New Roman" w:hAnsi="Times New Roman" w:cs="Times New Roman"/>
                <w:b/>
                <w:spacing w:val="-18"/>
                <w:w w:val="105"/>
                <w:sz w:val="20"/>
                <w:szCs w:val="20"/>
              </w:rPr>
              <w:t xml:space="preserve"> </w:t>
            </w:r>
            <w:r w:rsidRPr="00D61100">
              <w:rPr>
                <w:rFonts w:ascii="Times New Roman" w:hAnsi="Times New Roman" w:cs="Times New Roman"/>
                <w:b/>
                <w:w w:val="105"/>
                <w:sz w:val="20"/>
                <w:szCs w:val="20"/>
              </w:rPr>
              <w:t>(2020)</w:t>
            </w:r>
          </w:p>
        </w:tc>
        <w:tc>
          <w:tcPr>
            <w:tcW w:w="2819" w:type="dxa"/>
            <w:vMerge/>
          </w:tcPr>
          <w:p w14:paraId="04076251" w14:textId="77777777" w:rsidR="00D61100" w:rsidRPr="00D61100" w:rsidRDefault="00D61100" w:rsidP="009358B5">
            <w:pPr>
              <w:spacing w:line="360" w:lineRule="auto"/>
              <w:jc w:val="both"/>
              <w:rPr>
                <w:rFonts w:ascii="Times New Roman" w:eastAsia="Times New Roman" w:hAnsi="Times New Roman" w:cs="Times New Roman"/>
                <w:sz w:val="20"/>
                <w:szCs w:val="20"/>
                <w:lang w:val="pt-BR"/>
              </w:rPr>
            </w:pPr>
          </w:p>
        </w:tc>
      </w:tr>
      <w:tr w:rsidR="009358B5" w:rsidRPr="009358B5" w14:paraId="16180CDD" w14:textId="77777777" w:rsidTr="00D61100">
        <w:tc>
          <w:tcPr>
            <w:tcW w:w="1696" w:type="dxa"/>
          </w:tcPr>
          <w:p w14:paraId="3C9D4208" w14:textId="77777777" w:rsidR="009358B5" w:rsidRPr="00D61100" w:rsidRDefault="009358B5" w:rsidP="00D61100">
            <w:pPr>
              <w:pStyle w:val="TableParagraph"/>
              <w:spacing w:before="110"/>
              <w:ind w:left="0" w:right="181"/>
              <w:rPr>
                <w:rFonts w:ascii="Times New Roman" w:hAnsi="Times New Roman" w:cs="Times New Roman"/>
                <w:sz w:val="20"/>
                <w:szCs w:val="20"/>
              </w:rPr>
            </w:pPr>
            <w:r w:rsidRPr="00D61100">
              <w:rPr>
                <w:rFonts w:ascii="Times New Roman" w:hAnsi="Times New Roman" w:cs="Times New Roman"/>
                <w:sz w:val="20"/>
                <w:szCs w:val="20"/>
              </w:rPr>
              <w:t>Informar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la </w:t>
            </w:r>
            <w:r w:rsidRPr="00D61100">
              <w:rPr>
                <w:rFonts w:ascii="Times New Roman" w:hAnsi="Times New Roman" w:cs="Times New Roman"/>
                <w:spacing w:val="-2"/>
                <w:sz w:val="20"/>
                <w:szCs w:val="20"/>
              </w:rPr>
              <w:t>política.</w:t>
            </w:r>
          </w:p>
          <w:p w14:paraId="77FB0D30" w14:textId="77777777" w:rsidR="009358B5" w:rsidRPr="00D61100" w:rsidRDefault="009358B5" w:rsidP="00D61100">
            <w:pPr>
              <w:pStyle w:val="TableParagraph"/>
              <w:spacing w:before="5"/>
              <w:ind w:left="0"/>
              <w:rPr>
                <w:rFonts w:ascii="Times New Roman" w:hAnsi="Times New Roman" w:cs="Times New Roman"/>
                <w:sz w:val="20"/>
                <w:szCs w:val="20"/>
              </w:rPr>
            </w:pPr>
          </w:p>
          <w:p w14:paraId="5F24B3D2" w14:textId="7535D3EF" w:rsidR="009358B5" w:rsidRPr="00D61100" w:rsidRDefault="009358B5"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w w:val="105"/>
                <w:sz w:val="20"/>
                <w:szCs w:val="20"/>
              </w:rPr>
              <w:t>Decidir</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spacing w:val="-2"/>
                <w:w w:val="105"/>
                <w:sz w:val="20"/>
                <w:szCs w:val="20"/>
              </w:rPr>
              <w:t>sobre</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spacing w:val="-2"/>
                <w:w w:val="105"/>
                <w:sz w:val="20"/>
                <w:szCs w:val="20"/>
              </w:rPr>
              <w:t xml:space="preserve">la </w:t>
            </w:r>
            <w:r w:rsidRPr="00D61100">
              <w:rPr>
                <w:rFonts w:ascii="Times New Roman" w:hAnsi="Times New Roman" w:cs="Times New Roman"/>
                <w:w w:val="105"/>
                <w:sz w:val="20"/>
                <w:szCs w:val="20"/>
              </w:rPr>
              <w:t>asignación</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 xml:space="preserve">de </w:t>
            </w:r>
            <w:r w:rsidRPr="00D61100">
              <w:rPr>
                <w:rFonts w:ascii="Times New Roman" w:hAnsi="Times New Roman" w:cs="Times New Roman"/>
                <w:spacing w:val="-2"/>
                <w:w w:val="105"/>
                <w:sz w:val="20"/>
                <w:szCs w:val="20"/>
              </w:rPr>
              <w:t>recursos.</w:t>
            </w:r>
          </w:p>
        </w:tc>
        <w:tc>
          <w:tcPr>
            <w:tcW w:w="1717" w:type="dxa"/>
          </w:tcPr>
          <w:p w14:paraId="2D106E70" w14:textId="77777777" w:rsidR="009358B5" w:rsidRPr="00D61100" w:rsidRDefault="009358B5" w:rsidP="00D61100">
            <w:pPr>
              <w:pStyle w:val="TableParagraph"/>
              <w:spacing w:before="110"/>
              <w:ind w:left="0" w:right="211"/>
              <w:rPr>
                <w:rFonts w:ascii="Times New Roman" w:hAnsi="Times New Roman" w:cs="Times New Roman"/>
                <w:sz w:val="20"/>
                <w:szCs w:val="20"/>
              </w:rPr>
            </w:pPr>
            <w:r w:rsidRPr="00D61100">
              <w:rPr>
                <w:rFonts w:ascii="Times New Roman" w:hAnsi="Times New Roman" w:cs="Times New Roman"/>
                <w:spacing w:val="-2"/>
                <w:w w:val="105"/>
                <w:sz w:val="20"/>
                <w:szCs w:val="20"/>
              </w:rPr>
              <w:t>Mejorar</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spacing w:val="-2"/>
                <w:w w:val="105"/>
                <w:sz w:val="20"/>
                <w:szCs w:val="20"/>
              </w:rPr>
              <w:t>el</w:t>
            </w:r>
            <w:r w:rsidRPr="00D61100">
              <w:rPr>
                <w:rFonts w:ascii="Times New Roman" w:hAnsi="Times New Roman" w:cs="Times New Roman"/>
                <w:spacing w:val="-15"/>
                <w:w w:val="105"/>
                <w:sz w:val="20"/>
                <w:szCs w:val="20"/>
              </w:rPr>
              <w:t xml:space="preserve"> </w:t>
            </w:r>
            <w:r w:rsidRPr="00D61100">
              <w:rPr>
                <w:rFonts w:ascii="Times New Roman" w:hAnsi="Times New Roman" w:cs="Times New Roman"/>
                <w:spacing w:val="-2"/>
                <w:w w:val="105"/>
                <w:sz w:val="20"/>
                <w:szCs w:val="20"/>
              </w:rPr>
              <w:t>diseño</w:t>
            </w:r>
            <w:r w:rsidRPr="00D61100">
              <w:rPr>
                <w:rFonts w:ascii="Times New Roman" w:hAnsi="Times New Roman" w:cs="Times New Roman"/>
                <w:spacing w:val="-17"/>
                <w:w w:val="105"/>
                <w:sz w:val="20"/>
                <w:szCs w:val="20"/>
              </w:rPr>
              <w:t xml:space="preserve"> </w:t>
            </w:r>
            <w:r w:rsidRPr="00D61100">
              <w:rPr>
                <w:rFonts w:ascii="Times New Roman" w:hAnsi="Times New Roman" w:cs="Times New Roman"/>
                <w:spacing w:val="-2"/>
                <w:w w:val="105"/>
                <w:sz w:val="20"/>
                <w:szCs w:val="20"/>
              </w:rPr>
              <w:t xml:space="preserve">de </w:t>
            </w:r>
            <w:r w:rsidRPr="00D61100">
              <w:rPr>
                <w:rFonts w:ascii="Times New Roman" w:hAnsi="Times New Roman" w:cs="Times New Roman"/>
                <w:w w:val="105"/>
                <w:sz w:val="20"/>
                <w:szCs w:val="20"/>
              </w:rPr>
              <w:t>políticas</w:t>
            </w:r>
            <w:r w:rsidRPr="00D61100">
              <w:rPr>
                <w:rFonts w:ascii="Times New Roman" w:hAnsi="Times New Roman" w:cs="Times New Roman"/>
                <w:spacing w:val="-17"/>
                <w:w w:val="105"/>
                <w:sz w:val="20"/>
                <w:szCs w:val="20"/>
              </w:rPr>
              <w:t xml:space="preserve"> </w:t>
            </w:r>
            <w:r w:rsidRPr="00D61100">
              <w:rPr>
                <w:rFonts w:ascii="Times New Roman" w:hAnsi="Times New Roman" w:cs="Times New Roman"/>
                <w:w w:val="105"/>
                <w:sz w:val="20"/>
                <w:szCs w:val="20"/>
              </w:rPr>
              <w:t xml:space="preserve">educativas y la asignación de </w:t>
            </w:r>
            <w:r w:rsidRPr="00D61100">
              <w:rPr>
                <w:rFonts w:ascii="Times New Roman" w:hAnsi="Times New Roman" w:cs="Times New Roman"/>
                <w:spacing w:val="-2"/>
                <w:w w:val="105"/>
                <w:sz w:val="20"/>
                <w:szCs w:val="20"/>
              </w:rPr>
              <w:t>recursos.</w:t>
            </w:r>
          </w:p>
          <w:p w14:paraId="6A6986D7" w14:textId="77777777" w:rsidR="009358B5" w:rsidRPr="00D61100" w:rsidRDefault="009358B5" w:rsidP="00D61100">
            <w:pPr>
              <w:pStyle w:val="TableParagraph"/>
              <w:spacing w:before="6"/>
              <w:ind w:left="0"/>
              <w:rPr>
                <w:rFonts w:ascii="Times New Roman" w:hAnsi="Times New Roman" w:cs="Times New Roman"/>
                <w:sz w:val="20"/>
                <w:szCs w:val="20"/>
              </w:rPr>
            </w:pPr>
          </w:p>
          <w:p w14:paraId="1E13614C" w14:textId="6D66E33C" w:rsidR="009358B5" w:rsidRPr="00D61100" w:rsidRDefault="009358B5"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w w:val="105"/>
                <w:sz w:val="20"/>
                <w:szCs w:val="20"/>
              </w:rPr>
              <w:t xml:space="preserve">Realizar </w:t>
            </w:r>
            <w:r w:rsidRPr="00D61100">
              <w:rPr>
                <w:rFonts w:ascii="Times New Roman" w:hAnsi="Times New Roman" w:cs="Times New Roman"/>
                <w:w w:val="105"/>
                <w:sz w:val="20"/>
                <w:szCs w:val="20"/>
              </w:rPr>
              <w:t>investigación</w:t>
            </w:r>
            <w:r w:rsidRPr="00D61100">
              <w:rPr>
                <w:rFonts w:ascii="Times New Roman" w:hAnsi="Times New Roman" w:cs="Times New Roman"/>
                <w:spacing w:val="-15"/>
                <w:w w:val="105"/>
                <w:sz w:val="20"/>
                <w:szCs w:val="20"/>
              </w:rPr>
              <w:t xml:space="preserve"> </w:t>
            </w:r>
            <w:r w:rsidRPr="00D61100">
              <w:rPr>
                <w:rFonts w:ascii="Times New Roman" w:hAnsi="Times New Roman" w:cs="Times New Roman"/>
                <w:w w:val="105"/>
                <w:sz w:val="20"/>
                <w:szCs w:val="20"/>
              </w:rPr>
              <w:t xml:space="preserve">y </w:t>
            </w:r>
            <w:r w:rsidRPr="00D61100">
              <w:rPr>
                <w:rFonts w:ascii="Times New Roman" w:hAnsi="Times New Roman" w:cs="Times New Roman"/>
                <w:sz w:val="20"/>
                <w:szCs w:val="20"/>
              </w:rPr>
              <w:t>evaluar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el</w:t>
            </w:r>
            <w:r w:rsidRPr="00D61100">
              <w:rPr>
                <w:rFonts w:ascii="Times New Roman" w:hAnsi="Times New Roman" w:cs="Times New Roman"/>
                <w:spacing w:val="-12"/>
                <w:sz w:val="20"/>
                <w:szCs w:val="20"/>
              </w:rPr>
              <w:t xml:space="preserve"> </w:t>
            </w:r>
            <w:r w:rsidRPr="00D61100">
              <w:rPr>
                <w:rFonts w:ascii="Times New Roman" w:hAnsi="Times New Roman" w:cs="Times New Roman"/>
                <w:sz w:val="20"/>
                <w:szCs w:val="20"/>
              </w:rPr>
              <w:t>impacto</w:t>
            </w:r>
            <w:r w:rsidRPr="00D61100">
              <w:rPr>
                <w:rFonts w:ascii="Times New Roman" w:hAnsi="Times New Roman" w:cs="Times New Roman"/>
                <w:spacing w:val="-15"/>
                <w:sz w:val="20"/>
                <w:szCs w:val="20"/>
              </w:rPr>
              <w:t xml:space="preserve"> </w:t>
            </w:r>
            <w:r w:rsidRPr="00D61100">
              <w:rPr>
                <w:rFonts w:ascii="Times New Roman" w:hAnsi="Times New Roman" w:cs="Times New Roman"/>
                <w:sz w:val="20"/>
                <w:szCs w:val="20"/>
              </w:rPr>
              <w:t xml:space="preserve">de </w:t>
            </w:r>
            <w:r w:rsidRPr="00D61100">
              <w:rPr>
                <w:rFonts w:ascii="Times New Roman" w:hAnsi="Times New Roman" w:cs="Times New Roman"/>
                <w:spacing w:val="-2"/>
                <w:w w:val="105"/>
                <w:sz w:val="20"/>
                <w:szCs w:val="20"/>
              </w:rPr>
              <w:t>programas.</w:t>
            </w:r>
          </w:p>
        </w:tc>
        <w:tc>
          <w:tcPr>
            <w:tcW w:w="2262" w:type="dxa"/>
          </w:tcPr>
          <w:p w14:paraId="3C201F8E" w14:textId="77777777" w:rsidR="009358B5" w:rsidRPr="00D61100" w:rsidRDefault="009358B5" w:rsidP="00D61100">
            <w:pPr>
              <w:jc w:val="both"/>
              <w:rPr>
                <w:rFonts w:ascii="Times New Roman" w:hAnsi="Times New Roman" w:cs="Times New Roman"/>
                <w:spacing w:val="-2"/>
                <w:sz w:val="20"/>
                <w:szCs w:val="20"/>
              </w:rPr>
            </w:pPr>
            <w:r w:rsidRPr="00D61100">
              <w:rPr>
                <w:rFonts w:ascii="Times New Roman" w:hAnsi="Times New Roman" w:cs="Times New Roman"/>
                <w:sz w:val="20"/>
                <w:szCs w:val="20"/>
              </w:rPr>
              <w:t>Definir</w:t>
            </w:r>
            <w:r w:rsidRPr="00D61100">
              <w:rPr>
                <w:rFonts w:ascii="Times New Roman" w:hAnsi="Times New Roman" w:cs="Times New Roman"/>
                <w:spacing w:val="-1"/>
                <w:sz w:val="20"/>
                <w:szCs w:val="20"/>
              </w:rPr>
              <w:t xml:space="preserve"> </w:t>
            </w:r>
            <w:r w:rsidRPr="00D61100">
              <w:rPr>
                <w:rFonts w:ascii="Times New Roman" w:hAnsi="Times New Roman" w:cs="Times New Roman"/>
                <w:sz w:val="20"/>
                <w:szCs w:val="20"/>
              </w:rPr>
              <w:t>la</w:t>
            </w:r>
            <w:r w:rsidRPr="00D61100">
              <w:rPr>
                <w:rFonts w:ascii="Times New Roman" w:hAnsi="Times New Roman" w:cs="Times New Roman"/>
                <w:spacing w:val="-1"/>
                <w:sz w:val="20"/>
                <w:szCs w:val="20"/>
              </w:rPr>
              <w:t xml:space="preserve"> </w:t>
            </w:r>
            <w:r w:rsidRPr="00D61100">
              <w:rPr>
                <w:rFonts w:ascii="Times New Roman" w:hAnsi="Times New Roman" w:cs="Times New Roman"/>
                <w:sz w:val="20"/>
                <w:szCs w:val="20"/>
              </w:rPr>
              <w:t xml:space="preserve">agenda </w:t>
            </w:r>
            <w:r w:rsidRPr="00D61100">
              <w:rPr>
                <w:rFonts w:ascii="Times New Roman" w:hAnsi="Times New Roman" w:cs="Times New Roman"/>
                <w:spacing w:val="-2"/>
                <w:sz w:val="20"/>
                <w:szCs w:val="20"/>
              </w:rPr>
              <w:t>política.</w:t>
            </w:r>
          </w:p>
          <w:p w14:paraId="120EF798" w14:textId="77777777" w:rsidR="00D61100" w:rsidRPr="00D61100" w:rsidRDefault="00D61100" w:rsidP="00D61100">
            <w:pPr>
              <w:jc w:val="both"/>
              <w:rPr>
                <w:rFonts w:ascii="Times New Roman" w:eastAsia="Times New Roman" w:hAnsi="Times New Roman" w:cs="Times New Roman"/>
                <w:spacing w:val="-2"/>
                <w:sz w:val="20"/>
                <w:szCs w:val="20"/>
                <w:lang w:val="pt-BR"/>
              </w:rPr>
            </w:pPr>
          </w:p>
          <w:p w14:paraId="68886A90" w14:textId="07E29B36"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z w:val="20"/>
                <w:szCs w:val="20"/>
              </w:rPr>
              <w:t>Informar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ejercicios </w:t>
            </w:r>
            <w:r w:rsidRPr="00D61100">
              <w:rPr>
                <w:rFonts w:ascii="Times New Roman" w:hAnsi="Times New Roman" w:cs="Times New Roman"/>
                <w:w w:val="105"/>
                <w:sz w:val="20"/>
                <w:szCs w:val="20"/>
              </w:rPr>
              <w:t>de</w:t>
            </w:r>
            <w:r w:rsidRPr="00D61100">
              <w:rPr>
                <w:rFonts w:ascii="Times New Roman" w:hAnsi="Times New Roman" w:cs="Times New Roman"/>
                <w:spacing w:val="-15"/>
                <w:w w:val="105"/>
                <w:sz w:val="20"/>
                <w:szCs w:val="20"/>
              </w:rPr>
              <w:t xml:space="preserve"> </w:t>
            </w:r>
            <w:r w:rsidRPr="00D61100">
              <w:rPr>
                <w:rFonts w:ascii="Times New Roman" w:hAnsi="Times New Roman" w:cs="Times New Roman"/>
                <w:w w:val="105"/>
                <w:sz w:val="20"/>
                <w:szCs w:val="20"/>
              </w:rPr>
              <w:t>planeación estratégica</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en distintos</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niveles del</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sistema.</w:t>
            </w:r>
          </w:p>
        </w:tc>
        <w:tc>
          <w:tcPr>
            <w:tcW w:w="2819" w:type="dxa"/>
          </w:tcPr>
          <w:p w14:paraId="3BEF97AB" w14:textId="77777777" w:rsidR="009358B5" w:rsidRPr="00D61100" w:rsidRDefault="009358B5" w:rsidP="00D61100">
            <w:pPr>
              <w:jc w:val="both"/>
              <w:rPr>
                <w:rFonts w:ascii="Times New Roman" w:hAnsi="Times New Roman" w:cs="Times New Roman"/>
                <w:spacing w:val="-2"/>
                <w:w w:val="105"/>
                <w:sz w:val="20"/>
                <w:szCs w:val="20"/>
              </w:rPr>
            </w:pPr>
            <w:r w:rsidRPr="00D61100">
              <w:rPr>
                <w:rFonts w:ascii="Times New Roman" w:hAnsi="Times New Roman" w:cs="Times New Roman"/>
                <w:spacing w:val="-2"/>
                <w:w w:val="105"/>
                <w:sz w:val="20"/>
                <w:szCs w:val="20"/>
              </w:rPr>
              <w:t>Macronivel, equipos ministeriales centrales.</w:t>
            </w:r>
          </w:p>
          <w:p w14:paraId="48CE5222" w14:textId="77777777" w:rsidR="00D61100" w:rsidRPr="00D61100" w:rsidRDefault="00D61100" w:rsidP="00D61100">
            <w:pPr>
              <w:jc w:val="both"/>
              <w:rPr>
                <w:rFonts w:ascii="Times New Roman" w:eastAsia="Times New Roman" w:hAnsi="Times New Roman" w:cs="Times New Roman"/>
                <w:spacing w:val="-2"/>
                <w:sz w:val="20"/>
                <w:szCs w:val="20"/>
                <w:lang w:val="pt-BR"/>
              </w:rPr>
            </w:pPr>
          </w:p>
          <w:p w14:paraId="466C25B2" w14:textId="77777777" w:rsidR="00D61100" w:rsidRPr="00D61100" w:rsidRDefault="00D61100" w:rsidP="00D61100">
            <w:pPr>
              <w:jc w:val="both"/>
              <w:rPr>
                <w:rFonts w:ascii="Times New Roman" w:eastAsia="Times New Roman" w:hAnsi="Times New Roman" w:cs="Times New Roman"/>
                <w:spacing w:val="-2"/>
                <w:sz w:val="20"/>
                <w:szCs w:val="20"/>
                <w:lang w:val="pt-BR"/>
              </w:rPr>
            </w:pPr>
          </w:p>
          <w:p w14:paraId="73E0E758" w14:textId="3DEEF302" w:rsidR="00D61100" w:rsidRPr="00D61100" w:rsidRDefault="00D61100" w:rsidP="00D61100">
            <w:pPr>
              <w:jc w:val="both"/>
              <w:rPr>
                <w:rFonts w:ascii="Times New Roman" w:eastAsia="Times New Roman" w:hAnsi="Times New Roman" w:cs="Times New Roman"/>
                <w:sz w:val="20"/>
                <w:szCs w:val="20"/>
                <w:lang w:val="pt-BR"/>
              </w:rPr>
            </w:pPr>
            <w:r w:rsidRPr="00D61100">
              <w:rPr>
                <w:rFonts w:ascii="Times New Roman" w:hAnsi="Times New Roman" w:cs="Times New Roman"/>
                <w:w w:val="105"/>
                <w:sz w:val="20"/>
                <w:szCs w:val="20"/>
              </w:rPr>
              <w:t>Meso</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 xml:space="preserve">y </w:t>
            </w:r>
            <w:r w:rsidRPr="00D61100">
              <w:rPr>
                <w:rFonts w:ascii="Times New Roman" w:hAnsi="Times New Roman" w:cs="Times New Roman"/>
                <w:spacing w:val="-2"/>
                <w:w w:val="105"/>
                <w:sz w:val="20"/>
                <w:szCs w:val="20"/>
              </w:rPr>
              <w:t xml:space="preserve">micronivel: supervisores, </w:t>
            </w:r>
            <w:r w:rsidRPr="00D61100">
              <w:rPr>
                <w:rFonts w:ascii="Times New Roman" w:hAnsi="Times New Roman" w:cs="Times New Roman"/>
                <w:w w:val="105"/>
                <w:sz w:val="20"/>
                <w:szCs w:val="20"/>
              </w:rPr>
              <w:t>directivos</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 xml:space="preserve">y </w:t>
            </w:r>
            <w:r w:rsidRPr="00D61100">
              <w:rPr>
                <w:rFonts w:ascii="Times New Roman" w:hAnsi="Times New Roman" w:cs="Times New Roman"/>
                <w:spacing w:val="-2"/>
                <w:w w:val="105"/>
                <w:sz w:val="20"/>
                <w:szCs w:val="20"/>
              </w:rPr>
              <w:t>docentes.</w:t>
            </w:r>
          </w:p>
        </w:tc>
      </w:tr>
      <w:tr w:rsidR="00D61100" w:rsidRPr="00D61100" w14:paraId="43A2120B" w14:textId="77777777" w:rsidTr="00D61100">
        <w:tc>
          <w:tcPr>
            <w:tcW w:w="1696" w:type="dxa"/>
          </w:tcPr>
          <w:p w14:paraId="0C572285" w14:textId="77777777" w:rsidR="00D61100" w:rsidRPr="00D61100" w:rsidRDefault="00D61100" w:rsidP="00D61100">
            <w:pPr>
              <w:pStyle w:val="TableParagraph"/>
              <w:spacing w:before="110"/>
              <w:ind w:left="0" w:right="181"/>
              <w:rPr>
                <w:rFonts w:ascii="Times New Roman" w:hAnsi="Times New Roman" w:cs="Times New Roman"/>
                <w:sz w:val="20"/>
                <w:szCs w:val="20"/>
              </w:rPr>
            </w:pPr>
            <w:r w:rsidRPr="00D61100">
              <w:rPr>
                <w:rFonts w:ascii="Times New Roman" w:hAnsi="Times New Roman" w:cs="Times New Roman"/>
                <w:spacing w:val="-2"/>
                <w:w w:val="105"/>
                <w:sz w:val="20"/>
                <w:szCs w:val="20"/>
              </w:rPr>
              <w:lastRenderedPageBreak/>
              <w:t>Identificar aspectos relacionados</w:t>
            </w:r>
            <w:r w:rsidRPr="00D61100">
              <w:rPr>
                <w:rFonts w:ascii="Times New Roman" w:hAnsi="Times New Roman" w:cs="Times New Roman"/>
                <w:spacing w:val="-17"/>
                <w:w w:val="105"/>
                <w:sz w:val="20"/>
                <w:szCs w:val="20"/>
              </w:rPr>
              <w:t xml:space="preserve"> </w:t>
            </w:r>
            <w:r w:rsidRPr="00D61100">
              <w:rPr>
                <w:rFonts w:ascii="Times New Roman" w:hAnsi="Times New Roman" w:cs="Times New Roman"/>
                <w:spacing w:val="-2"/>
                <w:w w:val="105"/>
                <w:sz w:val="20"/>
                <w:szCs w:val="20"/>
              </w:rPr>
              <w:t xml:space="preserve">con </w:t>
            </w:r>
            <w:r w:rsidRPr="00D61100">
              <w:rPr>
                <w:rFonts w:ascii="Times New Roman" w:hAnsi="Times New Roman" w:cs="Times New Roman"/>
                <w:w w:val="105"/>
                <w:sz w:val="20"/>
                <w:szCs w:val="20"/>
              </w:rPr>
              <w:t>el</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rendimiento.</w:t>
            </w:r>
          </w:p>
          <w:p w14:paraId="4E10ABD4" w14:textId="77777777" w:rsidR="00D61100" w:rsidRDefault="00D61100" w:rsidP="00D61100">
            <w:pPr>
              <w:pStyle w:val="TableParagraph"/>
              <w:spacing w:before="0"/>
              <w:ind w:left="0" w:right="286"/>
              <w:rPr>
                <w:rFonts w:ascii="Times New Roman" w:hAnsi="Times New Roman" w:cs="Times New Roman"/>
                <w:w w:val="105"/>
                <w:sz w:val="20"/>
                <w:szCs w:val="20"/>
              </w:rPr>
            </w:pPr>
          </w:p>
          <w:p w14:paraId="322A1881" w14:textId="6A8A133B" w:rsidR="00D61100" w:rsidRPr="00D61100" w:rsidRDefault="00D61100" w:rsidP="00D61100">
            <w:pPr>
              <w:pStyle w:val="TableParagraph"/>
              <w:spacing w:before="0"/>
              <w:ind w:left="0" w:right="286"/>
              <w:rPr>
                <w:rFonts w:ascii="Times New Roman" w:hAnsi="Times New Roman" w:cs="Times New Roman"/>
                <w:sz w:val="20"/>
                <w:szCs w:val="20"/>
              </w:rPr>
            </w:pPr>
            <w:r w:rsidRPr="00D61100">
              <w:rPr>
                <w:rFonts w:ascii="Times New Roman" w:hAnsi="Times New Roman" w:cs="Times New Roman"/>
                <w:w w:val="105"/>
                <w:sz w:val="20"/>
                <w:szCs w:val="20"/>
              </w:rPr>
              <w:t>Dirigir</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los esfuerzos</w:t>
            </w:r>
            <w:r w:rsidRPr="00D61100">
              <w:rPr>
                <w:rFonts w:ascii="Times New Roman" w:hAnsi="Times New Roman" w:cs="Times New Roman"/>
                <w:spacing w:val="-17"/>
                <w:w w:val="105"/>
                <w:sz w:val="20"/>
                <w:szCs w:val="20"/>
              </w:rPr>
              <w:t xml:space="preserve"> </w:t>
            </w:r>
            <w:r w:rsidRPr="00D61100">
              <w:rPr>
                <w:rFonts w:ascii="Times New Roman" w:hAnsi="Times New Roman" w:cs="Times New Roman"/>
                <w:w w:val="105"/>
                <w:sz w:val="20"/>
                <w:szCs w:val="20"/>
              </w:rPr>
              <w:t>de</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las y los maestros</w:t>
            </w:r>
          </w:p>
          <w:p w14:paraId="33B2315C" w14:textId="13FAD16D"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y</w:t>
            </w:r>
            <w:r w:rsidRPr="00D61100">
              <w:rPr>
                <w:rFonts w:ascii="Times New Roman" w:hAnsi="Times New Roman" w:cs="Times New Roman"/>
                <w:spacing w:val="-2"/>
                <w:w w:val="105"/>
                <w:sz w:val="20"/>
                <w:szCs w:val="20"/>
              </w:rPr>
              <w:t xml:space="preserve"> </w:t>
            </w:r>
            <w:r w:rsidRPr="00D61100">
              <w:rPr>
                <w:rFonts w:ascii="Times New Roman" w:hAnsi="Times New Roman" w:cs="Times New Roman"/>
                <w:w w:val="105"/>
                <w:sz w:val="20"/>
                <w:szCs w:val="20"/>
              </w:rPr>
              <w:t xml:space="preserve">elevar los </w:t>
            </w:r>
            <w:r w:rsidRPr="00D61100">
              <w:rPr>
                <w:rFonts w:ascii="Times New Roman" w:hAnsi="Times New Roman" w:cs="Times New Roman"/>
                <w:sz w:val="20"/>
                <w:szCs w:val="20"/>
              </w:rPr>
              <w:t>rendimientos</w:t>
            </w:r>
            <w:r w:rsidRPr="00D61100">
              <w:rPr>
                <w:rFonts w:ascii="Times New Roman" w:hAnsi="Times New Roman" w:cs="Times New Roman"/>
                <w:spacing w:val="-14"/>
                <w:sz w:val="20"/>
                <w:szCs w:val="20"/>
              </w:rPr>
              <w:t xml:space="preserve"> </w:t>
            </w:r>
            <w:r w:rsidRPr="00D61100">
              <w:rPr>
                <w:rFonts w:ascii="Times New Roman" w:hAnsi="Times New Roman" w:cs="Times New Roman"/>
                <w:sz w:val="20"/>
                <w:szCs w:val="20"/>
              </w:rPr>
              <w:t xml:space="preserve">del </w:t>
            </w:r>
            <w:r w:rsidRPr="00D61100">
              <w:rPr>
                <w:rFonts w:ascii="Times New Roman" w:hAnsi="Times New Roman" w:cs="Times New Roman"/>
                <w:spacing w:val="-2"/>
                <w:w w:val="105"/>
                <w:sz w:val="20"/>
                <w:szCs w:val="20"/>
              </w:rPr>
              <w:t>alumnado.</w:t>
            </w:r>
          </w:p>
        </w:tc>
        <w:tc>
          <w:tcPr>
            <w:tcW w:w="1717" w:type="dxa"/>
          </w:tcPr>
          <w:p w14:paraId="561C5D4E" w14:textId="1840FDCB"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Diseñar</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programas de apoyo</w:t>
            </w:r>
            <w:r w:rsidRPr="00D61100">
              <w:rPr>
                <w:rFonts w:ascii="Times New Roman" w:hAnsi="Times New Roman" w:cs="Times New Roman"/>
                <w:spacing w:val="-1"/>
                <w:w w:val="105"/>
                <w:sz w:val="20"/>
                <w:szCs w:val="20"/>
              </w:rPr>
              <w:t xml:space="preserve"> </w:t>
            </w:r>
            <w:r w:rsidRPr="00D61100">
              <w:rPr>
                <w:rFonts w:ascii="Times New Roman" w:hAnsi="Times New Roman" w:cs="Times New Roman"/>
                <w:w w:val="105"/>
                <w:sz w:val="20"/>
                <w:szCs w:val="20"/>
              </w:rPr>
              <w:t xml:space="preserve">y </w:t>
            </w:r>
            <w:r w:rsidRPr="00D61100">
              <w:rPr>
                <w:rFonts w:ascii="Times New Roman" w:hAnsi="Times New Roman" w:cs="Times New Roman"/>
                <w:spacing w:val="-2"/>
                <w:w w:val="105"/>
                <w:sz w:val="20"/>
                <w:szCs w:val="20"/>
              </w:rPr>
              <w:t xml:space="preserve">seleccionar </w:t>
            </w:r>
            <w:r w:rsidRPr="00D61100">
              <w:rPr>
                <w:rFonts w:ascii="Times New Roman" w:hAnsi="Times New Roman" w:cs="Times New Roman"/>
                <w:w w:val="105"/>
                <w:sz w:val="20"/>
                <w:szCs w:val="20"/>
              </w:rPr>
              <w:t>escuelas</w:t>
            </w:r>
            <w:r w:rsidRPr="00D61100">
              <w:rPr>
                <w:rFonts w:ascii="Times New Roman" w:hAnsi="Times New Roman" w:cs="Times New Roman"/>
                <w:spacing w:val="-2"/>
                <w:w w:val="105"/>
                <w:sz w:val="20"/>
                <w:szCs w:val="20"/>
              </w:rPr>
              <w:t xml:space="preserve"> </w:t>
            </w:r>
            <w:r w:rsidRPr="00D61100">
              <w:rPr>
                <w:rFonts w:ascii="Times New Roman" w:hAnsi="Times New Roman" w:cs="Times New Roman"/>
                <w:w w:val="105"/>
                <w:sz w:val="20"/>
                <w:szCs w:val="20"/>
              </w:rPr>
              <w:t xml:space="preserve">o grupos </w:t>
            </w:r>
            <w:r w:rsidRPr="00D61100">
              <w:rPr>
                <w:rFonts w:ascii="Times New Roman" w:hAnsi="Times New Roman" w:cs="Times New Roman"/>
                <w:spacing w:val="-2"/>
                <w:w w:val="105"/>
                <w:sz w:val="20"/>
                <w:szCs w:val="20"/>
              </w:rPr>
              <w:t>de</w:t>
            </w:r>
            <w:r w:rsidRPr="00D61100">
              <w:rPr>
                <w:rFonts w:ascii="Times New Roman" w:hAnsi="Times New Roman" w:cs="Times New Roman"/>
                <w:spacing w:val="-18"/>
                <w:w w:val="105"/>
                <w:sz w:val="20"/>
                <w:szCs w:val="20"/>
              </w:rPr>
              <w:t xml:space="preserve"> </w:t>
            </w:r>
            <w:r w:rsidRPr="00D61100">
              <w:rPr>
                <w:rFonts w:ascii="Times New Roman" w:hAnsi="Times New Roman" w:cs="Times New Roman"/>
                <w:spacing w:val="-2"/>
                <w:w w:val="105"/>
                <w:sz w:val="20"/>
                <w:szCs w:val="20"/>
              </w:rPr>
              <w:t>estudiantes</w:t>
            </w:r>
            <w:r w:rsidRPr="00D61100">
              <w:rPr>
                <w:rFonts w:ascii="Times New Roman" w:hAnsi="Times New Roman" w:cs="Times New Roman"/>
                <w:spacing w:val="-13"/>
                <w:w w:val="105"/>
                <w:sz w:val="20"/>
                <w:szCs w:val="20"/>
              </w:rPr>
              <w:t xml:space="preserve"> </w:t>
            </w:r>
            <w:r w:rsidRPr="00D61100">
              <w:rPr>
                <w:rFonts w:ascii="Times New Roman" w:hAnsi="Times New Roman" w:cs="Times New Roman"/>
                <w:spacing w:val="-2"/>
                <w:w w:val="105"/>
                <w:sz w:val="20"/>
                <w:szCs w:val="20"/>
              </w:rPr>
              <w:t xml:space="preserve">para </w:t>
            </w:r>
            <w:r w:rsidRPr="00D61100">
              <w:rPr>
                <w:rFonts w:ascii="Times New Roman" w:hAnsi="Times New Roman" w:cs="Times New Roman"/>
                <w:w w:val="105"/>
                <w:sz w:val="20"/>
                <w:szCs w:val="20"/>
              </w:rPr>
              <w:t>participar</w:t>
            </w:r>
            <w:r w:rsidRPr="00D61100">
              <w:rPr>
                <w:rFonts w:ascii="Times New Roman" w:hAnsi="Times New Roman" w:cs="Times New Roman"/>
                <w:spacing w:val="-10"/>
                <w:w w:val="105"/>
                <w:sz w:val="20"/>
                <w:szCs w:val="20"/>
              </w:rPr>
              <w:t xml:space="preserve"> </w:t>
            </w:r>
            <w:r w:rsidRPr="00D61100">
              <w:rPr>
                <w:rFonts w:ascii="Times New Roman" w:hAnsi="Times New Roman" w:cs="Times New Roman"/>
                <w:w w:val="105"/>
                <w:sz w:val="20"/>
                <w:szCs w:val="20"/>
              </w:rPr>
              <w:t>en</w:t>
            </w:r>
            <w:r w:rsidRPr="00D61100">
              <w:rPr>
                <w:rFonts w:ascii="Times New Roman" w:hAnsi="Times New Roman" w:cs="Times New Roman"/>
                <w:spacing w:val="-10"/>
                <w:w w:val="105"/>
                <w:sz w:val="20"/>
                <w:szCs w:val="20"/>
              </w:rPr>
              <w:t xml:space="preserve"> </w:t>
            </w:r>
            <w:r w:rsidRPr="00D61100">
              <w:rPr>
                <w:rFonts w:ascii="Times New Roman" w:hAnsi="Times New Roman" w:cs="Times New Roman"/>
                <w:w w:val="105"/>
                <w:sz w:val="20"/>
                <w:szCs w:val="20"/>
              </w:rPr>
              <w:t>ellos.</w:t>
            </w:r>
          </w:p>
        </w:tc>
        <w:tc>
          <w:tcPr>
            <w:tcW w:w="2262" w:type="dxa"/>
          </w:tcPr>
          <w:p w14:paraId="19344CBC" w14:textId="10551B42" w:rsidR="00D61100" w:rsidRPr="00D61100" w:rsidRDefault="00D61100" w:rsidP="00D61100">
            <w:pPr>
              <w:jc w:val="both"/>
              <w:rPr>
                <w:rFonts w:ascii="Times New Roman" w:eastAsia="Times New Roman" w:hAnsi="Times New Roman" w:cs="Times New Roman"/>
                <w:sz w:val="20"/>
                <w:szCs w:val="20"/>
                <w:lang w:val="pt-BR"/>
              </w:rPr>
            </w:pPr>
            <w:r w:rsidRPr="00D61100">
              <w:rPr>
                <w:rFonts w:ascii="Times New Roman" w:hAnsi="Times New Roman" w:cs="Times New Roman"/>
                <w:spacing w:val="-2"/>
                <w:sz w:val="20"/>
                <w:szCs w:val="20"/>
              </w:rPr>
              <w:t xml:space="preserve">Focalizar </w:t>
            </w:r>
            <w:r w:rsidRPr="00D61100">
              <w:rPr>
                <w:rFonts w:ascii="Times New Roman" w:hAnsi="Times New Roman" w:cs="Times New Roman"/>
                <w:sz w:val="20"/>
                <w:szCs w:val="20"/>
              </w:rPr>
              <w:t>programas</w:t>
            </w:r>
            <w:r w:rsidRPr="00D61100">
              <w:rPr>
                <w:rFonts w:ascii="Times New Roman" w:hAnsi="Times New Roman" w:cs="Times New Roman"/>
                <w:spacing w:val="-14"/>
                <w:sz w:val="20"/>
                <w:szCs w:val="20"/>
              </w:rPr>
              <w:t xml:space="preserve"> </w:t>
            </w:r>
            <w:r w:rsidRPr="00D61100">
              <w:rPr>
                <w:rFonts w:ascii="Times New Roman" w:hAnsi="Times New Roman" w:cs="Times New Roman"/>
                <w:sz w:val="20"/>
                <w:szCs w:val="20"/>
              </w:rPr>
              <w:t xml:space="preserve">e </w:t>
            </w:r>
            <w:r w:rsidRPr="00D61100">
              <w:rPr>
                <w:rFonts w:ascii="Times New Roman" w:hAnsi="Times New Roman" w:cs="Times New Roman"/>
                <w:spacing w:val="-2"/>
                <w:sz w:val="20"/>
                <w:szCs w:val="20"/>
              </w:rPr>
              <w:t>intervenciones.</w:t>
            </w:r>
          </w:p>
        </w:tc>
        <w:tc>
          <w:tcPr>
            <w:tcW w:w="2819" w:type="dxa"/>
          </w:tcPr>
          <w:p w14:paraId="253D819C" w14:textId="2C036388"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sz w:val="20"/>
                <w:szCs w:val="20"/>
              </w:rPr>
              <w:t xml:space="preserve">Macronivel, </w:t>
            </w:r>
            <w:r w:rsidRPr="00D61100">
              <w:rPr>
                <w:rFonts w:ascii="Times New Roman" w:hAnsi="Times New Roman" w:cs="Times New Roman"/>
                <w:sz w:val="20"/>
                <w:szCs w:val="20"/>
              </w:rPr>
              <w:t>tarea</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de selección</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de escuelas</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y </w:t>
            </w:r>
            <w:r w:rsidRPr="00D61100">
              <w:rPr>
                <w:rFonts w:ascii="Times New Roman" w:hAnsi="Times New Roman" w:cs="Times New Roman"/>
                <w:spacing w:val="-2"/>
                <w:sz w:val="20"/>
                <w:szCs w:val="20"/>
              </w:rPr>
              <w:t xml:space="preserve">micronivel, </w:t>
            </w:r>
            <w:r w:rsidRPr="00D61100">
              <w:rPr>
                <w:rFonts w:ascii="Times New Roman" w:hAnsi="Times New Roman" w:cs="Times New Roman"/>
                <w:sz w:val="20"/>
                <w:szCs w:val="20"/>
              </w:rPr>
              <w:t>objeto</w:t>
            </w:r>
            <w:r w:rsidRPr="00D61100">
              <w:rPr>
                <w:rFonts w:ascii="Times New Roman" w:hAnsi="Times New Roman" w:cs="Times New Roman"/>
                <w:spacing w:val="-2"/>
                <w:sz w:val="20"/>
                <w:szCs w:val="20"/>
              </w:rPr>
              <w:t xml:space="preserve"> </w:t>
            </w:r>
            <w:r w:rsidRPr="00D61100">
              <w:rPr>
                <w:rFonts w:ascii="Times New Roman" w:hAnsi="Times New Roman" w:cs="Times New Roman"/>
                <w:sz w:val="20"/>
                <w:szCs w:val="20"/>
              </w:rPr>
              <w:t xml:space="preserve">de la </w:t>
            </w:r>
            <w:r w:rsidRPr="00D61100">
              <w:rPr>
                <w:rFonts w:ascii="Times New Roman" w:hAnsi="Times New Roman" w:cs="Times New Roman"/>
                <w:spacing w:val="-2"/>
                <w:sz w:val="20"/>
                <w:szCs w:val="20"/>
              </w:rPr>
              <w:t>intervención.</w:t>
            </w:r>
          </w:p>
        </w:tc>
      </w:tr>
      <w:tr w:rsidR="00D61100" w:rsidRPr="00D61100" w14:paraId="7BE5F8C3" w14:textId="77777777" w:rsidTr="00D61100">
        <w:tc>
          <w:tcPr>
            <w:tcW w:w="1696" w:type="dxa"/>
          </w:tcPr>
          <w:p w14:paraId="2672871C" w14:textId="77777777" w:rsidR="00D61100" w:rsidRPr="00D61100" w:rsidRDefault="00D61100" w:rsidP="00D61100">
            <w:pPr>
              <w:pStyle w:val="TableParagraph"/>
              <w:spacing w:before="110"/>
              <w:ind w:left="113" w:right="143"/>
              <w:rPr>
                <w:rFonts w:ascii="Times New Roman" w:hAnsi="Times New Roman" w:cs="Times New Roman"/>
                <w:sz w:val="20"/>
                <w:szCs w:val="20"/>
              </w:rPr>
            </w:pPr>
            <w:r w:rsidRPr="00D61100">
              <w:rPr>
                <w:rFonts w:ascii="Times New Roman" w:hAnsi="Times New Roman" w:cs="Times New Roman"/>
                <w:spacing w:val="-2"/>
                <w:w w:val="105"/>
                <w:sz w:val="20"/>
                <w:szCs w:val="20"/>
              </w:rPr>
              <w:t>Dar</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spacing w:val="-2"/>
                <w:w w:val="105"/>
                <w:sz w:val="20"/>
                <w:szCs w:val="20"/>
              </w:rPr>
              <w:t>seguimiento</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spacing w:val="-2"/>
                <w:w w:val="105"/>
                <w:sz w:val="20"/>
                <w:szCs w:val="20"/>
              </w:rPr>
              <w:t xml:space="preserve">a </w:t>
            </w:r>
            <w:r w:rsidRPr="00D61100">
              <w:rPr>
                <w:rFonts w:ascii="Times New Roman" w:hAnsi="Times New Roman" w:cs="Times New Roman"/>
                <w:w w:val="105"/>
                <w:sz w:val="20"/>
                <w:szCs w:val="20"/>
              </w:rPr>
              <w:t>los</w:t>
            </w:r>
            <w:r w:rsidRPr="00D61100">
              <w:rPr>
                <w:rFonts w:ascii="Times New Roman" w:hAnsi="Times New Roman" w:cs="Times New Roman"/>
                <w:spacing w:val="-17"/>
                <w:w w:val="105"/>
                <w:sz w:val="20"/>
                <w:szCs w:val="20"/>
              </w:rPr>
              <w:t xml:space="preserve"> </w:t>
            </w:r>
            <w:r w:rsidRPr="00D61100">
              <w:rPr>
                <w:rFonts w:ascii="Times New Roman" w:hAnsi="Times New Roman" w:cs="Times New Roman"/>
                <w:w w:val="105"/>
                <w:sz w:val="20"/>
                <w:szCs w:val="20"/>
              </w:rPr>
              <w:t>estándares.</w:t>
            </w:r>
          </w:p>
          <w:p w14:paraId="12B5F78B" w14:textId="77777777" w:rsidR="00D61100" w:rsidRPr="00D61100" w:rsidRDefault="00D61100" w:rsidP="00D61100">
            <w:pPr>
              <w:pStyle w:val="TableParagraph"/>
              <w:spacing w:before="5"/>
              <w:ind w:left="0"/>
              <w:rPr>
                <w:rFonts w:ascii="Times New Roman" w:hAnsi="Times New Roman" w:cs="Times New Roman"/>
                <w:sz w:val="20"/>
                <w:szCs w:val="20"/>
              </w:rPr>
            </w:pPr>
          </w:p>
          <w:p w14:paraId="3B9AF7B4" w14:textId="69E65614"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w w:val="105"/>
                <w:sz w:val="20"/>
                <w:szCs w:val="20"/>
              </w:rPr>
              <w:t>Introducir estándares realistas.</w:t>
            </w:r>
          </w:p>
        </w:tc>
        <w:tc>
          <w:tcPr>
            <w:tcW w:w="1717" w:type="dxa"/>
          </w:tcPr>
          <w:p w14:paraId="44811B27" w14:textId="77777777" w:rsidR="00D61100" w:rsidRPr="00D61100" w:rsidRDefault="00D61100" w:rsidP="00D61100">
            <w:pPr>
              <w:pStyle w:val="TableParagraph"/>
              <w:spacing w:before="110"/>
              <w:ind w:left="113"/>
              <w:rPr>
                <w:rFonts w:ascii="Times New Roman" w:hAnsi="Times New Roman" w:cs="Times New Roman"/>
                <w:sz w:val="20"/>
                <w:szCs w:val="20"/>
              </w:rPr>
            </w:pPr>
            <w:r w:rsidRPr="00D61100">
              <w:rPr>
                <w:rFonts w:ascii="Times New Roman" w:hAnsi="Times New Roman" w:cs="Times New Roman"/>
                <w:spacing w:val="-2"/>
                <w:w w:val="105"/>
                <w:sz w:val="20"/>
                <w:szCs w:val="20"/>
              </w:rPr>
              <w:t>Establecer</w:t>
            </w:r>
            <w:r w:rsidRPr="00D61100">
              <w:rPr>
                <w:rFonts w:ascii="Times New Roman" w:hAnsi="Times New Roman" w:cs="Times New Roman"/>
                <w:w w:val="105"/>
                <w:sz w:val="20"/>
                <w:szCs w:val="20"/>
              </w:rPr>
              <w:t xml:space="preserve"> </w:t>
            </w:r>
            <w:r w:rsidRPr="00D61100">
              <w:rPr>
                <w:rFonts w:ascii="Times New Roman" w:hAnsi="Times New Roman" w:cs="Times New Roman"/>
                <w:spacing w:val="-10"/>
                <w:w w:val="105"/>
                <w:sz w:val="20"/>
                <w:szCs w:val="20"/>
              </w:rPr>
              <w:t>o</w:t>
            </w:r>
          </w:p>
          <w:p w14:paraId="431D87B6" w14:textId="27FB7180"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revisar</w:t>
            </w:r>
            <w:r w:rsidRPr="00D61100">
              <w:rPr>
                <w:rFonts w:ascii="Times New Roman" w:hAnsi="Times New Roman" w:cs="Times New Roman"/>
                <w:spacing w:val="80"/>
                <w:w w:val="105"/>
                <w:sz w:val="20"/>
                <w:szCs w:val="20"/>
              </w:rPr>
              <w:t xml:space="preserve"> </w:t>
            </w:r>
            <w:r w:rsidRPr="00D61100">
              <w:rPr>
                <w:rFonts w:ascii="Times New Roman" w:hAnsi="Times New Roman" w:cs="Times New Roman"/>
                <w:w w:val="105"/>
                <w:sz w:val="20"/>
                <w:szCs w:val="20"/>
              </w:rPr>
              <w:t xml:space="preserve">estándares </w:t>
            </w:r>
            <w:r w:rsidRPr="00D61100">
              <w:rPr>
                <w:rFonts w:ascii="Times New Roman" w:hAnsi="Times New Roman" w:cs="Times New Roman"/>
                <w:spacing w:val="-2"/>
                <w:w w:val="105"/>
                <w:sz w:val="20"/>
                <w:szCs w:val="20"/>
              </w:rPr>
              <w:t>educativos.</w:t>
            </w:r>
          </w:p>
        </w:tc>
        <w:tc>
          <w:tcPr>
            <w:tcW w:w="2262" w:type="dxa"/>
          </w:tcPr>
          <w:p w14:paraId="5EEC2A5B" w14:textId="743DF62A"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z w:val="20"/>
                <w:szCs w:val="20"/>
              </w:rPr>
              <w:t>Orientar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la definición</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del currículo</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y </w:t>
            </w:r>
            <w:r w:rsidRPr="00D61100">
              <w:rPr>
                <w:rFonts w:ascii="Times New Roman" w:hAnsi="Times New Roman" w:cs="Times New Roman"/>
                <w:spacing w:val="-2"/>
                <w:sz w:val="20"/>
                <w:szCs w:val="20"/>
              </w:rPr>
              <w:t>materiales.</w:t>
            </w:r>
          </w:p>
        </w:tc>
        <w:tc>
          <w:tcPr>
            <w:tcW w:w="2819" w:type="dxa"/>
          </w:tcPr>
          <w:p w14:paraId="1C90D91D" w14:textId="0819B215"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sz w:val="20"/>
                <w:szCs w:val="20"/>
              </w:rPr>
              <w:t xml:space="preserve">Micronivel: docentes, </w:t>
            </w:r>
            <w:r w:rsidRPr="00D61100">
              <w:rPr>
                <w:rFonts w:ascii="Times New Roman" w:hAnsi="Times New Roman" w:cs="Times New Roman"/>
                <w:sz w:val="20"/>
                <w:szCs w:val="20"/>
              </w:rPr>
              <w:t>trabajo</w:t>
            </w:r>
            <w:r w:rsidRPr="00D61100">
              <w:rPr>
                <w:rFonts w:ascii="Times New Roman" w:hAnsi="Times New Roman" w:cs="Times New Roman"/>
                <w:spacing w:val="-15"/>
                <w:sz w:val="20"/>
                <w:szCs w:val="20"/>
              </w:rPr>
              <w:t xml:space="preserve"> </w:t>
            </w:r>
            <w:r w:rsidRPr="00D61100">
              <w:rPr>
                <w:rFonts w:ascii="Times New Roman" w:hAnsi="Times New Roman" w:cs="Times New Roman"/>
                <w:sz w:val="20"/>
                <w:szCs w:val="20"/>
              </w:rPr>
              <w:t>en</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el </w:t>
            </w:r>
            <w:r w:rsidRPr="00D61100">
              <w:rPr>
                <w:rFonts w:ascii="Times New Roman" w:hAnsi="Times New Roman" w:cs="Times New Roman"/>
                <w:spacing w:val="-2"/>
                <w:sz w:val="20"/>
                <w:szCs w:val="20"/>
              </w:rPr>
              <w:t>aula.</w:t>
            </w:r>
          </w:p>
        </w:tc>
      </w:tr>
      <w:tr w:rsidR="00D61100" w:rsidRPr="00D61100" w14:paraId="45FA39DF" w14:textId="77777777" w:rsidTr="00D61100">
        <w:tc>
          <w:tcPr>
            <w:tcW w:w="1696" w:type="dxa"/>
          </w:tcPr>
          <w:p w14:paraId="408538C4" w14:textId="0E0A49E2"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z w:val="20"/>
                <w:szCs w:val="20"/>
              </w:rPr>
              <w:t>Aumentar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la </w:t>
            </w:r>
            <w:r w:rsidRPr="00D61100">
              <w:rPr>
                <w:rFonts w:ascii="Times New Roman" w:hAnsi="Times New Roman" w:cs="Times New Roman"/>
                <w:spacing w:val="-2"/>
                <w:sz w:val="20"/>
                <w:szCs w:val="20"/>
              </w:rPr>
              <w:t>concientización pública</w:t>
            </w:r>
          </w:p>
        </w:tc>
        <w:tc>
          <w:tcPr>
            <w:tcW w:w="1717" w:type="dxa"/>
          </w:tcPr>
          <w:p w14:paraId="51DF8EA5" w14:textId="64EB67EE"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 xml:space="preserve">Elevar la conciencia ciudadana sobre los </w:t>
            </w:r>
            <w:r w:rsidRPr="00D61100">
              <w:rPr>
                <w:rFonts w:ascii="Times New Roman" w:hAnsi="Times New Roman" w:cs="Times New Roman"/>
                <w:sz w:val="20"/>
                <w:szCs w:val="20"/>
              </w:rPr>
              <w:t>retos</w:t>
            </w:r>
            <w:r w:rsidRPr="00D61100">
              <w:rPr>
                <w:rFonts w:ascii="Times New Roman" w:hAnsi="Times New Roman" w:cs="Times New Roman"/>
                <w:spacing w:val="-14"/>
                <w:sz w:val="20"/>
                <w:szCs w:val="20"/>
              </w:rPr>
              <w:t xml:space="preserve"> </w:t>
            </w:r>
            <w:r w:rsidRPr="00D61100">
              <w:rPr>
                <w:rFonts w:ascii="Times New Roman" w:hAnsi="Times New Roman" w:cs="Times New Roman"/>
                <w:sz w:val="20"/>
                <w:szCs w:val="20"/>
              </w:rPr>
              <w:t>de</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la</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educación.</w:t>
            </w:r>
          </w:p>
        </w:tc>
        <w:tc>
          <w:tcPr>
            <w:tcW w:w="2262" w:type="dxa"/>
          </w:tcPr>
          <w:p w14:paraId="087028CF" w14:textId="77777777" w:rsidR="00D61100" w:rsidRPr="00D61100" w:rsidRDefault="00D61100" w:rsidP="00D61100">
            <w:pPr>
              <w:jc w:val="both"/>
              <w:rPr>
                <w:rFonts w:ascii="Times New Roman" w:eastAsia="Times New Roman" w:hAnsi="Times New Roman" w:cs="Times New Roman"/>
                <w:sz w:val="20"/>
                <w:szCs w:val="20"/>
              </w:rPr>
            </w:pPr>
          </w:p>
        </w:tc>
        <w:tc>
          <w:tcPr>
            <w:tcW w:w="2819" w:type="dxa"/>
          </w:tcPr>
          <w:p w14:paraId="3F62A254" w14:textId="35FF0CF9" w:rsidR="00D61100" w:rsidRPr="00D61100" w:rsidRDefault="00D61100" w:rsidP="00D61100">
            <w:pPr>
              <w:rPr>
                <w:rFonts w:ascii="Times New Roman" w:eastAsia="Times New Roman" w:hAnsi="Times New Roman" w:cs="Times New Roman"/>
                <w:sz w:val="20"/>
                <w:szCs w:val="20"/>
              </w:rPr>
            </w:pPr>
            <w:r w:rsidRPr="00D61100">
              <w:rPr>
                <w:rFonts w:ascii="Times New Roman" w:hAnsi="Times New Roman" w:cs="Times New Roman"/>
                <w:spacing w:val="-2"/>
                <w:sz w:val="20"/>
                <w:szCs w:val="20"/>
              </w:rPr>
              <w:t>Macronivel: sociedad, ciudadanía, investigadores, legislaturas.</w:t>
            </w:r>
          </w:p>
        </w:tc>
      </w:tr>
      <w:tr w:rsidR="00D61100" w:rsidRPr="00D61100" w14:paraId="51093195" w14:textId="77777777" w:rsidTr="00D61100">
        <w:tc>
          <w:tcPr>
            <w:tcW w:w="1696" w:type="dxa"/>
            <w:vMerge w:val="restart"/>
          </w:tcPr>
          <w:p w14:paraId="52096CB9" w14:textId="3BC116E1"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pacing w:val="-2"/>
                <w:w w:val="105"/>
                <w:sz w:val="20"/>
                <w:szCs w:val="20"/>
              </w:rPr>
              <w:t xml:space="preserve">Promover </w:t>
            </w:r>
            <w:r w:rsidRPr="00D61100">
              <w:rPr>
                <w:rFonts w:ascii="Times New Roman" w:hAnsi="Times New Roman" w:cs="Times New Roman"/>
                <w:spacing w:val="-2"/>
                <w:sz w:val="20"/>
                <w:szCs w:val="20"/>
              </w:rPr>
              <w:t>responsabilidad</w:t>
            </w:r>
          </w:p>
        </w:tc>
        <w:tc>
          <w:tcPr>
            <w:tcW w:w="1717" w:type="dxa"/>
          </w:tcPr>
          <w:p w14:paraId="4E9CE4B3" w14:textId="12091609"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Promover</w:t>
            </w:r>
            <w:r w:rsidRPr="00D61100">
              <w:rPr>
                <w:rFonts w:ascii="Times New Roman" w:hAnsi="Times New Roman" w:cs="Times New Roman"/>
                <w:spacing w:val="-14"/>
                <w:w w:val="105"/>
                <w:sz w:val="20"/>
                <w:szCs w:val="20"/>
              </w:rPr>
              <w:t xml:space="preserve"> </w:t>
            </w:r>
            <w:r w:rsidRPr="00D61100">
              <w:rPr>
                <w:rFonts w:ascii="Times New Roman" w:hAnsi="Times New Roman" w:cs="Times New Roman"/>
                <w:w w:val="105"/>
                <w:sz w:val="20"/>
                <w:szCs w:val="20"/>
              </w:rPr>
              <w:t xml:space="preserve">la </w:t>
            </w:r>
            <w:r w:rsidRPr="00D61100">
              <w:rPr>
                <w:rFonts w:ascii="Times New Roman" w:hAnsi="Times New Roman" w:cs="Times New Roman"/>
                <w:spacing w:val="-2"/>
                <w:sz w:val="20"/>
                <w:szCs w:val="20"/>
              </w:rPr>
              <w:t>responsabilización.</w:t>
            </w:r>
          </w:p>
        </w:tc>
        <w:tc>
          <w:tcPr>
            <w:tcW w:w="2262" w:type="dxa"/>
          </w:tcPr>
          <w:p w14:paraId="019F2067" w14:textId="77777777" w:rsidR="00D61100" w:rsidRDefault="00D61100" w:rsidP="00D61100">
            <w:pPr>
              <w:pStyle w:val="TableParagraph"/>
              <w:spacing w:before="107"/>
              <w:ind w:left="0" w:right="137"/>
              <w:rPr>
                <w:rFonts w:ascii="Times New Roman" w:hAnsi="Times New Roman" w:cs="Times New Roman"/>
                <w:w w:val="105"/>
                <w:sz w:val="20"/>
                <w:szCs w:val="20"/>
              </w:rPr>
            </w:pPr>
            <w:r w:rsidRPr="00D61100">
              <w:rPr>
                <w:rFonts w:ascii="Times New Roman" w:hAnsi="Times New Roman" w:cs="Times New Roman"/>
                <w:w w:val="105"/>
                <w:sz w:val="20"/>
                <w:szCs w:val="20"/>
              </w:rPr>
              <w:t>Clasificar</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 xml:space="preserve">o </w:t>
            </w:r>
            <w:r w:rsidRPr="00D61100">
              <w:rPr>
                <w:rFonts w:ascii="Times New Roman" w:hAnsi="Times New Roman" w:cs="Times New Roman"/>
                <w:sz w:val="20"/>
                <w:szCs w:val="20"/>
              </w:rPr>
              <w:t>generar</w:t>
            </w:r>
            <w:r w:rsidRPr="00D61100">
              <w:rPr>
                <w:rFonts w:ascii="Times New Roman" w:hAnsi="Times New Roman" w:cs="Times New Roman"/>
                <w:spacing w:val="-8"/>
                <w:sz w:val="20"/>
                <w:szCs w:val="20"/>
              </w:rPr>
              <w:t xml:space="preserve"> </w:t>
            </w:r>
            <w:r w:rsidRPr="00D61100">
              <w:rPr>
                <w:rFonts w:ascii="Times New Roman" w:hAnsi="Times New Roman" w:cs="Times New Roman"/>
                <w:sz w:val="20"/>
                <w:szCs w:val="20"/>
              </w:rPr>
              <w:t>un</w:t>
            </w:r>
            <w:r w:rsidRPr="00D61100">
              <w:rPr>
                <w:rFonts w:ascii="Times New Roman" w:hAnsi="Times New Roman" w:cs="Times New Roman"/>
                <w:spacing w:val="-8"/>
                <w:sz w:val="20"/>
                <w:szCs w:val="20"/>
              </w:rPr>
              <w:t xml:space="preserve"> </w:t>
            </w:r>
            <w:r w:rsidRPr="00D61100">
              <w:rPr>
                <w:rFonts w:ascii="Times New Roman" w:hAnsi="Times New Roman" w:cs="Times New Roman"/>
                <w:i/>
                <w:sz w:val="20"/>
                <w:szCs w:val="20"/>
              </w:rPr>
              <w:t xml:space="preserve">ranking </w:t>
            </w:r>
            <w:r w:rsidRPr="00D61100">
              <w:rPr>
                <w:rFonts w:ascii="Times New Roman" w:hAnsi="Times New Roman" w:cs="Times New Roman"/>
                <w:w w:val="105"/>
                <w:sz w:val="20"/>
                <w:szCs w:val="20"/>
              </w:rPr>
              <w:t>de</w:t>
            </w:r>
            <w:r w:rsidRPr="00D61100">
              <w:rPr>
                <w:rFonts w:ascii="Times New Roman" w:hAnsi="Times New Roman" w:cs="Times New Roman"/>
                <w:spacing w:val="-18"/>
                <w:w w:val="105"/>
                <w:sz w:val="20"/>
                <w:szCs w:val="20"/>
              </w:rPr>
              <w:t xml:space="preserve"> </w:t>
            </w:r>
            <w:r w:rsidRPr="00D61100">
              <w:rPr>
                <w:rFonts w:ascii="Times New Roman" w:hAnsi="Times New Roman" w:cs="Times New Roman"/>
                <w:w w:val="105"/>
                <w:sz w:val="20"/>
                <w:szCs w:val="20"/>
              </w:rPr>
              <w:t>escuelas.</w:t>
            </w:r>
          </w:p>
          <w:p w14:paraId="0A5DFC9D" w14:textId="77777777" w:rsidR="00D61100" w:rsidRPr="00D61100" w:rsidRDefault="00D61100" w:rsidP="00D61100">
            <w:pPr>
              <w:pStyle w:val="TableParagraph"/>
              <w:spacing w:before="107"/>
              <w:ind w:left="0" w:right="137"/>
              <w:rPr>
                <w:rFonts w:ascii="Times New Roman" w:hAnsi="Times New Roman" w:cs="Times New Roman"/>
                <w:sz w:val="20"/>
                <w:szCs w:val="20"/>
              </w:rPr>
            </w:pPr>
          </w:p>
          <w:p w14:paraId="73FE8BA7" w14:textId="50AACDAF"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z w:val="20"/>
                <w:szCs w:val="20"/>
              </w:rPr>
              <w:t>Evaluar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o incentivar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al equipo</w:t>
            </w:r>
            <w:r w:rsidRPr="00D61100">
              <w:rPr>
                <w:rFonts w:ascii="Times New Roman" w:hAnsi="Times New Roman" w:cs="Times New Roman"/>
                <w:spacing w:val="-15"/>
                <w:sz w:val="20"/>
                <w:szCs w:val="20"/>
              </w:rPr>
              <w:t xml:space="preserve"> </w:t>
            </w:r>
            <w:r w:rsidRPr="00D61100">
              <w:rPr>
                <w:rFonts w:ascii="Times New Roman" w:hAnsi="Times New Roman" w:cs="Times New Roman"/>
                <w:sz w:val="20"/>
                <w:szCs w:val="20"/>
              </w:rPr>
              <w:t>docente.</w:t>
            </w:r>
          </w:p>
        </w:tc>
        <w:tc>
          <w:tcPr>
            <w:tcW w:w="2819" w:type="dxa"/>
          </w:tcPr>
          <w:p w14:paraId="2C6E3FCD" w14:textId="77777777" w:rsidR="00D61100" w:rsidRDefault="00D61100" w:rsidP="00D61100">
            <w:pPr>
              <w:rPr>
                <w:rFonts w:ascii="Times New Roman" w:eastAsia="Times New Roman" w:hAnsi="Times New Roman" w:cs="Times New Roman"/>
                <w:sz w:val="20"/>
                <w:szCs w:val="20"/>
              </w:rPr>
            </w:pPr>
          </w:p>
          <w:p w14:paraId="074083B3" w14:textId="571A08E6" w:rsidR="00D61100" w:rsidRPr="00D61100" w:rsidRDefault="00D61100" w:rsidP="00D61100">
            <w:pPr>
              <w:rPr>
                <w:rFonts w:ascii="Times New Roman" w:eastAsia="Times New Roman" w:hAnsi="Times New Roman" w:cs="Times New Roman"/>
                <w:sz w:val="20"/>
                <w:szCs w:val="20"/>
              </w:rPr>
            </w:pPr>
            <w:r w:rsidRPr="00D61100">
              <w:rPr>
                <w:rFonts w:ascii="Times New Roman" w:hAnsi="Times New Roman" w:cs="Times New Roman"/>
                <w:spacing w:val="-2"/>
                <w:sz w:val="20"/>
                <w:szCs w:val="20"/>
              </w:rPr>
              <w:t xml:space="preserve">Macronivel, </w:t>
            </w:r>
            <w:r w:rsidRPr="00D61100">
              <w:rPr>
                <w:rFonts w:ascii="Times New Roman" w:hAnsi="Times New Roman" w:cs="Times New Roman"/>
                <w:sz w:val="20"/>
                <w:szCs w:val="20"/>
              </w:rPr>
              <w:t>tarea</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de </w:t>
            </w:r>
            <w:r>
              <w:rPr>
                <w:rFonts w:ascii="Times New Roman" w:hAnsi="Times New Roman" w:cs="Times New Roman"/>
                <w:sz w:val="20"/>
                <w:szCs w:val="20"/>
              </w:rPr>
              <w:t xml:space="preserve">control o intervención sobre las </w:t>
            </w:r>
            <w:r w:rsidRPr="00D61100">
              <w:rPr>
                <w:rFonts w:ascii="Times New Roman" w:hAnsi="Times New Roman" w:cs="Times New Roman"/>
                <w:sz w:val="20"/>
                <w:szCs w:val="20"/>
              </w:rPr>
              <w:t>escuelas</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y </w:t>
            </w:r>
            <w:r w:rsidRPr="00D61100">
              <w:rPr>
                <w:rFonts w:ascii="Times New Roman" w:hAnsi="Times New Roman" w:cs="Times New Roman"/>
                <w:spacing w:val="-2"/>
                <w:sz w:val="20"/>
                <w:szCs w:val="20"/>
              </w:rPr>
              <w:t xml:space="preserve">micronivel, </w:t>
            </w:r>
            <w:r>
              <w:rPr>
                <w:rFonts w:ascii="Times New Roman" w:hAnsi="Times New Roman" w:cs="Times New Roman"/>
                <w:spacing w:val="-2"/>
                <w:sz w:val="20"/>
                <w:szCs w:val="20"/>
              </w:rPr>
              <w:t>intervención sobre equipos docentes</w:t>
            </w:r>
          </w:p>
        </w:tc>
      </w:tr>
      <w:tr w:rsidR="00D61100" w:rsidRPr="00D61100" w14:paraId="5819C438" w14:textId="77777777" w:rsidTr="00D61100">
        <w:tc>
          <w:tcPr>
            <w:tcW w:w="1696" w:type="dxa"/>
            <w:vMerge/>
          </w:tcPr>
          <w:p w14:paraId="2E330C5C" w14:textId="77777777" w:rsidR="00D61100" w:rsidRPr="00D61100" w:rsidRDefault="00D61100" w:rsidP="00D61100">
            <w:pPr>
              <w:jc w:val="both"/>
              <w:rPr>
                <w:rFonts w:ascii="Times New Roman" w:eastAsia="Times New Roman" w:hAnsi="Times New Roman" w:cs="Times New Roman"/>
                <w:sz w:val="20"/>
                <w:szCs w:val="20"/>
              </w:rPr>
            </w:pPr>
          </w:p>
        </w:tc>
        <w:tc>
          <w:tcPr>
            <w:tcW w:w="1717" w:type="dxa"/>
          </w:tcPr>
          <w:p w14:paraId="776DE362" w14:textId="43A18A3E"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Mejorar</w:t>
            </w:r>
            <w:r w:rsidRPr="00D61100">
              <w:rPr>
                <w:rFonts w:ascii="Times New Roman" w:hAnsi="Times New Roman" w:cs="Times New Roman"/>
                <w:spacing w:val="-8"/>
                <w:w w:val="105"/>
                <w:sz w:val="20"/>
                <w:szCs w:val="20"/>
              </w:rPr>
              <w:t xml:space="preserve"> </w:t>
            </w:r>
            <w:r w:rsidRPr="00D61100">
              <w:rPr>
                <w:rFonts w:ascii="Times New Roman" w:hAnsi="Times New Roman" w:cs="Times New Roman"/>
                <w:w w:val="105"/>
                <w:sz w:val="20"/>
                <w:szCs w:val="20"/>
              </w:rPr>
              <w:t>la</w:t>
            </w:r>
            <w:r w:rsidRPr="00D61100">
              <w:rPr>
                <w:rFonts w:ascii="Times New Roman" w:hAnsi="Times New Roman" w:cs="Times New Roman"/>
                <w:spacing w:val="-8"/>
                <w:w w:val="105"/>
                <w:sz w:val="20"/>
                <w:szCs w:val="20"/>
              </w:rPr>
              <w:t xml:space="preserve"> </w:t>
            </w:r>
            <w:r w:rsidRPr="00D61100">
              <w:rPr>
                <w:rFonts w:ascii="Times New Roman" w:hAnsi="Times New Roman" w:cs="Times New Roman"/>
                <w:w w:val="105"/>
                <w:sz w:val="20"/>
                <w:szCs w:val="20"/>
              </w:rPr>
              <w:t>gestión pedagógica</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w w:val="105"/>
                <w:sz w:val="20"/>
                <w:szCs w:val="20"/>
              </w:rPr>
              <w:t xml:space="preserve">e </w:t>
            </w:r>
            <w:r w:rsidRPr="00D61100">
              <w:rPr>
                <w:rFonts w:ascii="Times New Roman" w:hAnsi="Times New Roman" w:cs="Times New Roman"/>
                <w:spacing w:val="-2"/>
                <w:w w:val="105"/>
                <w:sz w:val="20"/>
                <w:szCs w:val="20"/>
              </w:rPr>
              <w:t>institucional</w:t>
            </w:r>
            <w:r w:rsidRPr="00D61100">
              <w:rPr>
                <w:rFonts w:ascii="Times New Roman" w:hAnsi="Times New Roman" w:cs="Times New Roman"/>
                <w:spacing w:val="-16"/>
                <w:w w:val="105"/>
                <w:sz w:val="20"/>
                <w:szCs w:val="20"/>
              </w:rPr>
              <w:t xml:space="preserve"> </w:t>
            </w:r>
            <w:r w:rsidRPr="00D61100">
              <w:rPr>
                <w:rFonts w:ascii="Times New Roman" w:hAnsi="Times New Roman" w:cs="Times New Roman"/>
                <w:spacing w:val="-2"/>
                <w:w w:val="105"/>
                <w:sz w:val="20"/>
                <w:szCs w:val="20"/>
              </w:rPr>
              <w:t>en</w:t>
            </w:r>
            <w:r w:rsidRPr="00D61100">
              <w:rPr>
                <w:rFonts w:ascii="Times New Roman" w:hAnsi="Times New Roman" w:cs="Times New Roman"/>
                <w:spacing w:val="-13"/>
                <w:w w:val="105"/>
                <w:sz w:val="20"/>
                <w:szCs w:val="20"/>
              </w:rPr>
              <w:t xml:space="preserve"> </w:t>
            </w:r>
            <w:r w:rsidRPr="00D61100">
              <w:rPr>
                <w:rFonts w:ascii="Times New Roman" w:hAnsi="Times New Roman" w:cs="Times New Roman"/>
                <w:spacing w:val="-2"/>
                <w:w w:val="105"/>
                <w:sz w:val="20"/>
                <w:szCs w:val="20"/>
              </w:rPr>
              <w:t xml:space="preserve">las </w:t>
            </w:r>
            <w:r w:rsidRPr="00D61100">
              <w:rPr>
                <w:rFonts w:ascii="Times New Roman" w:hAnsi="Times New Roman" w:cs="Times New Roman"/>
                <w:w w:val="105"/>
                <w:sz w:val="20"/>
                <w:szCs w:val="20"/>
              </w:rPr>
              <w:t>escuelas</w:t>
            </w:r>
            <w:r w:rsidRPr="00D61100">
              <w:rPr>
                <w:rFonts w:ascii="Times New Roman" w:hAnsi="Times New Roman" w:cs="Times New Roman"/>
                <w:spacing w:val="-2"/>
                <w:w w:val="105"/>
                <w:sz w:val="20"/>
                <w:szCs w:val="20"/>
              </w:rPr>
              <w:t xml:space="preserve"> </w:t>
            </w:r>
            <w:r w:rsidRPr="00D61100">
              <w:rPr>
                <w:rFonts w:ascii="Times New Roman" w:hAnsi="Times New Roman" w:cs="Times New Roman"/>
                <w:w w:val="105"/>
                <w:sz w:val="20"/>
                <w:szCs w:val="20"/>
              </w:rPr>
              <w:t xml:space="preserve">o áreas </w:t>
            </w:r>
            <w:r w:rsidRPr="00D61100">
              <w:rPr>
                <w:rFonts w:ascii="Times New Roman" w:hAnsi="Times New Roman" w:cs="Times New Roman"/>
                <w:spacing w:val="-2"/>
                <w:w w:val="105"/>
                <w:sz w:val="20"/>
                <w:szCs w:val="20"/>
              </w:rPr>
              <w:t>escolares.</w:t>
            </w:r>
          </w:p>
        </w:tc>
        <w:tc>
          <w:tcPr>
            <w:tcW w:w="2262" w:type="dxa"/>
          </w:tcPr>
          <w:p w14:paraId="4DB92F1F" w14:textId="77777777" w:rsidR="00D61100" w:rsidRPr="00D61100" w:rsidRDefault="00D61100" w:rsidP="00D61100">
            <w:pPr>
              <w:jc w:val="both"/>
              <w:rPr>
                <w:rFonts w:ascii="Times New Roman" w:eastAsia="Times New Roman" w:hAnsi="Times New Roman" w:cs="Times New Roman"/>
                <w:sz w:val="20"/>
                <w:szCs w:val="20"/>
              </w:rPr>
            </w:pPr>
          </w:p>
        </w:tc>
        <w:tc>
          <w:tcPr>
            <w:tcW w:w="2819" w:type="dxa"/>
          </w:tcPr>
          <w:p w14:paraId="5451904D" w14:textId="782A0189" w:rsidR="00D61100" w:rsidRPr="00D61100" w:rsidRDefault="00D61100" w:rsidP="00D61100">
            <w:pPr>
              <w:rPr>
                <w:rFonts w:ascii="Times New Roman" w:eastAsia="Times New Roman" w:hAnsi="Times New Roman" w:cs="Times New Roman"/>
                <w:sz w:val="20"/>
                <w:szCs w:val="20"/>
              </w:rPr>
            </w:pPr>
            <w:r>
              <w:rPr>
                <w:rFonts w:ascii="Times New Roman" w:hAnsi="Times New Roman" w:cs="Times New Roman"/>
                <w:spacing w:val="-2"/>
                <w:sz w:val="20"/>
                <w:szCs w:val="20"/>
              </w:rPr>
              <w:t>M</w:t>
            </w:r>
            <w:r w:rsidRPr="00D61100">
              <w:rPr>
                <w:rFonts w:ascii="Times New Roman" w:hAnsi="Times New Roman" w:cs="Times New Roman"/>
                <w:spacing w:val="-2"/>
                <w:sz w:val="20"/>
                <w:szCs w:val="20"/>
              </w:rPr>
              <w:t xml:space="preserve">icronivel, </w:t>
            </w:r>
            <w:r>
              <w:rPr>
                <w:rFonts w:ascii="Times New Roman" w:hAnsi="Times New Roman" w:cs="Times New Roman"/>
                <w:spacing w:val="-2"/>
                <w:sz w:val="20"/>
                <w:szCs w:val="20"/>
              </w:rPr>
              <w:t>intervención sobre equipos docentes</w:t>
            </w:r>
          </w:p>
        </w:tc>
      </w:tr>
      <w:tr w:rsidR="00D61100" w:rsidRPr="00D61100" w14:paraId="440F6914" w14:textId="77777777" w:rsidTr="00D61100">
        <w:tc>
          <w:tcPr>
            <w:tcW w:w="1696" w:type="dxa"/>
          </w:tcPr>
          <w:p w14:paraId="6F8987E9" w14:textId="27413F65"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sz w:val="20"/>
                <w:szCs w:val="20"/>
              </w:rPr>
              <w:t>Aumentar</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 xml:space="preserve">la </w:t>
            </w:r>
            <w:r w:rsidRPr="00D61100">
              <w:rPr>
                <w:rFonts w:ascii="Times New Roman" w:hAnsi="Times New Roman" w:cs="Times New Roman"/>
                <w:spacing w:val="-2"/>
                <w:sz w:val="20"/>
                <w:szCs w:val="20"/>
              </w:rPr>
              <w:t>concientización pública.</w:t>
            </w:r>
          </w:p>
        </w:tc>
        <w:tc>
          <w:tcPr>
            <w:tcW w:w="1717" w:type="dxa"/>
          </w:tcPr>
          <w:p w14:paraId="0A2FE13F" w14:textId="0D29DB7D" w:rsidR="00D61100" w:rsidRPr="00D61100" w:rsidRDefault="00D61100" w:rsidP="00D61100">
            <w:pPr>
              <w:jc w:val="both"/>
              <w:rPr>
                <w:rFonts w:ascii="Times New Roman" w:eastAsia="Times New Roman" w:hAnsi="Times New Roman" w:cs="Times New Roman"/>
                <w:sz w:val="20"/>
                <w:szCs w:val="20"/>
              </w:rPr>
            </w:pPr>
            <w:r w:rsidRPr="00D61100">
              <w:rPr>
                <w:rFonts w:ascii="Times New Roman" w:hAnsi="Times New Roman" w:cs="Times New Roman"/>
                <w:w w:val="105"/>
                <w:sz w:val="20"/>
                <w:szCs w:val="20"/>
              </w:rPr>
              <w:t xml:space="preserve">Elevar la conciencia ciudadana sobre los </w:t>
            </w:r>
            <w:r w:rsidRPr="00D61100">
              <w:rPr>
                <w:rFonts w:ascii="Times New Roman" w:hAnsi="Times New Roman" w:cs="Times New Roman"/>
                <w:sz w:val="20"/>
                <w:szCs w:val="20"/>
              </w:rPr>
              <w:t>retos</w:t>
            </w:r>
            <w:r w:rsidRPr="00D61100">
              <w:rPr>
                <w:rFonts w:ascii="Times New Roman" w:hAnsi="Times New Roman" w:cs="Times New Roman"/>
                <w:spacing w:val="-14"/>
                <w:sz w:val="20"/>
                <w:szCs w:val="20"/>
              </w:rPr>
              <w:t xml:space="preserve"> </w:t>
            </w:r>
            <w:r w:rsidRPr="00D61100">
              <w:rPr>
                <w:rFonts w:ascii="Times New Roman" w:hAnsi="Times New Roman" w:cs="Times New Roman"/>
                <w:sz w:val="20"/>
                <w:szCs w:val="20"/>
              </w:rPr>
              <w:t>de</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la</w:t>
            </w:r>
            <w:r w:rsidRPr="00D61100">
              <w:rPr>
                <w:rFonts w:ascii="Times New Roman" w:hAnsi="Times New Roman" w:cs="Times New Roman"/>
                <w:spacing w:val="-13"/>
                <w:sz w:val="20"/>
                <w:szCs w:val="20"/>
              </w:rPr>
              <w:t xml:space="preserve"> </w:t>
            </w:r>
            <w:r w:rsidRPr="00D61100">
              <w:rPr>
                <w:rFonts w:ascii="Times New Roman" w:hAnsi="Times New Roman" w:cs="Times New Roman"/>
                <w:sz w:val="20"/>
                <w:szCs w:val="20"/>
              </w:rPr>
              <w:t>educación.</w:t>
            </w:r>
          </w:p>
        </w:tc>
        <w:tc>
          <w:tcPr>
            <w:tcW w:w="2262" w:type="dxa"/>
          </w:tcPr>
          <w:p w14:paraId="69E0DB11" w14:textId="77777777" w:rsidR="00D61100" w:rsidRPr="00D61100" w:rsidRDefault="00D61100" w:rsidP="00D61100">
            <w:pPr>
              <w:jc w:val="both"/>
              <w:rPr>
                <w:rFonts w:ascii="Times New Roman" w:eastAsia="Times New Roman" w:hAnsi="Times New Roman" w:cs="Times New Roman"/>
                <w:sz w:val="20"/>
                <w:szCs w:val="20"/>
              </w:rPr>
            </w:pPr>
          </w:p>
        </w:tc>
        <w:tc>
          <w:tcPr>
            <w:tcW w:w="2819" w:type="dxa"/>
          </w:tcPr>
          <w:p w14:paraId="72410951" w14:textId="19D5FD10" w:rsidR="00D61100" w:rsidRPr="00D61100" w:rsidRDefault="00D61100" w:rsidP="00D61100">
            <w:pPr>
              <w:rPr>
                <w:rFonts w:ascii="Times New Roman" w:eastAsia="Times New Roman" w:hAnsi="Times New Roman" w:cs="Times New Roman"/>
                <w:sz w:val="20"/>
                <w:szCs w:val="20"/>
              </w:rPr>
            </w:pPr>
            <w:r w:rsidRPr="00D61100">
              <w:rPr>
                <w:rFonts w:ascii="Times New Roman" w:hAnsi="Times New Roman" w:cs="Times New Roman"/>
                <w:spacing w:val="-2"/>
                <w:sz w:val="20"/>
                <w:szCs w:val="20"/>
              </w:rPr>
              <w:t>Macronivel: sociedad, ciudadanía, investigadores, legislaturas.</w:t>
            </w:r>
          </w:p>
        </w:tc>
      </w:tr>
    </w:tbl>
    <w:p w14:paraId="6CE1D467" w14:textId="24F72902" w:rsidR="00D61100" w:rsidRPr="00D61100" w:rsidRDefault="00D61100">
      <w:pPr>
        <w:spacing w:after="0" w:line="360" w:lineRule="auto"/>
        <w:jc w:val="both"/>
        <w:rPr>
          <w:rFonts w:ascii="Times New Roman" w:eastAsia="Times New Roman" w:hAnsi="Times New Roman" w:cs="Times New Roman"/>
          <w:sz w:val="20"/>
          <w:szCs w:val="20"/>
          <w:lang w:val="pt-BR"/>
        </w:rPr>
      </w:pPr>
      <w:r w:rsidRPr="00D61100">
        <w:rPr>
          <w:rFonts w:ascii="Times New Roman" w:eastAsia="Times New Roman" w:hAnsi="Times New Roman" w:cs="Times New Roman"/>
          <w:sz w:val="20"/>
          <w:szCs w:val="20"/>
          <w:lang w:val="pt-BR"/>
        </w:rPr>
        <w:t>Fuente: Montes (2021), páginas 71 a 73.</w:t>
      </w:r>
    </w:p>
    <w:p w14:paraId="2B0F32D9" w14:textId="77777777" w:rsidR="001C5BFD" w:rsidRPr="009358B5" w:rsidRDefault="001C5BFD">
      <w:pPr>
        <w:spacing w:after="0" w:line="360" w:lineRule="auto"/>
        <w:jc w:val="both"/>
        <w:rPr>
          <w:rFonts w:ascii="Times New Roman" w:eastAsia="Times New Roman" w:hAnsi="Times New Roman" w:cs="Times New Roman"/>
          <w:sz w:val="24"/>
          <w:szCs w:val="24"/>
          <w:lang w:val="pt-BR"/>
        </w:rPr>
      </w:pPr>
    </w:p>
    <w:p w14:paraId="0AD886E2" w14:textId="624AF53A" w:rsidR="001C5BFD" w:rsidRDefault="0075397E">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otra parte, los informes también abordaron aspectos relativos a los modelos y la trama institucional que enmarca los operativos de evaluación. </w:t>
      </w:r>
      <w:r w:rsidR="00407F94">
        <w:rPr>
          <w:rFonts w:ascii="Times New Roman" w:eastAsia="Times New Roman" w:hAnsi="Times New Roman" w:cs="Times New Roman"/>
          <w:sz w:val="24"/>
          <w:szCs w:val="24"/>
        </w:rPr>
        <w:t xml:space="preserve">Algunos de los países bajo </w:t>
      </w:r>
      <w:r w:rsidR="00407F94">
        <w:rPr>
          <w:rFonts w:ascii="Times New Roman" w:eastAsia="Times New Roman" w:hAnsi="Times New Roman" w:cs="Times New Roman"/>
          <w:sz w:val="24"/>
          <w:szCs w:val="24"/>
        </w:rPr>
        <w:lastRenderedPageBreak/>
        <w:t xml:space="preserve">análisis, en particular aquellos que tienen modelos de “altas consecuencias” (Chile y Brasil, por ejemplo) cuentan con estructuras institucionales y equipos técnicos estabilizados en el tiempo y muchas de las iniciativas están organizadas a partir de planes nacionales y planificaciones plurianuales. Por esa razón, para el caso Argentina, luego de verificar cierta discontinuidad en torno a los usos que los propios equipos ministeriales hicieron de los resultados y a la divulgación </w:t>
      </w:r>
      <w:r w:rsidR="00407F94">
        <w:rPr>
          <w:rFonts w:ascii="Times New Roman" w:eastAsia="Times New Roman" w:hAnsi="Times New Roman" w:cs="Times New Roman"/>
          <w:sz w:val="24"/>
          <w:szCs w:val="24"/>
        </w:rPr>
        <w:t>de sus resultados (Scandell, 2016), se formuló una recomendación que recoge la necesidad de contar con otros tipos de instrumentos o dinámicas para garantizar la gobernanza de estos sistemas de evaluación, si bien al momento de realización del proyecto (año 2020) se puso en funcionamiento el Consejo Nacional de calidad de la educación (cuya existencia fue prevista en la LEN), se formuló un Plan Nacional de Evaluación, se contaba con recursos para la implementación de las acciones previstas (en los presupues</w:t>
      </w:r>
      <w:r w:rsidR="00407F94">
        <w:rPr>
          <w:rFonts w:ascii="Times New Roman" w:eastAsia="Times New Roman" w:hAnsi="Times New Roman" w:cs="Times New Roman"/>
          <w:sz w:val="24"/>
          <w:szCs w:val="24"/>
        </w:rPr>
        <w:t xml:space="preserve">tos nacionales de esos años las partidas destinadas a evaluación y formación docente eran las más importantes, luego de los recursos destinados a las universidades) y se mantenía la convocatoria a las mesas federales de evaluación, ámbito en el que participan todos los equipos provinciales para acordar y organizar junto a los equipos nacionales los operativos previstos. </w:t>
      </w:r>
    </w:p>
    <w:p w14:paraId="2FBB559C"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0D007EB" w14:textId="1855C5D6"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Qué efectos produjo la agenda propuesta por el Consejo Nacional de Calidad de la educación en la ampliación de usos (incluidos aquellos específicos orientados a la toma de decisiones o a la divulgación de resultados) y qué contribuyeron a consolidar la aprobación de Planes plurianuales de evaluación en términos de </w:t>
      </w:r>
      <w:r w:rsidR="0075397E">
        <w:rPr>
          <w:rFonts w:ascii="Times New Roman" w:eastAsia="Times New Roman" w:hAnsi="Times New Roman" w:cs="Times New Roman"/>
          <w:sz w:val="24"/>
          <w:szCs w:val="24"/>
        </w:rPr>
        <w:t xml:space="preserve">consolidación de los dispositivos y utilidad de los resultados, también es algo pendiente de análisis que organizará nuevas agendas de investigación. </w:t>
      </w:r>
    </w:p>
    <w:p w14:paraId="07CC9416"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p>
    <w:p w14:paraId="4E59B35C" w14:textId="77777777" w:rsidR="001C5BFD" w:rsidRPr="00D61100" w:rsidRDefault="00407F94" w:rsidP="00D61100">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D61100">
        <w:rPr>
          <w:rFonts w:ascii="Times New Roman" w:eastAsia="Times New Roman" w:hAnsi="Times New Roman" w:cs="Times New Roman"/>
          <w:b/>
          <w:bCs/>
          <w:sz w:val="24"/>
          <w:szCs w:val="24"/>
        </w:rPr>
        <w:t>Discusión</w:t>
      </w:r>
      <w:r w:rsidRPr="00D61100">
        <w:rPr>
          <w:rFonts w:ascii="Times New Roman" w:eastAsia="Times New Roman" w:hAnsi="Times New Roman" w:cs="Times New Roman"/>
          <w:b/>
          <w:bCs/>
          <w:sz w:val="24"/>
          <w:szCs w:val="24"/>
        </w:rPr>
        <w:t>:</w:t>
      </w:r>
      <w:r w:rsidRPr="00D61100">
        <w:rPr>
          <w:rFonts w:ascii="Times New Roman" w:eastAsia="Times New Roman" w:hAnsi="Times New Roman" w:cs="Times New Roman"/>
          <w:b/>
          <w:bCs/>
          <w:color w:val="3B3838"/>
          <w:sz w:val="24"/>
          <w:szCs w:val="24"/>
        </w:rPr>
        <w:t xml:space="preserve"> </w:t>
      </w:r>
    </w:p>
    <w:p w14:paraId="3103AF9A" w14:textId="77777777" w:rsidR="001C5BFD" w:rsidRDefault="00407F94">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 los objetivos de los trabajos aquí presentados, de la línea argumental y de la hipótesis propuesta en torno a los usos de los resultados de las evaluaciones </w:t>
      </w:r>
      <w:r>
        <w:rPr>
          <w:rFonts w:ascii="Times New Roman" w:eastAsia="Times New Roman" w:hAnsi="Times New Roman" w:cs="Times New Roman"/>
          <w:sz w:val="24"/>
          <w:szCs w:val="24"/>
        </w:rPr>
        <w:lastRenderedPageBreak/>
        <w:t>estandarizadas de desempeños de los y las estudiantes que en los últimos años han tenido mayor pregnancia en el contexto local, se propone ampliar los intercambios a partir de los siguientes interrogantes y afirmaciones:</w:t>
      </w:r>
    </w:p>
    <w:p w14:paraId="75747159"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F2D4B56" w14:textId="77777777" w:rsidR="001C5BFD" w:rsidRDefault="00407F94">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¿Existen evidencias en la Argentina de los últimos años que permitan afirmar que la posición impugnatoria sobre las evaluaciones estandarizadas ha tenido poco efecto dada la sostenibilidad en el tiempo de los operativos, la expansión de la producción de conocimiento que hace uso de estos recursos de información y los modos en que algunas provincias han orientado sus políticas de mejora considerando estos resultados?</w:t>
      </w:r>
    </w:p>
    <w:p w14:paraId="57AFDA36"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10533DC2" w14:textId="77777777" w:rsidR="001C5BFD" w:rsidRDefault="00407F94">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¿Cómo incidieron actores externos a las gestiones de gobierno en la consolidación y reorientación de los operativos y en la ampliación de la información disponibilizada? ¿Hubo o hay una “demanda social o sectorial” por la mejora de la educación y de los aprendizajes que valida estos instrumentos? </w:t>
      </w:r>
    </w:p>
    <w:p w14:paraId="647503C8"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781EF45B" w14:textId="77777777" w:rsidR="001C5BFD" w:rsidRDefault="00407F94">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¿Qué tipos de aportes realizan a la investigación y al análisis el uso de tipologías? </w:t>
      </w:r>
    </w:p>
    <w:p w14:paraId="56914C0E" w14:textId="77777777" w:rsidR="001C5BFD" w:rsidRDefault="001C5BFD">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1F1F9ED0" w14:textId="77777777" w:rsidR="001C5BFD" w:rsidRDefault="00407F94">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qué peso estos debates o análisis tienen presencia en la agenda de la investigación académica en la Argentina? </w:t>
      </w:r>
    </w:p>
    <w:p w14:paraId="1B1C505B" w14:textId="77777777" w:rsidR="001C5BFD" w:rsidRDefault="001C5BFD">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4EBB36A" w14:textId="4BFF8B64" w:rsidR="001C5BFD" w:rsidRDefault="00407F94" w:rsidP="002A0E99">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Referencias bibliográficas: </w:t>
      </w:r>
    </w:p>
    <w:p w14:paraId="214EBA95"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Aguilar Villanueva, L. F. (2013). </w:t>
      </w:r>
      <w:r>
        <w:rPr>
          <w:rFonts w:ascii="Times New Roman" w:eastAsia="Times New Roman" w:hAnsi="Times New Roman" w:cs="Times New Roman"/>
          <w:i/>
          <w:iCs/>
          <w:color w:val="1F1F1F"/>
          <w:sz w:val="24"/>
          <w:szCs w:val="24"/>
        </w:rPr>
        <w:t>Gobernanza y gestión pública</w:t>
      </w:r>
      <w:r>
        <w:rPr>
          <w:rFonts w:ascii="Times New Roman" w:eastAsia="Times New Roman" w:hAnsi="Times New Roman" w:cs="Times New Roman"/>
          <w:color w:val="1F1F1F"/>
          <w:sz w:val="24"/>
          <w:szCs w:val="24"/>
        </w:rPr>
        <w:t xml:space="preserve"> (5.ª ed.). Fondo de Cultura Económica.</w:t>
      </w:r>
    </w:p>
    <w:p w14:paraId="6458AE22"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Arias Ortiz, E., Dueñas, X., Giambruno, C., &amp; López, Á. (2024). El estado de la educación en América Latina y el Caribe 2024: la medición de los aprendizajes. Banco Interamericano de Desarrollo.</w:t>
      </w:r>
    </w:p>
    <w:p w14:paraId="48F390D9" w14:textId="4308B6B0" w:rsidR="005A596E" w:rsidRDefault="005A596E">
      <w:pPr>
        <w:spacing w:after="0" w:line="360" w:lineRule="auto"/>
        <w:jc w:val="both"/>
        <w:rPr>
          <w:rFonts w:ascii="Times New Roman" w:eastAsia="Times New Roman" w:hAnsi="Times New Roman" w:cs="Times New Roman"/>
          <w:color w:val="1F1F1F"/>
          <w:sz w:val="24"/>
          <w:szCs w:val="24"/>
        </w:rPr>
      </w:pPr>
      <w:r w:rsidRPr="005A596E">
        <w:rPr>
          <w:rFonts w:ascii="Times New Roman" w:eastAsia="Times New Roman" w:hAnsi="Times New Roman" w:cs="Times New Roman"/>
          <w:color w:val="1F1F1F"/>
          <w:sz w:val="24"/>
          <w:szCs w:val="24"/>
        </w:rPr>
        <w:lastRenderedPageBreak/>
        <w:t>Arregui, P. (2008). Uso de los resultados de evaluaciones educativas a gran escala en América Latina. Documento del Grupo de Trabajo sobre Estándares y Evaluación del PREAL.</w:t>
      </w:r>
    </w:p>
    <w:p w14:paraId="391D3D8C" w14:textId="43EF288D"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Banco Mundial. (2022). La crisis de aprendizaje en América Latina y el Caribe y la pandemia del COVID-19: Resultados para reflexionar sobre una tendencia que se profundiza.</w:t>
      </w:r>
    </w:p>
    <w:p w14:paraId="1F5BBD8D" w14:textId="5398D2DF" w:rsidR="005A596E" w:rsidRPr="005A596E" w:rsidRDefault="005A596E">
      <w:pPr>
        <w:spacing w:after="0" w:line="360" w:lineRule="auto"/>
        <w:jc w:val="both"/>
        <w:rPr>
          <w:rFonts w:ascii="Times New Roman" w:eastAsia="Times New Roman" w:hAnsi="Times New Roman" w:cs="Times New Roman"/>
          <w:color w:val="1F1F1F"/>
          <w:sz w:val="24"/>
          <w:szCs w:val="24"/>
          <w:lang w:val="es-ES"/>
        </w:rPr>
      </w:pPr>
      <w:r w:rsidRPr="005A596E">
        <w:rPr>
          <w:rFonts w:ascii="Times New Roman" w:eastAsia="Times New Roman" w:hAnsi="Times New Roman" w:cs="Times New Roman"/>
          <w:color w:val="1F1F1F"/>
          <w:sz w:val="24"/>
          <w:szCs w:val="24"/>
        </w:rPr>
        <w:t>Galas Taboada, C. (2020). Uso de resultados de las pruebas de aprendizaje en el diseño de las políticas educativas en América Latina.</w:t>
      </w:r>
    </w:p>
    <w:p w14:paraId="31CEEC9E" w14:textId="29E3B321"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Ganimian, A., Nistal, M. &amp; Saenz Guillén, L. (2024). Uso de pruebas estandarizadas para la mejora continua. Observatorio de Argentinos por la Educación.</w:t>
      </w:r>
    </w:p>
    <w:p w14:paraId="4804812A" w14:textId="39792AAE" w:rsidR="005A596E" w:rsidRPr="005A596E" w:rsidRDefault="005A596E" w:rsidP="005A596E">
      <w:pPr>
        <w:spacing w:after="0" w:line="360" w:lineRule="auto"/>
        <w:jc w:val="both"/>
        <w:rPr>
          <w:rFonts w:ascii="Times New Roman" w:eastAsia="Times New Roman" w:hAnsi="Times New Roman" w:cs="Times New Roman"/>
          <w:color w:val="1F1F1F"/>
          <w:sz w:val="24"/>
          <w:szCs w:val="24"/>
        </w:rPr>
      </w:pPr>
      <w:r w:rsidRPr="005A596E">
        <w:rPr>
          <w:rFonts w:ascii="Times New Roman" w:eastAsia="Times New Roman" w:hAnsi="Times New Roman" w:cs="Times New Roman"/>
          <w:color w:val="1F1F1F"/>
          <w:sz w:val="24"/>
          <w:szCs w:val="24"/>
        </w:rPr>
        <w:t>Kellaghan, T. (1997). Seguimiento de los resultados educati-vos nacionales. En Álvarez, H. B. y Ruiz-Casares, M., Evaluación y reforma educativa: opciones de política. ABEL/PREAL/U.S. Agency for International Development.</w:t>
      </w:r>
    </w:p>
    <w:p w14:paraId="6A582B2F" w14:textId="549AD471"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Marradi, A., Archenti, N., &amp; Piovani, J. I. (2007). </w:t>
      </w:r>
      <w:r>
        <w:rPr>
          <w:rFonts w:ascii="Times New Roman" w:eastAsia="Times New Roman" w:hAnsi="Times New Roman" w:cs="Times New Roman"/>
          <w:i/>
          <w:iCs/>
          <w:color w:val="1F1F1F"/>
          <w:sz w:val="24"/>
          <w:szCs w:val="24"/>
        </w:rPr>
        <w:t>Metodología de las ciencias sociales</w:t>
      </w:r>
      <w:r>
        <w:rPr>
          <w:rFonts w:ascii="Times New Roman" w:eastAsia="Times New Roman" w:hAnsi="Times New Roman" w:cs="Times New Roman"/>
          <w:color w:val="1F1F1F"/>
          <w:sz w:val="24"/>
          <w:szCs w:val="24"/>
        </w:rPr>
        <w:t>. Emecé Editores.</w:t>
      </w:r>
    </w:p>
    <w:p w14:paraId="537D9658"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Llach, J. J. (2020). ¿Cuáles son los organismos responsables de la evaluación educativa en los países de la región? Observatorio Argentinos por la Educación. </w:t>
      </w:r>
    </w:p>
    <w:p w14:paraId="13FD99DE"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Montes, N. (2021). </w:t>
      </w:r>
      <w:r>
        <w:rPr>
          <w:rFonts w:ascii="Times New Roman" w:eastAsia="Times New Roman" w:hAnsi="Times New Roman" w:cs="Times New Roman"/>
          <w:i/>
          <w:iCs/>
          <w:color w:val="1F1F1F"/>
          <w:sz w:val="24"/>
          <w:szCs w:val="24"/>
        </w:rPr>
        <w:t>El uso de los resultados de las pruebas de evaluación de los aprendizajes en el planeamiento de las políticas educativas en Argentina. Informe nacional</w:t>
      </w:r>
      <w:r>
        <w:rPr>
          <w:rFonts w:ascii="Times New Roman" w:eastAsia="Times New Roman" w:hAnsi="Times New Roman" w:cs="Times New Roman"/>
          <w:color w:val="1F1F1F"/>
          <w:sz w:val="24"/>
          <w:szCs w:val="24"/>
        </w:rPr>
        <w:t>. IIPE UNESCO.</w:t>
      </w:r>
    </w:p>
    <w:p w14:paraId="0304A2B5"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OEI-UNICEF (2024). Adolescentes, jóvenes y educación secundaria.</w:t>
      </w:r>
    </w:p>
    <w:p w14:paraId="63E2B10D"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Perusia, J. C., &amp; Xanthopoulos, J. (2024). </w:t>
      </w:r>
      <w:r>
        <w:rPr>
          <w:rFonts w:ascii="Times New Roman" w:eastAsia="Times New Roman" w:hAnsi="Times New Roman" w:cs="Times New Roman"/>
          <w:i/>
          <w:iCs/>
          <w:color w:val="1F1F1F"/>
          <w:sz w:val="24"/>
          <w:szCs w:val="24"/>
        </w:rPr>
        <w:t>El diseño de sistemas provinciales efectivos de evaluación de aprendizajes en Argentina</w:t>
      </w:r>
      <w:r>
        <w:rPr>
          <w:rFonts w:ascii="Times New Roman" w:eastAsia="Times New Roman" w:hAnsi="Times New Roman" w:cs="Times New Roman"/>
          <w:color w:val="1F1F1F"/>
          <w:sz w:val="24"/>
          <w:szCs w:val="24"/>
        </w:rPr>
        <w:t xml:space="preserve"> (Documento de Políticas Públicas Nº 247). CIPPEC.</w:t>
      </w:r>
    </w:p>
    <w:p w14:paraId="0AAF1B84"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Perusia, J. C., &amp; Xanthopoulos, J. (2025). Usos escolares de los resultados de las evaluaciones nacionales educativas a gran escala  (Documento de Políticas Públicas Nº 252). CIPPEC.</w:t>
      </w:r>
    </w:p>
    <w:p w14:paraId="7ABF4E9F"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 xml:space="preserve">Pinkasz, D. (2021). </w:t>
      </w:r>
      <w:r>
        <w:rPr>
          <w:rFonts w:ascii="Times New Roman" w:eastAsia="Times New Roman" w:hAnsi="Times New Roman" w:cs="Times New Roman"/>
          <w:i/>
          <w:iCs/>
          <w:color w:val="1F1F1F"/>
          <w:sz w:val="24"/>
          <w:szCs w:val="24"/>
        </w:rPr>
        <w:t>El uso de los resultados de las pruebas de evaluación de los aprendizajes en el planeamiento de las políticas educativas en seis países de la región. Informe regional</w:t>
      </w:r>
      <w:r>
        <w:rPr>
          <w:rFonts w:ascii="Times New Roman" w:eastAsia="Times New Roman" w:hAnsi="Times New Roman" w:cs="Times New Roman"/>
          <w:color w:val="1F1F1F"/>
          <w:sz w:val="24"/>
          <w:szCs w:val="24"/>
        </w:rPr>
        <w:t>. IIPE UNESCO.</w:t>
      </w:r>
    </w:p>
    <w:p w14:paraId="18382865"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Pinkasz, D. (2022). El uso de los resultados de las pruebas de evaluación de aprendizajes en el planeamiento de las políticas educativas: los casos de seis países de la región. </w:t>
      </w:r>
      <w:r>
        <w:rPr>
          <w:rFonts w:ascii="Times New Roman" w:eastAsia="Times New Roman" w:hAnsi="Times New Roman" w:cs="Times New Roman"/>
          <w:i/>
          <w:iCs/>
          <w:color w:val="1F1F1F"/>
          <w:sz w:val="24"/>
          <w:szCs w:val="24"/>
        </w:rPr>
        <w:t>Foro Regional de Políticas Educativas</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i/>
          <w:iCs/>
          <w:color w:val="1F1F1F"/>
          <w:sz w:val="24"/>
          <w:szCs w:val="24"/>
        </w:rPr>
        <w:t>5</w:t>
      </w:r>
      <w:r>
        <w:rPr>
          <w:rFonts w:ascii="Times New Roman" w:eastAsia="Times New Roman" w:hAnsi="Times New Roman" w:cs="Times New Roman"/>
          <w:color w:val="1F1F1F"/>
          <w:sz w:val="24"/>
          <w:szCs w:val="24"/>
        </w:rPr>
        <w:t>. IIPE UNESCO.</w:t>
      </w:r>
    </w:p>
    <w:p w14:paraId="3D725D45"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Ravela, P. (2001). </w:t>
      </w:r>
      <w:r>
        <w:rPr>
          <w:rFonts w:ascii="Times New Roman" w:eastAsia="Times New Roman" w:hAnsi="Times New Roman" w:cs="Times New Roman"/>
          <w:i/>
          <w:iCs/>
          <w:color w:val="1F1F1F"/>
          <w:sz w:val="24"/>
          <w:szCs w:val="24"/>
        </w:rPr>
        <w:t>¿Cómo presentan sus resultados los Sistemas Nacionales de Evaluación Educativa en América Latina?</w:t>
      </w:r>
      <w:r>
        <w:rPr>
          <w:rFonts w:ascii="Times New Roman" w:eastAsia="Times New Roman" w:hAnsi="Times New Roman" w:cs="Times New Roman"/>
          <w:color w:val="1F1F1F"/>
          <w:sz w:val="24"/>
          <w:szCs w:val="24"/>
        </w:rPr>
        <w:t xml:space="preserve"> PREAL.</w:t>
      </w:r>
    </w:p>
    <w:p w14:paraId="6770EAD8"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Rivas, A. (2015). América Latina después de PISA, Centro de Implementación de Políticas Públicas para la Equidad y el Crecimiento (CIPPEC), Natura e Instituto Natura. </w:t>
      </w:r>
    </w:p>
    <w:p w14:paraId="71EE44F2"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Secretaría de Evaluación e Información Educativa. (2023). Dispositivos de evaluación de aprendizajes de estudiantes: experiencias jurisdiccionales. Ministerio de Educación de la Nación.</w:t>
      </w:r>
    </w:p>
    <w:p w14:paraId="5CD7E801"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Scandell, S. (2016). Operativos Nacionales de Evaluación: su incidencia en el proceso de toma de decisiones en el Ministerio de Educación Nacional (2010-2015). Tesis de maestría en Administración Pública. Facultad de Ciencias Económicas, Universidad de Buenos Aires.</w:t>
      </w:r>
    </w:p>
    <w:p w14:paraId="61EC6460"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Torre, Perusia y Xanthopoulos, 2023. Hacia una política nacional de evaluación educativa a gran escala al servicio de la mejora de los aprendizajes (Documento de Política Pública N° 244). CIPPEC.</w:t>
      </w:r>
    </w:p>
    <w:p w14:paraId="44D393F0" w14:textId="77777777" w:rsidR="001C5BFD" w:rsidRDefault="00407F94">
      <w:pPr>
        <w:spacing w:after="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UNESCO. (2013). La crisis mundial del aprendizaje: por qué todos los niños merecen una educación de buena calidad. </w:t>
      </w:r>
    </w:p>
    <w:sectPr w:rsidR="001C5BFD">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76A2" w14:textId="77777777" w:rsidR="00407F94" w:rsidRDefault="00407F94">
      <w:pPr>
        <w:spacing w:after="0" w:line="240" w:lineRule="auto"/>
      </w:pPr>
      <w:r>
        <w:separator/>
      </w:r>
    </w:p>
  </w:endnote>
  <w:endnote w:type="continuationSeparator" w:id="0">
    <w:p w14:paraId="45CFAC75" w14:textId="77777777" w:rsidR="00407F94" w:rsidRDefault="0040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959FB92A-5E91-4C5D-8370-DCBC25EAF3B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5B1B390-076C-4526-BF0A-6B801E034D2B}"/>
    <w:embedBold r:id="rId3" w:fontKey="{105CA428-E652-4578-A2D3-2AF4F1E4B6BA}"/>
    <w:embedBoldItalic r:id="rId4" w:fontKey="{50748840-B12D-45D6-979A-FD6305E07CA9}"/>
  </w:font>
  <w:font w:name="Georgia">
    <w:panose1 w:val="02040502050405020303"/>
    <w:charset w:val="00"/>
    <w:family w:val="roman"/>
    <w:pitch w:val="variable"/>
    <w:sig w:usb0="00000287" w:usb1="00000000" w:usb2="00000000" w:usb3="00000000" w:csb0="0000009F" w:csb1="00000000"/>
    <w:embedItalic r:id="rId5" w:fontKey="{6BD251E5-E88C-47EA-AB64-0F830C8D81DD}"/>
  </w:font>
  <w:font w:name="Cambria">
    <w:panose1 w:val="02040503050406030204"/>
    <w:charset w:val="00"/>
    <w:family w:val="roman"/>
    <w:pitch w:val="variable"/>
    <w:sig w:usb0="E00006FF" w:usb1="420024FF" w:usb2="02000000" w:usb3="00000000" w:csb0="0000019F" w:csb1="00000000"/>
    <w:embedRegular r:id="rId6" w:fontKey="{E5FF4FFF-8FAE-412E-B4BC-7E0E8253AD7A}"/>
  </w:font>
  <w:font w:name="Trebuchet MS">
    <w:panose1 w:val="020B0603020202020204"/>
    <w:charset w:val="00"/>
    <w:family w:val="swiss"/>
    <w:pitch w:val="variable"/>
    <w:sig w:usb0="00000687" w:usb1="00000000" w:usb2="00000000" w:usb3="00000000" w:csb0="0000009F" w:csb1="00000000"/>
    <w:embedRegular r:id="rId7" w:fontKey="{A4850C0E-3C02-4BDA-BB4A-B5E72AD09EC2}"/>
    <w:embedItalic r:id="rId8" w:fontKey="{A967A948-6196-40BB-BC66-DD7C8EEA20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42D7" w14:textId="77777777" w:rsidR="001C5BFD" w:rsidRDefault="001C5BFD">
    <w:pPr>
      <w:pBdr>
        <w:top w:val="nil"/>
        <w:left w:val="nil"/>
        <w:bottom w:val="nil"/>
        <w:right w:val="nil"/>
        <w:between w:val="nil"/>
      </w:pBdr>
      <w:tabs>
        <w:tab w:val="center" w:pos="4252"/>
        <w:tab w:val="right" w:pos="8504"/>
      </w:tabs>
      <w:spacing w:after="0" w:line="240" w:lineRule="auto"/>
      <w:jc w:val="right"/>
      <w:rPr>
        <w:color w:val="000000"/>
      </w:rPr>
    </w:pPr>
  </w:p>
  <w:p w14:paraId="20CDFA7D" w14:textId="77777777" w:rsidR="001C5BFD" w:rsidRDefault="00407F94">
    <w:r>
      <w:t xml:space="preserve">  </w:t>
    </w:r>
  </w:p>
  <w:p w14:paraId="190F52B9" w14:textId="77777777" w:rsidR="001C5BFD" w:rsidRDefault="001C5BFD"/>
  <w:p w14:paraId="7BE5375B" w14:textId="77777777" w:rsidR="001C5BFD" w:rsidRDefault="001C5BFD"/>
  <w:p w14:paraId="23898816" w14:textId="77777777" w:rsidR="001C5BFD" w:rsidRDefault="001C5BFD"/>
  <w:p w14:paraId="6E36685D" w14:textId="77777777" w:rsidR="001C5BFD" w:rsidRDefault="001C5BF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3CD3" w14:textId="77777777" w:rsidR="00407F94" w:rsidRDefault="00407F94">
      <w:pPr>
        <w:spacing w:after="0" w:line="240" w:lineRule="auto"/>
      </w:pPr>
      <w:r>
        <w:separator/>
      </w:r>
    </w:p>
  </w:footnote>
  <w:footnote w:type="continuationSeparator" w:id="0">
    <w:p w14:paraId="3670178E" w14:textId="77777777" w:rsidR="00407F94" w:rsidRDefault="00407F94">
      <w:pPr>
        <w:spacing w:after="0" w:line="240" w:lineRule="auto"/>
      </w:pPr>
      <w:r>
        <w:continuationSeparator/>
      </w:r>
    </w:p>
  </w:footnote>
  <w:footnote w:id="1">
    <w:p w14:paraId="10A9A262" w14:textId="77777777" w:rsidR="001C5BFD" w:rsidRDefault="00407F94">
      <w:pPr>
        <w:spacing w:after="0" w:line="240" w:lineRule="auto"/>
        <w:rPr>
          <w:sz w:val="20"/>
          <w:szCs w:val="20"/>
        </w:rPr>
      </w:pPr>
      <w:r>
        <w:rPr>
          <w:vertAlign w:val="superscript"/>
        </w:rPr>
        <w:footnoteRef/>
      </w:r>
      <w:r>
        <w:rPr>
          <w:sz w:val="20"/>
          <w:szCs w:val="20"/>
        </w:rPr>
        <w:t xml:space="preserve"> Para ampliar, ver  </w:t>
      </w:r>
      <w:hyperlink r:id="rId1">
        <w:r>
          <w:rPr>
            <w:color w:val="1155CC"/>
            <w:sz w:val="20"/>
            <w:szCs w:val="20"/>
            <w:u w:val="single"/>
          </w:rPr>
          <w:t>¿Qué pasó con la muestra argentina de PISA 2015? - Chequeado</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B80D" w14:textId="77777777" w:rsidR="001C5BFD" w:rsidRDefault="00407F94">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0D94831F" wp14:editId="1576FBE1">
          <wp:extent cx="1305317" cy="868020"/>
          <wp:effectExtent l="0" t="0" r="0" b="0"/>
          <wp:docPr id="1"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5317" cy="868020"/>
                  </a:xfrm>
                  <a:prstGeom prst="rect">
                    <a:avLst/>
                  </a:prstGeom>
                  <a:ln/>
                </pic:spPr>
              </pic:pic>
            </a:graphicData>
          </a:graphic>
        </wp:inline>
      </w:drawing>
    </w:r>
  </w:p>
  <w:p w14:paraId="12829BB9" w14:textId="77777777" w:rsidR="001C5BFD" w:rsidRDefault="001C5BFD">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8C1"/>
    <w:multiLevelType w:val="multilevel"/>
    <w:tmpl w:val="EFA8BB7A"/>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0C95764"/>
    <w:multiLevelType w:val="multilevel"/>
    <w:tmpl w:val="E272F2A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E5B36"/>
    <w:multiLevelType w:val="multilevel"/>
    <w:tmpl w:val="CFBCF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02127A"/>
    <w:multiLevelType w:val="multilevel"/>
    <w:tmpl w:val="AF642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226B09"/>
    <w:multiLevelType w:val="multilevel"/>
    <w:tmpl w:val="2B8E6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7990670">
    <w:abstractNumId w:val="3"/>
  </w:num>
  <w:num w:numId="2" w16cid:durableId="385223118">
    <w:abstractNumId w:val="1"/>
  </w:num>
  <w:num w:numId="3" w16cid:durableId="518854269">
    <w:abstractNumId w:val="4"/>
  </w:num>
  <w:num w:numId="4" w16cid:durableId="80221155">
    <w:abstractNumId w:val="0"/>
  </w:num>
  <w:num w:numId="5" w16cid:durableId="1573006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FD"/>
    <w:rsid w:val="001C5BFD"/>
    <w:rsid w:val="002A0E99"/>
    <w:rsid w:val="00407F94"/>
    <w:rsid w:val="005A596E"/>
    <w:rsid w:val="005D2BA0"/>
    <w:rsid w:val="005F1C68"/>
    <w:rsid w:val="0075397E"/>
    <w:rsid w:val="009358B5"/>
    <w:rsid w:val="00D611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5CC7"/>
  <w15:docId w15:val="{AC6B92D1-3CA3-4AB3-B56B-1AA35342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75397E"/>
    <w:pPr>
      <w:ind w:left="720"/>
      <w:contextualSpacing/>
    </w:pPr>
  </w:style>
  <w:style w:type="table" w:customStyle="1" w:styleId="TableNormal0">
    <w:name w:val="Table Normal"/>
    <w:uiPriority w:val="2"/>
    <w:semiHidden/>
    <w:unhideWhenUsed/>
    <w:qFormat/>
    <w:rsid w:val="005F1C68"/>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F1C68"/>
    <w:pPr>
      <w:widowControl w:val="0"/>
      <w:autoSpaceDE w:val="0"/>
      <w:autoSpaceDN w:val="0"/>
      <w:spacing w:before="82" w:after="0" w:line="240" w:lineRule="auto"/>
      <w:ind w:left="84"/>
    </w:pPr>
    <w:rPr>
      <w:rFonts w:ascii="Trebuchet MS" w:eastAsia="Trebuchet MS" w:hAnsi="Trebuchet MS" w:cs="Trebuchet MS"/>
      <w:lang w:val="es-ES" w:eastAsia="en-US"/>
    </w:rPr>
  </w:style>
  <w:style w:type="table" w:styleId="Tablaconcuadrcula">
    <w:name w:val="Table Grid"/>
    <w:basedOn w:val="Tablanormal"/>
    <w:uiPriority w:val="39"/>
    <w:rsid w:val="00935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5A596E"/>
    <w:pPr>
      <w:widowControl w:val="0"/>
      <w:autoSpaceDE w:val="0"/>
      <w:autoSpaceDN w:val="0"/>
      <w:spacing w:after="0" w:line="240" w:lineRule="auto"/>
    </w:pPr>
    <w:rPr>
      <w:rFonts w:ascii="Trebuchet MS" w:eastAsia="Trebuchet MS" w:hAnsi="Trebuchet MS" w:cs="Trebuchet MS"/>
      <w:sz w:val="20"/>
      <w:szCs w:val="20"/>
      <w:lang w:val="es-ES" w:eastAsia="en-US"/>
    </w:rPr>
  </w:style>
  <w:style w:type="character" w:customStyle="1" w:styleId="TextoindependienteCar">
    <w:name w:val="Texto independiente Car"/>
    <w:basedOn w:val="Fuentedeprrafopredeter"/>
    <w:link w:val="Textoindependiente"/>
    <w:uiPriority w:val="1"/>
    <w:rsid w:val="005A596E"/>
    <w:rPr>
      <w:rFonts w:ascii="Trebuchet MS" w:eastAsia="Trebuchet MS" w:hAnsi="Trebuchet MS" w:cs="Trebuchet MS"/>
      <w:sz w:val="20"/>
      <w:szCs w:val="20"/>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nmontes@flacso.org.a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chequeado.com/el-explicador/que-paso-con-la-muestra-argentina-de-pisa-201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Hy7Dy/f05crAuJmRwR3aSRzwA==">CgMxLjAyDmguOGd3eHhjYmJ3aWdtMg5oLnk3ZXpzaG1jdnNhZzIIaC5namRneHM4AHIhMXpHNzQ0bFFGUWlNSGxpVEZBOG1NVDFfZGhWMVRQczVN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59E76A-96BE-4A77-A0A0-61F4D79EC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3410</Words>
  <Characters>18758</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Montes</dc:creator>
  <cp:lastModifiedBy>Nancy Montes</cp:lastModifiedBy>
  <cp:revision>4</cp:revision>
  <dcterms:created xsi:type="dcterms:W3CDTF">2026-06-22T22:14:00Z</dcterms:created>
  <dcterms:modified xsi:type="dcterms:W3CDTF">2026-06-22T22:42:00Z</dcterms:modified>
</cp:coreProperties>
</file>