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98D4" w14:textId="77777777" w:rsidR="006B4984" w:rsidRDefault="00C663A5">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0E233D"/>
          <w:sz w:val="40"/>
          <w:szCs w:val="40"/>
        </w:rPr>
      </w:pPr>
      <w:bookmarkStart w:id="0" w:name="_heading=h.8gwxxcbbwigm" w:colFirst="0" w:colLast="0"/>
      <w:bookmarkEnd w:id="0"/>
      <w:r>
        <w:rPr>
          <w:rFonts w:ascii="Times New Roman" w:eastAsia="Times New Roman" w:hAnsi="Times New Roman" w:cs="Times New Roman"/>
          <w:b/>
          <w:bCs/>
          <w:color w:val="0E233D"/>
          <w:sz w:val="40"/>
          <w:szCs w:val="40"/>
        </w:rPr>
        <w:t>VI COLOQUIO DE INVESTIGACIÓN EDUCATIVA EN ARGENTINA</w:t>
      </w:r>
    </w:p>
    <w:p w14:paraId="2AC5E8D7" w14:textId="77777777" w:rsidR="006B4984" w:rsidRDefault="00C663A5">
      <w:pPr>
        <w:pStyle w:val="Ttulo1"/>
        <w:keepNext w:val="0"/>
        <w:keepLines w:val="0"/>
        <w:shd w:val="clear" w:color="auto" w:fill="BFBFBF"/>
        <w:spacing w:before="480" w:after="120" w:line="240" w:lineRule="auto"/>
        <w:ind w:left="400"/>
        <w:jc w:val="center"/>
        <w:rPr>
          <w:rFonts w:ascii="Times New Roman" w:eastAsia="Times New Roman" w:hAnsi="Times New Roman" w:cs="Times New Roman"/>
          <w:b/>
          <w:bCs/>
          <w:color w:val="404040"/>
          <w:sz w:val="40"/>
          <w:szCs w:val="40"/>
        </w:rPr>
      </w:pPr>
      <w:bookmarkStart w:id="1" w:name="_heading=h.y7ezshmcvsag" w:colFirst="0" w:colLast="0"/>
      <w:bookmarkEnd w:id="1"/>
      <w:r>
        <w:rPr>
          <w:rFonts w:ascii="Times New Roman" w:eastAsia="Times New Roman" w:hAnsi="Times New Roman" w:cs="Times New Roman"/>
          <w:b/>
          <w:bCs/>
          <w:color w:val="404040"/>
          <w:sz w:val="40"/>
          <w:szCs w:val="40"/>
        </w:rPr>
        <w:t xml:space="preserve"> Desafíos para la investigación educativa en escenarios de crisis. Construyendo comunidades y futuros posibles</w:t>
      </w:r>
    </w:p>
    <w:p w14:paraId="05824245" w14:textId="77777777" w:rsidR="006B4984" w:rsidRDefault="006B4984">
      <w:pPr>
        <w:pBdr>
          <w:top w:val="nil"/>
          <w:left w:val="nil"/>
          <w:bottom w:val="nil"/>
          <w:right w:val="nil"/>
          <w:between w:val="nil"/>
        </w:pBdr>
        <w:spacing w:line="360" w:lineRule="auto"/>
        <w:jc w:val="both"/>
        <w:rPr>
          <w:rFonts w:ascii="Times New Roman" w:eastAsia="Times New Roman" w:hAnsi="Times New Roman" w:cs="Times New Roman"/>
          <w:color w:val="3B3838"/>
          <w:sz w:val="24"/>
          <w:szCs w:val="24"/>
        </w:rPr>
      </w:pPr>
    </w:p>
    <w:p w14:paraId="71351373" w14:textId="77777777" w:rsidR="006B4984" w:rsidRDefault="00C663A5">
      <w:pPr>
        <w:pBdr>
          <w:top w:val="nil"/>
          <w:left w:val="nil"/>
          <w:bottom w:val="nil"/>
          <w:right w:val="nil"/>
          <w:between w:val="nil"/>
        </w:pBdr>
        <w:spacing w:line="360" w:lineRule="auto"/>
        <w:jc w:val="center"/>
        <w:rPr>
          <w:rFonts w:ascii="Times New Roman" w:eastAsia="Times New Roman" w:hAnsi="Times New Roman" w:cs="Times New Roman"/>
          <w:b/>
          <w:bCs/>
          <w:color w:val="3B3838"/>
          <w:sz w:val="28"/>
          <w:szCs w:val="28"/>
        </w:rPr>
      </w:pPr>
      <w:r>
        <w:rPr>
          <w:rFonts w:ascii="Times New Roman" w:eastAsia="Times New Roman" w:hAnsi="Times New Roman" w:cs="Times New Roman"/>
          <w:b/>
          <w:bCs/>
          <w:color w:val="3B3838"/>
          <w:sz w:val="28"/>
          <w:szCs w:val="28"/>
        </w:rPr>
        <w:t xml:space="preserve">Resumen Ampliado para Sesiones de </w:t>
      </w:r>
      <w:proofErr w:type="spellStart"/>
      <w:r>
        <w:rPr>
          <w:rFonts w:ascii="Times New Roman" w:eastAsia="Times New Roman" w:hAnsi="Times New Roman" w:cs="Times New Roman"/>
          <w:b/>
          <w:bCs/>
          <w:color w:val="3B3838"/>
          <w:sz w:val="28"/>
          <w:szCs w:val="28"/>
        </w:rPr>
        <w:t>ATs</w:t>
      </w:r>
      <w:proofErr w:type="spellEnd"/>
      <w:r>
        <w:rPr>
          <w:rFonts w:ascii="Times New Roman" w:eastAsia="Times New Roman" w:hAnsi="Times New Roman" w:cs="Times New Roman"/>
          <w:b/>
          <w:bCs/>
          <w:color w:val="3B3838"/>
          <w:sz w:val="28"/>
          <w:szCs w:val="28"/>
        </w:rPr>
        <w:t>/</w:t>
      </w:r>
      <w:proofErr w:type="spellStart"/>
      <w:r>
        <w:rPr>
          <w:rFonts w:ascii="Times New Roman" w:eastAsia="Times New Roman" w:hAnsi="Times New Roman" w:cs="Times New Roman"/>
          <w:b/>
          <w:bCs/>
          <w:color w:val="3B3838"/>
          <w:sz w:val="28"/>
          <w:szCs w:val="28"/>
        </w:rPr>
        <w:t>GTs</w:t>
      </w:r>
      <w:proofErr w:type="spellEnd"/>
    </w:p>
    <w:p w14:paraId="1C38206F" w14:textId="77777777" w:rsidR="006B4984" w:rsidRDefault="006B4984">
      <w:pPr>
        <w:pBdr>
          <w:top w:val="nil"/>
          <w:left w:val="nil"/>
          <w:bottom w:val="nil"/>
          <w:right w:val="nil"/>
          <w:between w:val="nil"/>
        </w:pBdr>
        <w:spacing w:line="360" w:lineRule="auto"/>
        <w:jc w:val="center"/>
        <w:rPr>
          <w:rFonts w:ascii="Times New Roman" w:eastAsia="Times New Roman" w:hAnsi="Times New Roman" w:cs="Times New Roman"/>
          <w:b/>
          <w:bCs/>
          <w:color w:val="3B3838"/>
          <w:sz w:val="28"/>
          <w:szCs w:val="28"/>
        </w:rPr>
      </w:pPr>
    </w:p>
    <w:p w14:paraId="30410D54" w14:textId="54922DD3" w:rsidR="006B4984" w:rsidRDefault="00C663A5">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bookmarkStart w:id="2" w:name="_heading=h.gjdgxs" w:colFirst="0" w:colLast="0"/>
      <w:bookmarkEnd w:id="2"/>
      <w:r>
        <w:rPr>
          <w:rFonts w:ascii="Times New Roman" w:eastAsia="Times New Roman" w:hAnsi="Times New Roman" w:cs="Times New Roman"/>
          <w:b/>
          <w:bCs/>
          <w:color w:val="3B3838"/>
          <w:sz w:val="24"/>
          <w:szCs w:val="24"/>
        </w:rPr>
        <w:t>Área temática:</w:t>
      </w:r>
      <w:r>
        <w:rPr>
          <w:color w:val="000000"/>
        </w:rPr>
        <w:t> </w:t>
      </w:r>
      <w:r w:rsidR="00AC1663" w:rsidRPr="00AC1663">
        <w:rPr>
          <w:color w:val="000000"/>
        </w:rPr>
        <w:t>GT Usos de información estadística y acceso a datos públicos</w:t>
      </w:r>
    </w:p>
    <w:p w14:paraId="4AA92289" w14:textId="0D047C09" w:rsidR="006B4984" w:rsidRPr="00AC1663" w:rsidRDefault="00C663A5" w:rsidP="00AC1663">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Título del Trabajo:</w:t>
      </w:r>
      <w:r w:rsidR="00AC1663">
        <w:rPr>
          <w:rFonts w:ascii="Times New Roman" w:eastAsia="Times New Roman" w:hAnsi="Times New Roman" w:cs="Times New Roman"/>
          <w:b/>
          <w:bCs/>
          <w:color w:val="3B3838"/>
          <w:sz w:val="24"/>
          <w:szCs w:val="24"/>
        </w:rPr>
        <w:t xml:space="preserve"> </w:t>
      </w:r>
      <w:r w:rsidR="00AC1663" w:rsidRPr="00AC1663">
        <w:rPr>
          <w:rFonts w:ascii="Times New Roman" w:eastAsia="Times New Roman" w:hAnsi="Times New Roman" w:cs="Times New Roman"/>
          <w:color w:val="3B3838"/>
          <w:sz w:val="24"/>
          <w:szCs w:val="24"/>
        </w:rPr>
        <w:t>Políticas lingüísticas, capital lingüístico internacional y reproducción social en la educación superior argentina. Resultados del análisis del Programa de Formación y Certificación en Lenguas Extranjeras (PFCLE)</w:t>
      </w:r>
    </w:p>
    <w:p w14:paraId="559EC580" w14:textId="77777777" w:rsidR="006B4984" w:rsidRDefault="00C663A5">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Autores/as (máximo tres):</w:t>
      </w:r>
    </w:p>
    <w:p w14:paraId="713D3761" w14:textId="65E1EC86" w:rsidR="00AC1663" w:rsidRPr="00AC1663" w:rsidRDefault="00AC1663" w:rsidP="00AC1663">
      <w:pPr>
        <w:pBdr>
          <w:top w:val="nil"/>
          <w:left w:val="nil"/>
          <w:bottom w:val="nil"/>
          <w:right w:val="nil"/>
          <w:between w:val="nil"/>
        </w:pBdr>
        <w:ind w:hanging="2"/>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Víctor Montoya</w:t>
      </w:r>
    </w:p>
    <w:p w14:paraId="21AA9FEE" w14:textId="74691412" w:rsidR="006B4984" w:rsidRPr="00AC1663" w:rsidRDefault="00AC1663">
      <w:pPr>
        <w:spacing w:after="0" w:line="360" w:lineRule="auto"/>
        <w:jc w:val="both"/>
        <w:rPr>
          <w:rFonts w:ascii="Times New Roman" w:eastAsia="Times New Roman" w:hAnsi="Times New Roman" w:cs="Times New Roman"/>
          <w:color w:val="3B3838"/>
          <w:sz w:val="24"/>
          <w:szCs w:val="24"/>
          <w:lang w:val="fr-FR"/>
        </w:rPr>
      </w:pPr>
      <w:r w:rsidRPr="00AC1663">
        <w:rPr>
          <w:rFonts w:ascii="Times New Roman" w:eastAsia="Times New Roman" w:hAnsi="Times New Roman" w:cs="Times New Roman"/>
          <w:color w:val="3B3838"/>
          <w:sz w:val="24"/>
          <w:szCs w:val="24"/>
          <w:lang w:val="fr-FR"/>
        </w:rPr>
        <w:t>UNTREF – vmontoya@untref.edu.ar</w:t>
      </w:r>
    </w:p>
    <w:p w14:paraId="59EFDF0D" w14:textId="77777777" w:rsidR="006B4984" w:rsidRDefault="006B4984">
      <w:pPr>
        <w:spacing w:after="0" w:line="360" w:lineRule="auto"/>
        <w:jc w:val="both"/>
        <w:rPr>
          <w:rFonts w:ascii="Times New Roman" w:eastAsia="Times New Roman" w:hAnsi="Times New Roman" w:cs="Times New Roman"/>
          <w:color w:val="3B3838"/>
          <w:sz w:val="24"/>
          <w:szCs w:val="24"/>
        </w:rPr>
      </w:pPr>
    </w:p>
    <w:p w14:paraId="25905540" w14:textId="77777777" w:rsidR="00AC1663" w:rsidRDefault="00C663A5" w:rsidP="00AC1663">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Título del Proyecto / identificación de la investigación e institución en la que se inscribe el trabajo:</w:t>
      </w:r>
    </w:p>
    <w:p w14:paraId="30B6C3AC" w14:textId="15CEAACE" w:rsidR="00AC1663" w:rsidRPr="00AC1663" w:rsidRDefault="00AC1663" w:rsidP="00AC1663">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r>
        <w:rPr>
          <w:rFonts w:ascii="Times New Roman" w:eastAsia="Times New Roman" w:hAnsi="Times New Roman" w:cs="Times New Roman"/>
          <w:color w:val="3B3838"/>
          <w:sz w:val="24"/>
          <w:szCs w:val="24"/>
        </w:rPr>
        <w:t>“</w:t>
      </w:r>
      <w:r w:rsidRPr="00AC1663">
        <w:rPr>
          <w:rFonts w:ascii="Times New Roman" w:eastAsia="Times New Roman" w:hAnsi="Times New Roman" w:cs="Times New Roman"/>
          <w:color w:val="3B3838"/>
          <w:sz w:val="24"/>
          <w:szCs w:val="24"/>
        </w:rPr>
        <w:t>PoLinguAr: Estudio de impacto y red de políticas lingüísticas en la educación superior argentina</w:t>
      </w:r>
      <w:r>
        <w:rPr>
          <w:rFonts w:ascii="Times New Roman" w:eastAsia="Times New Roman" w:hAnsi="Times New Roman" w:cs="Times New Roman"/>
          <w:color w:val="3B3838"/>
          <w:sz w:val="24"/>
          <w:szCs w:val="24"/>
        </w:rPr>
        <w:t xml:space="preserve">” </w:t>
      </w:r>
      <w:r w:rsidRPr="00AC1663">
        <w:rPr>
          <w:rFonts w:ascii="Times New Roman" w:eastAsia="Times New Roman" w:hAnsi="Times New Roman" w:cs="Times New Roman"/>
          <w:color w:val="3B3838"/>
          <w:sz w:val="24"/>
          <w:szCs w:val="24"/>
        </w:rPr>
        <w:t>UNTREF LINGUA</w:t>
      </w:r>
      <w:r>
        <w:rPr>
          <w:rFonts w:ascii="Times New Roman" w:eastAsia="Times New Roman" w:hAnsi="Times New Roman" w:cs="Times New Roman"/>
          <w:color w:val="3B3838"/>
          <w:sz w:val="24"/>
          <w:szCs w:val="24"/>
        </w:rPr>
        <w:t>.</w:t>
      </w:r>
    </w:p>
    <w:p w14:paraId="50919139" w14:textId="7978A43C" w:rsidR="00AC1663" w:rsidRPr="00AC1663" w:rsidRDefault="00AC1663" w:rsidP="00AC1663">
      <w:pPr>
        <w:pBdr>
          <w:top w:val="nil"/>
          <w:left w:val="nil"/>
          <w:bottom w:val="nil"/>
          <w:right w:val="nil"/>
          <w:between w:val="nil"/>
        </w:pBdr>
        <w:spacing w:after="0" w:line="360" w:lineRule="auto"/>
        <w:jc w:val="both"/>
        <w:rPr>
          <w:rFonts w:ascii="Times New Roman" w:eastAsia="Times New Roman" w:hAnsi="Times New Roman" w:cs="Times New Roman"/>
          <w:color w:val="3B3838"/>
          <w:sz w:val="24"/>
          <w:szCs w:val="24"/>
        </w:rPr>
      </w:pPr>
    </w:p>
    <w:p w14:paraId="3A0DFE9A" w14:textId="77777777" w:rsidR="006B4984" w:rsidRDefault="006B4984">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45ED36A2" w14:textId="18E9DFA8" w:rsidR="006B4984" w:rsidRPr="00E72C41" w:rsidRDefault="00C663A5">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lastRenderedPageBreak/>
        <w:t xml:space="preserve">Palabras clave: </w:t>
      </w:r>
    </w:p>
    <w:p w14:paraId="1A091A3C" w14:textId="77777777" w:rsidR="00E72C41" w:rsidRPr="00E72C41" w:rsidRDefault="00E72C41" w:rsidP="00E72C41">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72C41">
        <w:rPr>
          <w:rFonts w:ascii="Times New Roman" w:eastAsia="Times New Roman" w:hAnsi="Times New Roman" w:cs="Times New Roman"/>
          <w:b/>
          <w:bCs/>
          <w:color w:val="3B3838"/>
          <w:sz w:val="24"/>
          <w:szCs w:val="24"/>
        </w:rPr>
        <w:t>Políticas lingüísticas</w:t>
      </w:r>
    </w:p>
    <w:p w14:paraId="6A4020F3" w14:textId="77777777" w:rsidR="00E72C41" w:rsidRPr="00E72C41" w:rsidRDefault="00E72C41" w:rsidP="00E72C41">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72C41">
        <w:rPr>
          <w:rFonts w:ascii="Times New Roman" w:eastAsia="Times New Roman" w:hAnsi="Times New Roman" w:cs="Times New Roman"/>
          <w:b/>
          <w:bCs/>
          <w:color w:val="3B3838"/>
          <w:sz w:val="24"/>
          <w:szCs w:val="24"/>
        </w:rPr>
        <w:t>Capital lingüístico internacional</w:t>
      </w:r>
    </w:p>
    <w:p w14:paraId="393CEA1D" w14:textId="77777777" w:rsidR="00E72C41" w:rsidRPr="00E72C41" w:rsidRDefault="00E72C41" w:rsidP="00E72C41">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72C41">
        <w:rPr>
          <w:rFonts w:ascii="Times New Roman" w:eastAsia="Times New Roman" w:hAnsi="Times New Roman" w:cs="Times New Roman"/>
          <w:b/>
          <w:bCs/>
          <w:color w:val="3B3838"/>
          <w:sz w:val="24"/>
          <w:szCs w:val="24"/>
        </w:rPr>
        <w:t>Reproducción social</w:t>
      </w:r>
    </w:p>
    <w:p w14:paraId="70EE1A39" w14:textId="77777777" w:rsidR="00E72C41" w:rsidRPr="00E72C41" w:rsidRDefault="00E72C41" w:rsidP="00E72C41">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72C41">
        <w:rPr>
          <w:rFonts w:ascii="Times New Roman" w:eastAsia="Times New Roman" w:hAnsi="Times New Roman" w:cs="Times New Roman"/>
          <w:b/>
          <w:bCs/>
          <w:color w:val="3B3838"/>
          <w:sz w:val="24"/>
          <w:szCs w:val="24"/>
        </w:rPr>
        <w:t>Desigualdades educativas</w:t>
      </w:r>
    </w:p>
    <w:p w14:paraId="7970E5AE" w14:textId="6F1CC111" w:rsidR="00E72C41" w:rsidRPr="00E72C41" w:rsidRDefault="00E72C41" w:rsidP="00E72C41">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r w:rsidRPr="00E72C41">
        <w:rPr>
          <w:rFonts w:ascii="Times New Roman" w:eastAsia="Times New Roman" w:hAnsi="Times New Roman" w:cs="Times New Roman"/>
          <w:b/>
          <w:bCs/>
          <w:color w:val="3B3838"/>
          <w:sz w:val="24"/>
          <w:szCs w:val="24"/>
        </w:rPr>
        <w:t>Internacionalización</w:t>
      </w:r>
      <w:r>
        <w:rPr>
          <w:rFonts w:ascii="Times New Roman" w:eastAsia="Times New Roman" w:hAnsi="Times New Roman" w:cs="Times New Roman"/>
          <w:b/>
          <w:bCs/>
          <w:color w:val="3B3838"/>
          <w:sz w:val="24"/>
          <w:szCs w:val="24"/>
        </w:rPr>
        <w:t xml:space="preserve"> de la educación superior</w:t>
      </w:r>
    </w:p>
    <w:p w14:paraId="34DB1C11" w14:textId="77777777" w:rsidR="00E72C41" w:rsidRDefault="00E72C41" w:rsidP="00E72C41">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3855B2C7" w14:textId="77777777" w:rsidR="006B4984" w:rsidRDefault="006B4984">
      <w:pPr>
        <w:pBdr>
          <w:top w:val="nil"/>
          <w:left w:val="nil"/>
          <w:bottom w:val="nil"/>
          <w:right w:val="nil"/>
          <w:between w:val="nil"/>
        </w:pBdr>
        <w:spacing w:after="0" w:line="360" w:lineRule="auto"/>
        <w:jc w:val="both"/>
        <w:rPr>
          <w:rFonts w:ascii="Times New Roman" w:eastAsia="Times New Roman" w:hAnsi="Times New Roman" w:cs="Times New Roman"/>
          <w:b/>
          <w:bCs/>
          <w:color w:val="3B3838"/>
          <w:sz w:val="24"/>
          <w:szCs w:val="24"/>
        </w:rPr>
      </w:pPr>
    </w:p>
    <w:p w14:paraId="4AB85289" w14:textId="77777777" w:rsidR="006B4984" w:rsidRDefault="00C663A5">
      <w:pPr>
        <w:numPr>
          <w:ilvl w:val="0"/>
          <w:numId w:val="1"/>
        </w:numPr>
        <w:pBdr>
          <w:top w:val="nil"/>
          <w:left w:val="nil"/>
          <w:bottom w:val="nil"/>
          <w:right w:val="nil"/>
          <w:between w:val="nil"/>
        </w:pBdr>
        <w:spacing w:after="0" w:line="360" w:lineRule="auto"/>
        <w:ind w:left="0"/>
        <w:jc w:val="both"/>
        <w:rPr>
          <w:rFonts w:ascii="Times New Roman" w:eastAsia="Times New Roman" w:hAnsi="Times New Roman" w:cs="Times New Roman"/>
          <w:b/>
          <w:bCs/>
          <w:color w:val="3B3838"/>
          <w:sz w:val="24"/>
          <w:szCs w:val="24"/>
        </w:rPr>
      </w:pPr>
      <w:r>
        <w:rPr>
          <w:rFonts w:ascii="Times New Roman" w:eastAsia="Times New Roman" w:hAnsi="Times New Roman" w:cs="Times New Roman"/>
          <w:b/>
          <w:bCs/>
          <w:color w:val="3B3838"/>
          <w:sz w:val="24"/>
          <w:szCs w:val="24"/>
        </w:rPr>
        <w:t>Requisitos de presentación</w:t>
      </w:r>
    </w:p>
    <w:p w14:paraId="1C432E3C" w14:textId="77777777" w:rsidR="006B4984" w:rsidRDefault="00C663A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3B3838"/>
          <w:sz w:val="24"/>
          <w:szCs w:val="24"/>
        </w:rPr>
        <w:t>Extensión:</w:t>
      </w:r>
      <w:r>
        <w:rPr>
          <w:rFonts w:ascii="Times New Roman" w:eastAsia="Times New Roman" w:hAnsi="Times New Roman" w:cs="Times New Roman"/>
          <w:sz w:val="24"/>
          <w:szCs w:val="24"/>
        </w:rPr>
        <w:t xml:space="preserve"> el trabajo deberá tener una extensión mínima de 2.500 y una extensión máxima de 3.500 palabras, excluyendo referencias bibliográficas. </w:t>
      </w:r>
    </w:p>
    <w:p w14:paraId="58516CD1" w14:textId="77777777" w:rsidR="006B4984" w:rsidRDefault="00C663A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Presentación:</w:t>
      </w:r>
      <w:r>
        <w:rPr>
          <w:rFonts w:ascii="Times New Roman" w:eastAsia="Times New Roman" w:hAnsi="Times New Roman" w:cs="Times New Roman"/>
          <w:sz w:val="24"/>
          <w:szCs w:val="24"/>
        </w:rPr>
        <w:t xml:space="preserve"> en archivo</w:t>
      </w:r>
      <w:r>
        <w:rPr>
          <w:rFonts w:ascii="Times New Roman" w:eastAsia="Times New Roman" w:hAnsi="Times New Roman" w:cs="Times New Roman"/>
          <w:color w:val="3B3838"/>
          <w:sz w:val="24"/>
          <w:szCs w:val="24"/>
        </w:rPr>
        <w:t xml:space="preserve"> Word, h</w:t>
      </w:r>
      <w:r>
        <w:rPr>
          <w:rFonts w:ascii="Times New Roman" w:eastAsia="Times New Roman" w:hAnsi="Times New Roman" w:cs="Times New Roman"/>
          <w:sz w:val="24"/>
          <w:szCs w:val="24"/>
        </w:rPr>
        <w:t xml:space="preserve">ojas tamaño A4, margen normal, con interlineado 1,5 y en fuente Times New </w:t>
      </w:r>
      <w:proofErr w:type="spellStart"/>
      <w:r>
        <w:rPr>
          <w:rFonts w:ascii="Times New Roman" w:eastAsia="Times New Roman" w:hAnsi="Times New Roman" w:cs="Times New Roman"/>
          <w:sz w:val="24"/>
          <w:szCs w:val="24"/>
        </w:rPr>
        <w:t>Roman</w:t>
      </w:r>
      <w:proofErr w:type="spellEnd"/>
      <w:r>
        <w:rPr>
          <w:rFonts w:ascii="Times New Roman" w:eastAsia="Times New Roman" w:hAnsi="Times New Roman" w:cs="Times New Roman"/>
          <w:sz w:val="24"/>
          <w:szCs w:val="24"/>
        </w:rPr>
        <w:t xml:space="preserve"> tamaño 12. </w:t>
      </w:r>
    </w:p>
    <w:p w14:paraId="031D8282" w14:textId="77777777" w:rsidR="00E72C41" w:rsidRDefault="00E72C41">
      <w:pPr>
        <w:spacing w:after="0" w:line="360" w:lineRule="auto"/>
        <w:jc w:val="both"/>
        <w:rPr>
          <w:rFonts w:ascii="Times New Roman" w:eastAsia="Times New Roman" w:hAnsi="Times New Roman" w:cs="Times New Roman"/>
          <w:sz w:val="24"/>
          <w:szCs w:val="24"/>
        </w:rPr>
      </w:pPr>
    </w:p>
    <w:p w14:paraId="0FFA303D" w14:textId="77777777" w:rsidR="00E72C41" w:rsidRPr="00E72C41" w:rsidRDefault="00E72C41" w:rsidP="00E72C41">
      <w:pPr>
        <w:spacing w:after="0" w:line="360" w:lineRule="auto"/>
        <w:jc w:val="both"/>
        <w:rPr>
          <w:rFonts w:ascii="Times New Roman" w:eastAsia="Times New Roman" w:hAnsi="Times New Roman" w:cs="Times New Roman"/>
          <w:b/>
          <w:bCs/>
          <w:sz w:val="24"/>
          <w:szCs w:val="24"/>
        </w:rPr>
      </w:pPr>
      <w:r w:rsidRPr="00E72C41">
        <w:rPr>
          <w:rFonts w:ascii="Times New Roman" w:eastAsia="Times New Roman" w:hAnsi="Times New Roman" w:cs="Times New Roman"/>
          <w:b/>
          <w:bCs/>
          <w:sz w:val="24"/>
          <w:szCs w:val="24"/>
        </w:rPr>
        <w:t>Políticas lingüísticas, capital lingüístico internacional y reproducción social en la educación superior argentina. Resultados del análisis del Programa de Formación y Certificación en Lenguas Extranjeras (PFCLE)</w:t>
      </w:r>
    </w:p>
    <w:p w14:paraId="0C1959EC"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p>
    <w:p w14:paraId="439B6A55" w14:textId="77777777" w:rsidR="00E72C41" w:rsidRPr="00E72C41" w:rsidRDefault="00E72C41" w:rsidP="00E72C41">
      <w:pPr>
        <w:spacing w:after="0" w:line="360" w:lineRule="auto"/>
        <w:jc w:val="both"/>
        <w:rPr>
          <w:rFonts w:ascii="Times New Roman" w:eastAsia="Times New Roman" w:hAnsi="Times New Roman" w:cs="Times New Roman"/>
          <w:b/>
          <w:bCs/>
          <w:sz w:val="24"/>
          <w:szCs w:val="24"/>
        </w:rPr>
      </w:pPr>
      <w:r w:rsidRPr="00E72C41">
        <w:rPr>
          <w:rFonts w:ascii="Times New Roman" w:eastAsia="Times New Roman" w:hAnsi="Times New Roman" w:cs="Times New Roman"/>
          <w:b/>
          <w:bCs/>
          <w:sz w:val="24"/>
          <w:szCs w:val="24"/>
        </w:rPr>
        <w:t>Introducción</w:t>
      </w:r>
    </w:p>
    <w:p w14:paraId="3C4B102D"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La implementación del Programa de Formación y Certificación en Lenguas Extranjeras (PFCLE) entre 2022 y 2023 por parte del Ministerio de Educación de Argentina constituyó un hito en el campo de las políticas lingüísticas universitarias al convertirse en la primera iniciativa de alcance nacional orientada a la formación y certificación en lenguas extranjeras de estudiantes de educación superior. Dirigido a beneficiarias y beneficiarios de los programas de becas PROGRESAR y Manuel Belgrano, el programa involucró a más de un centenar de instituciones de educación superior —universidades e institutos de formación docente— y alcanzó a cientos de miles de estudiantes distribuidos </w:t>
      </w:r>
      <w:r w:rsidRPr="00E72C41">
        <w:rPr>
          <w:rFonts w:ascii="Times New Roman" w:eastAsia="Times New Roman" w:hAnsi="Times New Roman" w:cs="Times New Roman"/>
          <w:sz w:val="24"/>
          <w:szCs w:val="24"/>
        </w:rPr>
        <w:lastRenderedPageBreak/>
        <w:t>en todo el territorio nacional. Más allá de sus objetivos pedagógicos, el PFCLE produjo un volumen inédito de información estadística sobre prácticas, trayectorias y demandas lingüísticas de la población estudiantil argentina, constituyéndose en una fuente particularmente valiosa para el análisis de las políticas educativas y lingüísticas contemporáneas.</w:t>
      </w:r>
    </w:p>
    <w:p w14:paraId="26B86B43" w14:textId="77777777" w:rsid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En continuidad con las investigaciones desarrolladas por el equipo Políticas Lingüísticas e Internacionalización de la Educación Superior (PLIES), el Laboratorio de Investigación e Innovación en Política y Gestión de Lenguas de la Universidad Nacional de Tres de Febrero (UNTREF LINGUA), en colaboración con el Institut des langues officielles et du bilinguisme (ILOB) de la Universidad de Ottawa (Canadá) y el entonces Ministerio de Educación de Argentina, llevó adelante el proyecto PoLinguAr en el marco de la convocatoria InnovSoc&amp;Tech 2023 de la Agence Universitaire de la Francophonie. Desde una perspectiva de investigación-acción, el proyecto tuvo como objetivo analizar los alcances, resultados e impactos del PFCLE. La presente comunicación expone algunos de los principales hallazgos obtenidos y busca contribuir a las discusiones impulsadas por el Grupo de Trabajo Usos de información estadística y acceso a datos públicos de la Sociedad Argentina de Investigación en Educación, tanto por el carácter excepcional de las fuentes utilizadas como por las posibilidades que ofrecen para la evaluación de políticas públicas.</w:t>
      </w:r>
    </w:p>
    <w:p w14:paraId="3F265C06" w14:textId="77777777" w:rsidR="008C6F20" w:rsidRDefault="008C6F20" w:rsidP="00E72C41">
      <w:pPr>
        <w:spacing w:after="0" w:line="360" w:lineRule="auto"/>
        <w:jc w:val="both"/>
        <w:rPr>
          <w:rFonts w:ascii="Times New Roman" w:eastAsia="Times New Roman" w:hAnsi="Times New Roman" w:cs="Times New Roman"/>
          <w:sz w:val="24"/>
          <w:szCs w:val="24"/>
        </w:rPr>
      </w:pPr>
    </w:p>
    <w:p w14:paraId="04B34C33" w14:textId="3A11C0C4" w:rsidR="008C6F20" w:rsidRPr="008C6F20" w:rsidRDefault="008C6F20" w:rsidP="00E72C41">
      <w:pPr>
        <w:spacing w:after="0" w:line="360" w:lineRule="auto"/>
        <w:jc w:val="both"/>
        <w:rPr>
          <w:rFonts w:ascii="Times New Roman" w:eastAsia="Times New Roman" w:hAnsi="Times New Roman" w:cs="Times New Roman"/>
          <w:b/>
          <w:bCs/>
          <w:sz w:val="24"/>
          <w:szCs w:val="24"/>
        </w:rPr>
      </w:pPr>
      <w:r w:rsidRPr="008C6F20">
        <w:rPr>
          <w:rFonts w:ascii="Times New Roman" w:eastAsia="Times New Roman" w:hAnsi="Times New Roman" w:cs="Times New Roman"/>
          <w:b/>
          <w:bCs/>
          <w:sz w:val="24"/>
          <w:szCs w:val="24"/>
        </w:rPr>
        <w:t>Aspectos teóricos-metodológicos</w:t>
      </w:r>
    </w:p>
    <w:p w14:paraId="0BF7A5CF"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Las investigaciones desarrolladas por el equipo PLIES se inscriben en el marco teórico de Pierre Bourdieu, particularmente en sus aportes sobre educación, cultura y reproducción social, y más específicamente en torno al concepto de capital lingüístico (Bourdieu, 1982; Bourdieu y Passeron, 1964, 1970). Sin embargo, los procesos contemporáneos de internacionalización de la educación superior obligan a revisar y actualizar esta noción. Las lenguas extranjeras ya no constituyen únicamente recursos </w:t>
      </w:r>
      <w:r w:rsidRPr="00E72C41">
        <w:rPr>
          <w:rFonts w:ascii="Times New Roman" w:eastAsia="Times New Roman" w:hAnsi="Times New Roman" w:cs="Times New Roman"/>
          <w:sz w:val="24"/>
          <w:szCs w:val="24"/>
        </w:rPr>
        <w:lastRenderedPageBreak/>
        <w:t xml:space="preserve">comunicativos o culturales, sino también activos estratégicos vinculados a la movilidad académica, la empleabilidad, la circulación internacional del conocimiento y la inserción en espacios transnacionales. Con el fin de dar cuenta de esta transformación, proponemos movilizar los conceptos de capital lingüístico internacional y habitus lingüístico internacional </w:t>
      </w:r>
      <w:r w:rsidRPr="00E72C41">
        <w:rPr>
          <w:rFonts w:ascii="Times New Roman" w:eastAsia="Times New Roman" w:hAnsi="Times New Roman" w:cs="Times New Roman"/>
          <w:sz w:val="24"/>
          <w:szCs w:val="24"/>
          <w:lang w:val="es-MX"/>
        </w:rPr>
        <w:t>(Montoya et al., 2022; Varela, 2020)</w:t>
      </w:r>
      <w:r w:rsidRPr="00E72C41">
        <w:rPr>
          <w:rFonts w:ascii="Times New Roman" w:eastAsia="Times New Roman" w:hAnsi="Times New Roman" w:cs="Times New Roman"/>
          <w:sz w:val="24"/>
          <w:szCs w:val="24"/>
        </w:rPr>
        <w:t>. Estos conceptos permiten analizar las desigualdades en las capacidades de adquisición, movilización y valorización de las lenguas extranjeras, así como su articulación con otras formas de capital económico, cultural y social. Desde esta perspectiva, los procesos de reproducción social en la educación superior deben ser examinados considerando tanto la distribución desigual de los recursos lingüísticos como las condiciones materiales que permiten convertirlos en ventajas efectivamente reconocidas.</w:t>
      </w:r>
    </w:p>
    <w:p w14:paraId="36A0C014"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La presentación se basa en el análisis de dos fuentes complementarias. Por un lado, los resultados de la encuesta realizada por la Administración Nacional de la Seguridad Social (ANSES) a 2.195.559 becarias y becarios PROGRESAR en el marco del PFCLE. Por otro, una base de 283.576 registros administrativos correspondientes a la participación de estudiantes PROGRESAR en el programa durante el primer y segundo cuatrimestre de 2023. Mientras la primera fuente permite reconstruir la distribución del capital lingüístico y las demandas de formación en lenguas extranjeras, la segunda posibilita analizar las condiciones diferenciales de participación y aprobación de los cursos. La articulación entre la encuesta de ANSES y los registros administrativos del PFCLE no solo representa un avance metodológico en el estudio de las políticas lingüísticas, sino que también abre una ventana excepcional para analizar las complejas interacciones entre tres dimensiones clave: las políticas lingüísticas estatales, los procesos de internacionalización de la educación superior y los mecanismos de reproducción social de las desigualdades. Esto permite, por un lado, mapear cómo se distribuyen el capital lingüístico entre la población estudiantil —revelando asimetrías territoriales, de género y socioeconómicas— y, por </w:t>
      </w:r>
      <w:r w:rsidRPr="00E72C41">
        <w:rPr>
          <w:rFonts w:ascii="Times New Roman" w:eastAsia="Times New Roman" w:hAnsi="Times New Roman" w:cs="Times New Roman"/>
          <w:sz w:val="24"/>
          <w:szCs w:val="24"/>
        </w:rPr>
        <w:lastRenderedPageBreak/>
        <w:t>otro, evaluar el impacto diferencial de una política pública diseñada para democratizar el acceso a las lenguas extranjeras.</w:t>
      </w:r>
    </w:p>
    <w:p w14:paraId="4FF59CDA"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Efectivamente, la combinación de ambas fuentes permite superar las limitaciones de los enfoques tradicionales, que suelen analizar las políticas lingüísticas desde perspectivas aisladas (ya sea pedagógica, económica o social). Al cruzar datos de demanda lingüística (obtenidos de la encuesta) con datos de participación y desempeño (registros administrativos), se hace visible cómo las desigualdades preexistentes —en términos de capital cultural, acceso a tecnologías o ubicación geográfica— condicionan las oportunidades de apropiación del capital lingüístico internacional. </w:t>
      </w:r>
    </w:p>
    <w:p w14:paraId="1C8F2C04"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En segundo lugar, este análisis subraya el papel transformador de las políticas públicas como generadoras de información estratégica. Tradicionalmente, los escasos estudios sobre políticas lingüísticas e internacionalización de la educación superior en Argentina se han basado en datos fragmentarios o en encuestas de alcance limitado. El PFCLE, en cambio, al ser una política de escala nacional y con un componente de evaluación sistemática, produjo un conjunto de datos capaz de revelar dinámicas sociales a nivel nacional. Esto demuestra que las políticas públicas no solo pueden ser objeto de estudio, sino también herramientas para la producción de conocimiento, siempre que se diseñen con mecanismos de registro y seguimiento adecuados.</w:t>
      </w:r>
    </w:p>
    <w:p w14:paraId="3B98609B"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Finalmente, este enfoque integral permite cuestionar supuestos comunes: los resultados muestran que, incluso cuando un programa como el PFCLE busca ampliar el acceso a la formación en lenguas extranjeras, su implementación puede reproducir —o incluso exacerbar— desigualdades si no se abordan de manera explícita las condiciones materiales que limitan la participación efectiva (como el acceso a dispositivos tecnológicos adecuados o la distribución desigual de la oferta educativa). Así, la articulación de estas bases de datos no solo enriquece el diagnóstico, sino que también orienta el diseño de políticas futuras, destacando la necesidad de enfoques </w:t>
      </w:r>
      <w:r w:rsidRPr="00E72C41">
        <w:rPr>
          <w:rFonts w:ascii="Times New Roman" w:eastAsia="Times New Roman" w:hAnsi="Times New Roman" w:cs="Times New Roman"/>
          <w:sz w:val="24"/>
          <w:szCs w:val="24"/>
        </w:rPr>
        <w:lastRenderedPageBreak/>
        <w:t>interseccionales que consideren simultáneamente las dimensiones lingüísticas, tecnológicas, territoriales y sociales.</w:t>
      </w:r>
    </w:p>
    <w:p w14:paraId="5FBEFB44"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p>
    <w:p w14:paraId="3CBA3B31" w14:textId="664490B4" w:rsidR="00E72C41" w:rsidRPr="00E72C41" w:rsidRDefault="008C6F20" w:rsidP="00E72C41">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Hallazgos</w:t>
      </w:r>
    </w:p>
    <w:p w14:paraId="4F7D9852"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El análisis de la encuesta realizada por ANSES permite caracterizar por primera vez la distribución del capital lingüístico entre más de dos millones de estudiantes de educación superior beneficiarios de PROGRESAR (Montoya, 2024). Los resultados muestran que casi el 80 % de las personas encuestadas declara no hablar ningún otro idioma además del español, mientras que el inglés aparece como la lengua extranjera más frecuente, mencionada por el 14,2 % de las y los estudiantes. Estos datos revelan la existencia de una población estudiantil predominantemente monolingüe, aunque también ponen de manifiesto la presencia de una diversidad lingüística significativa asociada tanto a las lenguas enseñadas tradicionalmente por el sistema educativo argentino —alemán, francés, italiano y portugués— como a distintas lenguas originarias y de migración.</w:t>
      </w:r>
    </w:p>
    <w:p w14:paraId="2049739B"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La elaboración de mapas de distribución territorial del capital lingüístico permite identificar patrones espaciales particularmente relevantes. En primer lugar, se observa una fuerte concentración y diversificación del capital lingüístico en la Ciudad Autónoma de Buenos Aires y en la provincia de Buenos Aires, donde convergen procesos históricos de inmigración, una amplia oferta educativa y una mayor disponibilidad de recursos culturales. En segundo lugar, se destaca la especificidad de las provincias fronterizas del norte del país, caracterizadas por una presencia más importante del portugués y de diversas lenguas originarias. Finalmente, pueden identificarse polos regionales diferenciados, como Mendoza y Córdoba, que presentan configuraciones lingüísticas particulares.</w:t>
      </w:r>
    </w:p>
    <w:p w14:paraId="3CE4D7C7"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Los resultados también muestran una fuerte concentración de las aspiraciones lingüísticas en torno al inglés. Cerca del 70 % de las y los estudiantes manifiesta interés por aprender esta lengua, muy por encima del resto de las opciones disponibles. Este dato sugiere que </w:t>
      </w:r>
      <w:r w:rsidRPr="00E72C41">
        <w:rPr>
          <w:rFonts w:ascii="Times New Roman" w:eastAsia="Times New Roman" w:hAnsi="Times New Roman" w:cs="Times New Roman"/>
          <w:sz w:val="24"/>
          <w:szCs w:val="24"/>
        </w:rPr>
        <w:lastRenderedPageBreak/>
        <w:t>la demanda de formación lingüística se encuentra fuertemente estructurada por la posición dominante que ocupa el inglés en los procesos contemporáneos de internacionalización académica y profesional. Más que una simple preferencia individual, esta orientación puede interpretarse como el reconocimiento colectivo de una jerarquía lingüística internacional que atribuye un valor diferencial a determinadas lenguas.</w:t>
      </w:r>
    </w:p>
    <w:p w14:paraId="3236B84C"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La demanda de idiomas, sin embargo, no se distribuye de manera homogénea en el territorio nacional. Por ejemplo, una provincia como Misiones presenta una orientación significativamente mayor hacia el portugués, fenómeno que puede asociarse a las dinámicas económicas, culturales y educativas derivadas de la proximidad con Brasil. Asimismo, el análisis muestra diferencias según el género. Mientras que el alemán registra una participación relativamente más elevada de varones, el francés concentra una proporción mayor de mujeres. Estas variaciones sugieren que las preferencias lingüísticas no constituyen elecciones estrictamente individuales, sino que se encuentran asociadas a trayectorias sociales diferenciadas y a formas específicas de valorización de las lenguas.</w:t>
      </w:r>
    </w:p>
    <w:p w14:paraId="78490EA0"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En conjunto, estos resultados permiten sostener que el capital lingüístico internacional se encuentra distribuido de manera desigual entre la población estudiantil argentina. Las diferencias observadas según territorio, género e idioma de interés reflejan la existencia de estructuras de oportunidad diferenciadas que condicionan las posibilidades de acceso a recursos lingüísticos internacionalmente valorizados.</w:t>
      </w:r>
    </w:p>
    <w:p w14:paraId="2E07DC44"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La segunda parte de la investigación se centra en el análisis de impacto del PFCLE a partir de los 283.576 registros correspondientes a la participación de becarias y becarios PROGRESAR durante el primer y segundo cuatrimestre de 2023 (Montoya, Salas Gandur y Foligna, 2026). El objetivo consiste en examinar las relaciones entre reproducción social, capital lingüístico y tecnologías de la información y la comunicación (TIC), en un contexto donde la totalidad de la propuesta formativa se desarrolló en modalidad virtual.</w:t>
      </w:r>
    </w:p>
    <w:p w14:paraId="7E99F1E5"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Un primer resultado relevante es la baja tasa general de aprobación observada en el programa. Del total de registros analizados, sólo el 18,1 % corresponde a trayectorias que </w:t>
      </w:r>
      <w:r w:rsidRPr="00E72C41">
        <w:rPr>
          <w:rFonts w:ascii="Times New Roman" w:eastAsia="Times New Roman" w:hAnsi="Times New Roman" w:cs="Times New Roman"/>
          <w:sz w:val="24"/>
          <w:szCs w:val="24"/>
        </w:rPr>
        <w:lastRenderedPageBreak/>
        <w:t>culminaron con la aprobación del curso. Aunque la ausencia de referencias comparables impide establecer criterios definitivos de evaluación, este porcentaje sugiere que una parte importante de las participaciones no logró transformarse en una certificación efectiva. La aprobación constituye, en este sentido, un indicador imperfecto pero pertinente para analizar la capacidad de la política pública de producir resultados educativos concretos.</w:t>
      </w:r>
    </w:p>
    <w:p w14:paraId="72E1CC2F"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Las diferencias en las tasas de aprobación según idioma resultan particularmente significativas. Las mayores proporciones de aprobación se registran en chino (30,8 %), italiano (29,1 %) y alemán (26,9 %), mientras que los valores son considerablemente menores en inglés (16,3 %), portugués (10,7 %) y francés (8,9 %). Estas diferencias pueden vincularse a múltiples factores, incluyendo las características socioeducativas de las poblaciones que acceden a cada lengua, las trayectorias educativas previas y las formas específicas de valorización social asociadas a cada idioma. Lejos de reflejar únicamente diferencias pedagógicas, estos resultados parecen expresar la existencia de perfiles estudiantiles socialmente diferenciados.</w:t>
      </w:r>
    </w:p>
    <w:p w14:paraId="5B6319CA"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La tasa de aprobación también varía de manera significativa según el nivel cursado. Mientras que en los niveles iniciales los porcentajes se mantienen relativamente bajos (17,7 % en nivel 1 y 16,8 % en nivel 2), aumentan de forma sostenida en los niveles superiores, alcanzando 25,5 % en nivel 3 y 34,7 % en nivel 4. Si se acepta que idioma y nivel constituyen indicadores aproximados de distintos volúmenes de capital lingüístico previamente acumulado, estos datos sugieren que quienes ya disponen de mayores recursos lingüísticos presentan también mayores probabilidades de éxito. El programa aparece así atravesado por mecanismos de selección diferencial que tienden a favorecer a quienes ingresan con trayectorias más consolidadas.</w:t>
      </w:r>
    </w:p>
    <w:p w14:paraId="03E137D3"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Las desigualdades presentan igualmente una fuerte dimensión territorial. El análisis por provincia muestra diferencias importantes en las tasas de aprobación: mientras que la Ciudad Autónoma de Buenos Aires alcanza un 23,5 %, provincias como Chaco registran apenas un 12,7 %. La comparación con los indicadores provinciales de desarrollo humano </w:t>
      </w:r>
      <w:r w:rsidRPr="00E72C41">
        <w:rPr>
          <w:rFonts w:ascii="Times New Roman" w:eastAsia="Times New Roman" w:hAnsi="Times New Roman" w:cs="Times New Roman"/>
          <w:sz w:val="24"/>
          <w:szCs w:val="24"/>
        </w:rPr>
        <w:lastRenderedPageBreak/>
        <w:t>evidencia una correspondencia significativa entre ambas dimensiones. Las jurisdicciones con menores niveles de desarrollo humano tienden a registrar menores porcentajes de aprobación, reproduciendo desigualdades estructurales preexistentes.</w:t>
      </w:r>
    </w:p>
    <w:p w14:paraId="72273A2B"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Una vez identificadas estas disparidades, el análisis se concentra en el papel de las TIC. La base registra tres tipos principales de dispositivos utilizados para cursar: teléfono celular, computadora y tablet. Del total de observaciones, el 64,7 % corresponde al uso de teléfonos celulares, el 33,9 % a computadoras y apenas el 1,5 % a tablets. Estos datos indican que la mayoría de las y los estudiantes accedió a una política de formación lingüística completamente virtual mediante dispositivos que presentan limitaciones para determinadas actividades académicas.</w:t>
      </w:r>
    </w:p>
    <w:p w14:paraId="65EF7D61"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Las diferencias en el acceso a dispositivos también muestran una clara dimensión social. Las mujeres registran una menor utilización de computadoras que los varones, lo que sugiere desigualdades en el acceso al equipamiento tecnológico. Asimismo, los cursos de alemán, italiano y chino presentan porcentajes de uso de computadoras superiores al promedio, mientras que el portugués registra valores inferiores. Resulta especialmente significativo que el ordenamiento de los idiomas según el uso de computadoras sea muy similar al observado en las tasas de aprobación, lo que refuerza la hipótesis de una relación entre recursos tecnológicos y desempeño académico.</w:t>
      </w:r>
    </w:p>
    <w:p w14:paraId="2FA9D286"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Esta asociación se vuelve aún más evidente cuando se analizan conjuntamente idioma y nivel. Mientras que sólo el 24,6 % de quienes cursan inglés nivel 1 utiliza computadora —grupo que además presenta una de las tasas de aprobación más bajas—, los porcentajes superan el 50 % en grupos como inglés nivel 4, alemán niveles 3 y 4, francés nivel 4 o chino nivel 2. La disponibilidad de computadoras aparece así asociada tanto a trayectorias lingüísticas más avanzadas como a mayores probabilidades de aprobación.</w:t>
      </w:r>
    </w:p>
    <w:p w14:paraId="20FE21D1"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Las desigualdades territoriales también se expresan en el acceso a las TIC. Mientras que en La Pampa más de la mitad de las observaciones reporta el uso de computadoras, en Santiago del Estero esa proporción desciende al 18,1 %. La correspondencia entre uso de </w:t>
      </w:r>
      <w:r w:rsidRPr="00E72C41">
        <w:rPr>
          <w:rFonts w:ascii="Times New Roman" w:eastAsia="Times New Roman" w:hAnsi="Times New Roman" w:cs="Times New Roman"/>
          <w:sz w:val="24"/>
          <w:szCs w:val="24"/>
        </w:rPr>
        <w:lastRenderedPageBreak/>
        <w:t>computadoras, niveles de desarrollo humano y tasas de aprobación refuerza la hipótesis de que estas variables forman parte de un mismo patrón estructural de desigualdad.</w:t>
      </w:r>
    </w:p>
    <w:p w14:paraId="50641F2C"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Desde una perspectiva bourdieusiana, estos resultados permiten interpretar las TIC como algo más que simples herramientas de acceso. La disponibilidad de equipamiento tecnológico adecuado constituye un recurso diferencial que condiciona las posibilidades de apropiación de la formación lingüística y, por lo tanto, de acumulación de capital lingüístico internacional. En este sentido, la brecha digital aparece estrechamente articulada con otras formas de desigualdad social y educativa.</w:t>
      </w:r>
    </w:p>
    <w:p w14:paraId="2C0CC96E"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p>
    <w:p w14:paraId="019850C4" w14:textId="73B84345" w:rsidR="00E72C41" w:rsidRPr="00E72C41" w:rsidRDefault="008C6F20" w:rsidP="00E72C41">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Discusión</w:t>
      </w:r>
    </w:p>
    <w:p w14:paraId="4B5F0D79"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Los resultados presentados permiten aportar evidencia empírica original a la discusión sobre las relaciones entre políticas lingüísticas, internacionalización de la educación superior y reproducción social. A partir del análisis de dos fuentes de datos de alcance nacional —la encuesta aplicada por ANSES a 2.195.559 becarias y becarios PROGRESAR y los 283.576 registros administrativos correspondientes a la participación en el PFCLE durante 2023— fue posible reconstruir tanto la distribución del capital lingüístico entre la población estudiantil estudiada como las condiciones diferenciales de apropiación de una política pública orientada a ampliar el acceso a las lenguas extranjeras.</w:t>
      </w:r>
    </w:p>
    <w:p w14:paraId="1894C37C"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Los resultados muestran que el acceso a las lenguas extranjeras y las posibilidades de beneficiarse de una política lingüística no se distribuyen de manera homogénea. La estructura de la demanda lingüística, las diferencias territoriales observadas, las variaciones en las tasas de aprobación y las desigualdades en el acceso a las TIC evidencian la existencia de mecanismos de reproducción social que atraviesan el conjunto de la experiencia educativa.</w:t>
      </w:r>
    </w:p>
    <w:p w14:paraId="1E1C39E6"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 xml:space="preserve">En un contexto de creciente internacionalización de la educación superior, las lenguas extranjeras constituyen una forma específica de capital lingüístico internacional cuya adquisición y valorización se encuentra socialmente condicionada. Las TIC, lejos de </w:t>
      </w:r>
      <w:r w:rsidRPr="00E72C41">
        <w:rPr>
          <w:rFonts w:ascii="Times New Roman" w:eastAsia="Times New Roman" w:hAnsi="Times New Roman" w:cs="Times New Roman"/>
          <w:sz w:val="24"/>
          <w:szCs w:val="24"/>
        </w:rPr>
        <w:lastRenderedPageBreak/>
        <w:t>constituir herramientas neutrales, operan como mediadoras fundamentales de ese proceso, facilitando o limitando las oportunidades de acceso, acumulación y reconocimiento de dicho capital. De este modo, una política diseñada para democratizar el acceso a las lenguas puede encontrar límites importantes cuando las desigualdades tecnológicas y socioeducativas preexistentes no son abordadas de manera explícita.</w:t>
      </w:r>
    </w:p>
    <w:p w14:paraId="3BE5FBD4" w14:textId="77777777" w:rsidR="00E72C41" w:rsidRPr="00E72C41" w:rsidRDefault="00E72C41" w:rsidP="00E72C41">
      <w:pPr>
        <w:spacing w:after="0" w:line="360" w:lineRule="auto"/>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Finalmente, la investigación pone de relieve el potencial de los registros administrativos y de las bases de datos producidas por las políticas públicas para el análisis de fenómenos educativos complejos. Asimismo, invita a pensar las políticas lingüísticas universitarias desde una perspectiva integral que articule las dimensiones lingüísticas, tecnológicas, territoriales y sociales involucradas en los procesos contemporáneos de internacionalización. Más allá de ampliar el acceso formal a la formación en lenguas extranjeras, el desafío consiste en garantizar las condiciones efectivas que permitan transformar ese acceso en oportunidades reales de participación, certificación y movilidad académica.</w:t>
      </w:r>
    </w:p>
    <w:p w14:paraId="2FD2BB9B" w14:textId="77777777" w:rsidR="00E72C41" w:rsidRDefault="00E72C41">
      <w:pPr>
        <w:spacing w:after="0" w:line="360" w:lineRule="auto"/>
        <w:jc w:val="both"/>
        <w:rPr>
          <w:rFonts w:ascii="Times New Roman" w:eastAsia="Times New Roman" w:hAnsi="Times New Roman" w:cs="Times New Roman"/>
          <w:b/>
          <w:bCs/>
          <w:color w:val="3B3838"/>
          <w:sz w:val="24"/>
          <w:szCs w:val="24"/>
        </w:rPr>
      </w:pPr>
    </w:p>
    <w:p w14:paraId="4A64741D" w14:textId="77777777" w:rsidR="006B4984" w:rsidRDefault="006B4984">
      <w:pPr>
        <w:spacing w:after="0" w:line="360" w:lineRule="auto"/>
        <w:jc w:val="both"/>
        <w:rPr>
          <w:rFonts w:ascii="Times New Roman" w:eastAsia="Times New Roman" w:hAnsi="Times New Roman" w:cs="Times New Roman"/>
          <w:b/>
          <w:bCs/>
          <w:color w:val="3B3838"/>
          <w:sz w:val="24"/>
          <w:szCs w:val="24"/>
        </w:rPr>
      </w:pPr>
    </w:p>
    <w:p w14:paraId="0AC75926" w14:textId="77777777" w:rsidR="006B4984" w:rsidRDefault="00C663A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Referencias bibliográficas: </w:t>
      </w:r>
      <w:r>
        <w:rPr>
          <w:rFonts w:ascii="Times New Roman" w:eastAsia="Times New Roman" w:hAnsi="Times New Roman" w:cs="Times New Roman"/>
          <w:sz w:val="24"/>
          <w:szCs w:val="24"/>
        </w:rPr>
        <w:t>(Normas APA 7ma. edición)</w:t>
      </w:r>
    </w:p>
    <w:p w14:paraId="1B330263" w14:textId="77777777" w:rsidR="00E72C41" w:rsidRDefault="00E72C41">
      <w:pPr>
        <w:spacing w:after="0" w:line="360" w:lineRule="auto"/>
        <w:jc w:val="both"/>
        <w:rPr>
          <w:rFonts w:ascii="Times New Roman" w:eastAsia="Times New Roman" w:hAnsi="Times New Roman" w:cs="Times New Roman"/>
          <w:sz w:val="24"/>
          <w:szCs w:val="24"/>
        </w:rPr>
      </w:pPr>
    </w:p>
    <w:p w14:paraId="1163DAFA" w14:textId="77777777" w:rsidR="00E72C41" w:rsidRPr="00E72C41" w:rsidRDefault="00E72C41" w:rsidP="00BF7C7B">
      <w:pPr>
        <w:spacing w:after="0" w:line="360" w:lineRule="auto"/>
        <w:ind w:left="567" w:hanging="567"/>
        <w:jc w:val="both"/>
        <w:rPr>
          <w:rFonts w:ascii="Times New Roman" w:eastAsia="Times New Roman" w:hAnsi="Times New Roman" w:cs="Times New Roman"/>
          <w:sz w:val="24"/>
          <w:szCs w:val="24"/>
          <w:lang w:val="fr-FR"/>
        </w:rPr>
      </w:pPr>
      <w:r w:rsidRPr="00E72C41">
        <w:rPr>
          <w:rFonts w:ascii="Times New Roman" w:eastAsia="Times New Roman" w:hAnsi="Times New Roman" w:cs="Times New Roman"/>
          <w:sz w:val="24"/>
          <w:szCs w:val="24"/>
          <w:lang w:val="fr-FR"/>
        </w:rPr>
        <w:t xml:space="preserve">Bourdieu, P. (1982). </w:t>
      </w:r>
      <w:r w:rsidRPr="00E72C41">
        <w:rPr>
          <w:rFonts w:ascii="Times New Roman" w:eastAsia="Times New Roman" w:hAnsi="Times New Roman" w:cs="Times New Roman"/>
          <w:i/>
          <w:iCs/>
          <w:sz w:val="24"/>
          <w:szCs w:val="24"/>
          <w:lang w:val="fr-FR"/>
        </w:rPr>
        <w:t>Ce que parler veut dire: L’économie des échanges linguistiques</w:t>
      </w:r>
      <w:r w:rsidRPr="00E72C41">
        <w:rPr>
          <w:rFonts w:ascii="Times New Roman" w:eastAsia="Times New Roman" w:hAnsi="Times New Roman" w:cs="Times New Roman"/>
          <w:sz w:val="24"/>
          <w:szCs w:val="24"/>
          <w:lang w:val="fr-FR"/>
        </w:rPr>
        <w:t>. Fayard.</w:t>
      </w:r>
    </w:p>
    <w:p w14:paraId="3ED459AD" w14:textId="77777777" w:rsidR="00E72C41" w:rsidRPr="00E72C41" w:rsidRDefault="00E72C41" w:rsidP="00BF7C7B">
      <w:pPr>
        <w:spacing w:after="0" w:line="360" w:lineRule="auto"/>
        <w:ind w:left="567" w:hanging="567"/>
        <w:jc w:val="both"/>
        <w:rPr>
          <w:rFonts w:ascii="Times New Roman" w:eastAsia="Times New Roman" w:hAnsi="Times New Roman" w:cs="Times New Roman"/>
          <w:sz w:val="24"/>
          <w:szCs w:val="24"/>
          <w:lang w:val="fr-FR"/>
        </w:rPr>
      </w:pPr>
      <w:r w:rsidRPr="00E72C41">
        <w:rPr>
          <w:rFonts w:ascii="Times New Roman" w:eastAsia="Times New Roman" w:hAnsi="Times New Roman" w:cs="Times New Roman"/>
          <w:sz w:val="24"/>
          <w:szCs w:val="24"/>
          <w:lang w:val="fr-FR"/>
        </w:rPr>
        <w:t xml:space="preserve">Bourdieu, P., y Passeron, J.-C. (1964). </w:t>
      </w:r>
      <w:r w:rsidRPr="00E72C41">
        <w:rPr>
          <w:rFonts w:ascii="Times New Roman" w:eastAsia="Times New Roman" w:hAnsi="Times New Roman" w:cs="Times New Roman"/>
          <w:i/>
          <w:iCs/>
          <w:sz w:val="24"/>
          <w:szCs w:val="24"/>
          <w:lang w:val="fr-FR"/>
        </w:rPr>
        <w:t>Les héritiers: Les étudiants et la culture</w:t>
      </w:r>
      <w:r w:rsidRPr="00E72C41">
        <w:rPr>
          <w:rFonts w:ascii="Times New Roman" w:eastAsia="Times New Roman" w:hAnsi="Times New Roman" w:cs="Times New Roman"/>
          <w:sz w:val="24"/>
          <w:szCs w:val="24"/>
          <w:lang w:val="fr-FR"/>
        </w:rPr>
        <w:t>. Éditions de Minuit.</w:t>
      </w:r>
    </w:p>
    <w:p w14:paraId="738105CE" w14:textId="77777777" w:rsidR="00E72C41" w:rsidRPr="00E72C41" w:rsidRDefault="00E72C41" w:rsidP="00BF7C7B">
      <w:pPr>
        <w:spacing w:after="0" w:line="360" w:lineRule="auto"/>
        <w:ind w:left="567" w:hanging="567"/>
        <w:jc w:val="both"/>
        <w:rPr>
          <w:rFonts w:ascii="Times New Roman" w:eastAsia="Times New Roman" w:hAnsi="Times New Roman" w:cs="Times New Roman"/>
          <w:sz w:val="24"/>
          <w:szCs w:val="24"/>
          <w:lang w:val="es-MX"/>
        </w:rPr>
      </w:pPr>
      <w:r w:rsidRPr="00E72C41">
        <w:rPr>
          <w:rFonts w:ascii="Times New Roman" w:eastAsia="Times New Roman" w:hAnsi="Times New Roman" w:cs="Times New Roman"/>
          <w:sz w:val="24"/>
          <w:szCs w:val="24"/>
          <w:lang w:val="fr-FR"/>
        </w:rPr>
        <w:t xml:space="preserve">Bourdieu, P., y Passeron, J.-C. (1970). </w:t>
      </w:r>
      <w:r w:rsidRPr="00E72C41">
        <w:rPr>
          <w:rFonts w:ascii="Times New Roman" w:eastAsia="Times New Roman" w:hAnsi="Times New Roman" w:cs="Times New Roman"/>
          <w:i/>
          <w:iCs/>
          <w:sz w:val="24"/>
          <w:szCs w:val="24"/>
          <w:lang w:val="fr-FR"/>
        </w:rPr>
        <w:t>La reproduction: Éléments pour une théorie du système d’enseignement</w:t>
      </w:r>
      <w:r w:rsidRPr="00E72C41">
        <w:rPr>
          <w:rFonts w:ascii="Times New Roman" w:eastAsia="Times New Roman" w:hAnsi="Times New Roman" w:cs="Times New Roman"/>
          <w:sz w:val="24"/>
          <w:szCs w:val="24"/>
          <w:lang w:val="fr-FR"/>
        </w:rPr>
        <w:t xml:space="preserve">. </w:t>
      </w:r>
      <w:r w:rsidRPr="00E72C41">
        <w:rPr>
          <w:rFonts w:ascii="Times New Roman" w:eastAsia="Times New Roman" w:hAnsi="Times New Roman" w:cs="Times New Roman"/>
          <w:sz w:val="24"/>
          <w:szCs w:val="24"/>
          <w:lang w:val="es-MX"/>
        </w:rPr>
        <w:t>Éditions de Minuit.</w:t>
      </w:r>
    </w:p>
    <w:p w14:paraId="37C8A660" w14:textId="77777777" w:rsidR="00E72C41" w:rsidRPr="00E72C41" w:rsidRDefault="00E72C41" w:rsidP="00BF7C7B">
      <w:pPr>
        <w:spacing w:after="0" w:line="360" w:lineRule="auto"/>
        <w:ind w:left="567" w:hanging="567"/>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t>Montoya, V. (2024). </w:t>
      </w:r>
      <w:r w:rsidRPr="00E72C41">
        <w:rPr>
          <w:rFonts w:ascii="Times New Roman" w:eastAsia="Times New Roman" w:hAnsi="Times New Roman" w:cs="Times New Roman"/>
          <w:i/>
          <w:iCs/>
          <w:sz w:val="24"/>
          <w:szCs w:val="24"/>
        </w:rPr>
        <w:t>Política lingüística e internacionalización de la educación superior en Argentina: Estudio del Programa de Formación y Certificación en Lenguas Extranjeras</w:t>
      </w:r>
      <w:r w:rsidRPr="00E72C41">
        <w:rPr>
          <w:rFonts w:ascii="Times New Roman" w:eastAsia="Times New Roman" w:hAnsi="Times New Roman" w:cs="Times New Roman"/>
          <w:sz w:val="24"/>
          <w:szCs w:val="24"/>
        </w:rPr>
        <w:t xml:space="preserve">. </w:t>
      </w:r>
      <w:hyperlink r:id="rId8" w:history="1">
        <w:r w:rsidRPr="00E72C41">
          <w:rPr>
            <w:rStyle w:val="Hipervnculo"/>
            <w:rFonts w:ascii="Times New Roman" w:eastAsia="Times New Roman" w:hAnsi="Times New Roman" w:cs="Times New Roman"/>
            <w:sz w:val="24"/>
            <w:szCs w:val="24"/>
          </w:rPr>
          <w:t>http://sedici.unlp.edu.ar/handle/10915/181878</w:t>
        </w:r>
      </w:hyperlink>
    </w:p>
    <w:p w14:paraId="27A371FD" w14:textId="77777777" w:rsidR="00E72C41" w:rsidRPr="00E72C41" w:rsidRDefault="00E72C41" w:rsidP="00BF7C7B">
      <w:pPr>
        <w:spacing w:after="0" w:line="360" w:lineRule="auto"/>
        <w:ind w:left="567" w:hanging="567"/>
        <w:jc w:val="both"/>
        <w:rPr>
          <w:rFonts w:ascii="Times New Roman" w:eastAsia="Times New Roman" w:hAnsi="Times New Roman" w:cs="Times New Roman"/>
          <w:sz w:val="24"/>
          <w:szCs w:val="24"/>
        </w:rPr>
      </w:pPr>
      <w:r w:rsidRPr="00E72C41">
        <w:rPr>
          <w:rFonts w:ascii="Times New Roman" w:eastAsia="Times New Roman" w:hAnsi="Times New Roman" w:cs="Times New Roman"/>
          <w:sz w:val="24"/>
          <w:szCs w:val="24"/>
        </w:rPr>
        <w:lastRenderedPageBreak/>
        <w:t>Montoya, V., Salas Gandur, V., y Foligna, M. (2026). TIC, políticas lingüísticas y reproducción social en la educación superior argentina: lecciones del Programa de Formación y Certificación en Lenguas Extranjeras. </w:t>
      </w:r>
      <w:r w:rsidRPr="00E72C41">
        <w:rPr>
          <w:rFonts w:ascii="Times New Roman" w:eastAsia="Times New Roman" w:hAnsi="Times New Roman" w:cs="Times New Roman"/>
          <w:i/>
          <w:iCs/>
          <w:sz w:val="24"/>
          <w:szCs w:val="24"/>
        </w:rPr>
        <w:t>RAES - Revista Argentina De Educación Superior</w:t>
      </w:r>
      <w:r w:rsidRPr="00E72C41">
        <w:rPr>
          <w:rFonts w:ascii="Times New Roman" w:eastAsia="Times New Roman" w:hAnsi="Times New Roman" w:cs="Times New Roman"/>
          <w:sz w:val="24"/>
          <w:szCs w:val="24"/>
        </w:rPr>
        <w:t xml:space="preserve">, (32), 81-97. </w:t>
      </w:r>
      <w:hyperlink r:id="rId9" w:history="1">
        <w:r w:rsidRPr="00E72C41">
          <w:rPr>
            <w:rStyle w:val="Hipervnculo"/>
            <w:rFonts w:ascii="Times New Roman" w:eastAsia="Times New Roman" w:hAnsi="Times New Roman" w:cs="Times New Roman"/>
            <w:sz w:val="24"/>
            <w:szCs w:val="24"/>
          </w:rPr>
          <w:t>https://id.caicyt.gov.ar/ark:/s18528171/z42ck6bfk</w:t>
        </w:r>
      </w:hyperlink>
    </w:p>
    <w:p w14:paraId="4458CAD4" w14:textId="77777777" w:rsidR="00E72C41" w:rsidRPr="00E72C41" w:rsidRDefault="00E72C41" w:rsidP="00BF7C7B">
      <w:pPr>
        <w:spacing w:after="0" w:line="360" w:lineRule="auto"/>
        <w:ind w:left="567" w:hanging="567"/>
        <w:jc w:val="both"/>
        <w:rPr>
          <w:rFonts w:ascii="Times New Roman" w:eastAsia="Times New Roman" w:hAnsi="Times New Roman" w:cs="Times New Roman"/>
          <w:sz w:val="24"/>
          <w:szCs w:val="24"/>
          <w:lang w:val="es-MX"/>
        </w:rPr>
      </w:pPr>
      <w:r w:rsidRPr="00E72C41">
        <w:rPr>
          <w:rFonts w:ascii="Times New Roman" w:eastAsia="Times New Roman" w:hAnsi="Times New Roman" w:cs="Times New Roman"/>
          <w:sz w:val="24"/>
          <w:szCs w:val="24"/>
          <w:lang w:val="es-MX"/>
        </w:rPr>
        <w:t xml:space="preserve">Montoya, V., Salas, V., y Varela, L. (2022). De las competencias lingüísticas al capital internacional: El francés en las trayectorias profesionales de ingenieros ex becarios argentinos en Francia. </w:t>
      </w:r>
      <w:r w:rsidRPr="0040603B">
        <w:rPr>
          <w:rFonts w:ascii="Times New Roman" w:eastAsia="Times New Roman" w:hAnsi="Times New Roman" w:cs="Times New Roman"/>
          <w:sz w:val="24"/>
          <w:szCs w:val="24"/>
          <w:lang w:val="pt-BR"/>
        </w:rPr>
        <w:t xml:space="preserve">En P. Chardenet y E. Lousada (Eds.), </w:t>
      </w:r>
      <w:r w:rsidRPr="0040603B">
        <w:rPr>
          <w:rFonts w:ascii="Times New Roman" w:eastAsia="Times New Roman" w:hAnsi="Times New Roman" w:cs="Times New Roman"/>
          <w:i/>
          <w:iCs/>
          <w:sz w:val="24"/>
          <w:szCs w:val="24"/>
          <w:lang w:val="pt-BR"/>
        </w:rPr>
        <w:t>Práticas da língua francesa na Argentina e no Brasil: Dos contextos acadêmicos aos contextos profissionais.</w:t>
      </w:r>
      <w:r w:rsidRPr="0040603B">
        <w:rPr>
          <w:rFonts w:ascii="Times New Roman" w:eastAsia="Times New Roman" w:hAnsi="Times New Roman" w:cs="Times New Roman"/>
          <w:sz w:val="24"/>
          <w:szCs w:val="24"/>
          <w:lang w:val="pt-BR"/>
        </w:rPr>
        <w:t xml:space="preserve"> </w:t>
      </w:r>
      <w:r w:rsidRPr="00E72C41">
        <w:rPr>
          <w:rFonts w:ascii="Times New Roman" w:eastAsia="Times New Roman" w:hAnsi="Times New Roman" w:cs="Times New Roman"/>
          <w:sz w:val="24"/>
          <w:szCs w:val="24"/>
          <w:lang w:val="es-MX"/>
        </w:rPr>
        <w:t xml:space="preserve">(pp. 17–69). Letraria. </w:t>
      </w:r>
      <w:hyperlink r:id="rId10" w:history="1">
        <w:r w:rsidRPr="00E72C41">
          <w:rPr>
            <w:rStyle w:val="Hipervnculo"/>
            <w:rFonts w:ascii="Times New Roman" w:eastAsia="Times New Roman" w:hAnsi="Times New Roman" w:cs="Times New Roman"/>
            <w:sz w:val="24"/>
            <w:szCs w:val="24"/>
            <w:lang w:val="es-MX"/>
          </w:rPr>
          <w:t>https://hal.science/hal-03648814v1</w:t>
        </w:r>
      </w:hyperlink>
    </w:p>
    <w:p w14:paraId="1D6A11A4" w14:textId="77777777" w:rsidR="00E72C41" w:rsidRPr="00E72C41" w:rsidRDefault="00E72C41" w:rsidP="00BF7C7B">
      <w:pPr>
        <w:spacing w:after="0" w:line="360" w:lineRule="auto"/>
        <w:ind w:left="567" w:hanging="567"/>
        <w:jc w:val="both"/>
        <w:rPr>
          <w:rFonts w:ascii="Times New Roman" w:eastAsia="Times New Roman" w:hAnsi="Times New Roman" w:cs="Times New Roman"/>
          <w:sz w:val="24"/>
          <w:szCs w:val="24"/>
          <w:lang w:val="es-MX"/>
        </w:rPr>
      </w:pPr>
      <w:r w:rsidRPr="00E72C41">
        <w:rPr>
          <w:rFonts w:ascii="Times New Roman" w:eastAsia="Times New Roman" w:hAnsi="Times New Roman" w:cs="Times New Roman"/>
          <w:sz w:val="24"/>
          <w:szCs w:val="24"/>
          <w:lang w:val="es-MX"/>
        </w:rPr>
        <w:t xml:space="preserve">Varela, L. (2020). Condiciones socioculturales para la movilidad académica: ¿conocimientos en lenguas extranjeras o capital internacional? En F. Dandrea y G. Lizabe (Eds.), </w:t>
      </w:r>
      <w:r w:rsidRPr="00E72C41">
        <w:rPr>
          <w:rFonts w:ascii="Times New Roman" w:eastAsia="Times New Roman" w:hAnsi="Times New Roman" w:cs="Times New Roman"/>
          <w:i/>
          <w:iCs/>
          <w:sz w:val="24"/>
          <w:szCs w:val="24"/>
          <w:lang w:val="es-MX"/>
        </w:rPr>
        <w:t>Internacionalización y gobernanza lingüística en el nivel superior: Las lenguas extranjeras en contexto. Aportes para su estudio y desarrollo</w:t>
      </w:r>
      <w:r w:rsidRPr="00E72C41">
        <w:rPr>
          <w:rFonts w:ascii="Times New Roman" w:eastAsia="Times New Roman" w:hAnsi="Times New Roman" w:cs="Times New Roman"/>
          <w:sz w:val="24"/>
          <w:szCs w:val="24"/>
          <w:lang w:val="es-MX"/>
        </w:rPr>
        <w:t xml:space="preserve"> (pp. 140–167). UniRío Editora.</w:t>
      </w:r>
    </w:p>
    <w:p w14:paraId="0C40149F" w14:textId="77777777" w:rsidR="00E72C41" w:rsidRDefault="00E72C41">
      <w:pPr>
        <w:spacing w:after="0" w:line="360" w:lineRule="auto"/>
        <w:jc w:val="both"/>
        <w:rPr>
          <w:rFonts w:ascii="Times New Roman" w:eastAsia="Times New Roman" w:hAnsi="Times New Roman" w:cs="Times New Roman"/>
          <w:sz w:val="24"/>
          <w:szCs w:val="24"/>
        </w:rPr>
      </w:pPr>
    </w:p>
    <w:sectPr w:rsidR="00E72C41">
      <w:headerReference w:type="default" r:id="rId11"/>
      <w:foot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4C68" w14:textId="77777777" w:rsidR="00C663A5" w:rsidRDefault="00C663A5">
      <w:pPr>
        <w:spacing w:after="0" w:line="240" w:lineRule="auto"/>
      </w:pPr>
      <w:r>
        <w:separator/>
      </w:r>
    </w:p>
  </w:endnote>
  <w:endnote w:type="continuationSeparator" w:id="0">
    <w:p w14:paraId="25CE2D3B" w14:textId="77777777" w:rsidR="00C663A5" w:rsidRDefault="00C66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00A89FC1-A21A-4E31-9065-4EE815D04607}"/>
  </w:font>
  <w:font w:name="Calibri">
    <w:panose1 w:val="020F0502020204030204"/>
    <w:charset w:val="00"/>
    <w:family w:val="swiss"/>
    <w:pitch w:val="variable"/>
    <w:sig w:usb0="E4002EFF" w:usb1="C200247B" w:usb2="00000009" w:usb3="00000000" w:csb0="000001FF" w:csb1="00000000"/>
    <w:embedRegular r:id="rId2" w:fontKey="{4E114BDC-4A33-46E7-A871-3D07F5E57997}"/>
    <w:embedBold r:id="rId3" w:fontKey="{53084332-D1F1-42C1-B397-802FDB22EA2B}"/>
  </w:font>
  <w:font w:name="Cambria">
    <w:panose1 w:val="02040503050406030204"/>
    <w:charset w:val="00"/>
    <w:family w:val="roman"/>
    <w:pitch w:val="variable"/>
    <w:sig w:usb0="E00006FF" w:usb1="420024FF" w:usb2="02000000" w:usb3="00000000" w:csb0="0000019F" w:csb1="00000000"/>
    <w:embedRegular r:id="rId4" w:fontKey="{44B5AA87-EFCA-4700-AA58-61408E0388C3}"/>
  </w:font>
  <w:font w:name="Tahoma">
    <w:panose1 w:val="020B0604030504040204"/>
    <w:charset w:val="00"/>
    <w:family w:val="swiss"/>
    <w:pitch w:val="variable"/>
    <w:sig w:usb0="E1002EFF" w:usb1="C000605B" w:usb2="00000029" w:usb3="00000000" w:csb0="000101FF" w:csb1="00000000"/>
    <w:embedRegular r:id="rId5" w:fontKey="{68879C93-44AC-4314-A332-D5762EA77B07}"/>
  </w:font>
  <w:font w:name="Calibri Light">
    <w:panose1 w:val="020F0302020204030204"/>
    <w:charset w:val="00"/>
    <w:family w:val="swiss"/>
    <w:pitch w:val="variable"/>
    <w:sig w:usb0="E4002EFF" w:usb1="C200247B" w:usb2="00000009" w:usb3="00000000" w:csb0="000001FF" w:csb1="00000000"/>
    <w:embedRegular r:id="rId6" w:fontKey="{1FC756AC-A7C6-4218-9375-FED4B14905C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C894D153-6234-4C2F-9DB9-EC3C8F5739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06B8" w14:textId="77777777" w:rsidR="006B4984" w:rsidRDefault="006B4984">
    <w:pPr>
      <w:pBdr>
        <w:top w:val="nil"/>
        <w:left w:val="nil"/>
        <w:bottom w:val="nil"/>
        <w:right w:val="nil"/>
        <w:between w:val="nil"/>
      </w:pBdr>
      <w:tabs>
        <w:tab w:val="center" w:pos="4252"/>
        <w:tab w:val="right" w:pos="8504"/>
      </w:tabs>
      <w:spacing w:after="0" w:line="240" w:lineRule="auto"/>
      <w:jc w:val="right"/>
      <w:rPr>
        <w:color w:val="000000"/>
      </w:rPr>
    </w:pPr>
  </w:p>
  <w:p w14:paraId="1710A6E6" w14:textId="77777777" w:rsidR="006B4984" w:rsidRDefault="00C663A5">
    <w:r>
      <w:t xml:space="preserve">  </w:t>
    </w:r>
  </w:p>
  <w:p w14:paraId="74DF882A" w14:textId="77777777" w:rsidR="006B4984" w:rsidRDefault="006B4984"/>
  <w:p w14:paraId="3E779F74" w14:textId="77777777" w:rsidR="006B4984" w:rsidRDefault="006B4984"/>
  <w:p w14:paraId="0E2D0A13" w14:textId="77777777" w:rsidR="006B4984" w:rsidRDefault="006B4984"/>
  <w:p w14:paraId="70E821B6" w14:textId="77777777" w:rsidR="006B4984" w:rsidRDefault="006B4984">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7428" w14:textId="77777777" w:rsidR="00C663A5" w:rsidRDefault="00C663A5">
      <w:pPr>
        <w:spacing w:after="0" w:line="240" w:lineRule="auto"/>
      </w:pPr>
      <w:r>
        <w:separator/>
      </w:r>
    </w:p>
  </w:footnote>
  <w:footnote w:type="continuationSeparator" w:id="0">
    <w:p w14:paraId="7EED7C10" w14:textId="77777777" w:rsidR="00C663A5" w:rsidRDefault="00C66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B571" w14:textId="77777777" w:rsidR="006B4984" w:rsidRDefault="00C663A5">
    <w:pPr>
      <w:tabs>
        <w:tab w:val="left" w:pos="2400"/>
        <w:tab w:val="right" w:pos="14004"/>
      </w:tabs>
      <w:spacing w:after="0" w:line="240" w:lineRule="auto"/>
      <w:jc w:val="center"/>
      <w:rPr>
        <w:rFonts w:ascii="Times New Roman" w:eastAsia="Times New Roman" w:hAnsi="Times New Roman" w:cs="Times New Roman"/>
        <w:sz w:val="18"/>
        <w:szCs w:val="18"/>
      </w:rPr>
    </w:pPr>
    <w:r>
      <w:rPr>
        <w:noProof/>
        <w:color w:val="000000"/>
        <w:sz w:val="20"/>
        <w:szCs w:val="20"/>
      </w:rPr>
      <w:drawing>
        <wp:inline distT="0" distB="0" distL="0" distR="0" wp14:anchorId="0786D91A" wp14:editId="5B436F6B">
          <wp:extent cx="1305317" cy="868020"/>
          <wp:effectExtent l="0" t="0" r="0" b="0"/>
          <wp:docPr id="511293714" name="image1.png" descr="LOGO DE LA SOCIEDAD ARGENTINA DE INVESTIGACIÓN EN EDUCACIÓN"/>
          <wp:cNvGraphicFramePr/>
          <a:graphic xmlns:a="http://schemas.openxmlformats.org/drawingml/2006/main">
            <a:graphicData uri="http://schemas.openxmlformats.org/drawingml/2006/picture">
              <pic:pic xmlns:pic="http://schemas.openxmlformats.org/drawingml/2006/picture">
                <pic:nvPicPr>
                  <pic:cNvPr id="0" name="image1.png" descr="LOGO DE LA SOCIEDAD ARGENTINA DE INVESTIGACIÓN EN EDUCACIÓN"/>
                  <pic:cNvPicPr preferRelativeResize="0"/>
                </pic:nvPicPr>
                <pic:blipFill>
                  <a:blip r:embed="rId1"/>
                  <a:srcRect/>
                  <a:stretch>
                    <a:fillRect/>
                  </a:stretch>
                </pic:blipFill>
                <pic:spPr>
                  <a:xfrm>
                    <a:off x="0" y="0"/>
                    <a:ext cx="1305317" cy="868020"/>
                  </a:xfrm>
                  <a:prstGeom prst="rect">
                    <a:avLst/>
                  </a:prstGeom>
                  <a:ln/>
                </pic:spPr>
              </pic:pic>
            </a:graphicData>
          </a:graphic>
        </wp:inline>
      </w:drawing>
    </w:r>
  </w:p>
  <w:p w14:paraId="1F136FF8" w14:textId="77777777" w:rsidR="006B4984" w:rsidRDefault="006B4984">
    <w:pPr>
      <w:tabs>
        <w:tab w:val="left" w:pos="2400"/>
        <w:tab w:val="right" w:pos="14004"/>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B0ACF"/>
    <w:multiLevelType w:val="hybridMultilevel"/>
    <w:tmpl w:val="1910D010"/>
    <w:lvl w:ilvl="0" w:tplc="861087E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49C3C9B"/>
    <w:multiLevelType w:val="multilevel"/>
    <w:tmpl w:val="AE06AF2C"/>
    <w:lvl w:ilvl="0">
      <w:start w:val="1"/>
      <w:numFmt w:val="decimal"/>
      <w:lvlText w:val="%1."/>
      <w:lvlJc w:val="left"/>
      <w:pPr>
        <w:ind w:left="360" w:hanging="360"/>
      </w:pPr>
      <w:rPr>
        <w:rFonts w:ascii="Times New Roman" w:eastAsia="Times New Roman" w:hAnsi="Times New Roman" w:cs="Times New Roman"/>
        <w:color w:val="7F7F7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67EB65A5"/>
    <w:multiLevelType w:val="multilevel"/>
    <w:tmpl w:val="50F678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CDA290B"/>
    <w:multiLevelType w:val="multilevel"/>
    <w:tmpl w:val="7B503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668577">
    <w:abstractNumId w:val="1"/>
  </w:num>
  <w:num w:numId="2" w16cid:durableId="1028488009">
    <w:abstractNumId w:val="2"/>
  </w:num>
  <w:num w:numId="3" w16cid:durableId="1401634577">
    <w:abstractNumId w:val="0"/>
  </w:num>
  <w:num w:numId="4" w16cid:durableId="119615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984"/>
    <w:rsid w:val="00006611"/>
    <w:rsid w:val="0027361B"/>
    <w:rsid w:val="0040603B"/>
    <w:rsid w:val="006B4984"/>
    <w:rsid w:val="007C05D7"/>
    <w:rsid w:val="008C6F20"/>
    <w:rsid w:val="00AC1663"/>
    <w:rsid w:val="00AF3202"/>
    <w:rsid w:val="00BF7C7B"/>
    <w:rsid w:val="00C663A5"/>
    <w:rsid w:val="00E16B66"/>
    <w:rsid w:val="00E72C41"/>
    <w:rsid w:val="00F247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5CFD"/>
  <w15:docId w15:val="{C4A677B2-79AC-8044-882F-8A7C748EB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uiPriority w:val="39"/>
    <w:rsid w:val="00314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93F7B"/>
    <w:pPr>
      <w:autoSpaceDE w:val="0"/>
      <w:autoSpaceDN w:val="0"/>
      <w:adjustRightInd w:val="0"/>
      <w:spacing w:after="0" w:line="240" w:lineRule="auto"/>
    </w:pPr>
    <w:rPr>
      <w:rFonts w:ascii="Cambria" w:hAnsi="Cambria" w:cs="Cambria"/>
      <w:color w:val="000000"/>
      <w:sz w:val="24"/>
      <w:szCs w:val="24"/>
    </w:rPr>
  </w:style>
  <w:style w:type="paragraph" w:styleId="Encabezado">
    <w:name w:val="header"/>
    <w:basedOn w:val="Normal"/>
    <w:link w:val="Encabezado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EncabezadoCar">
    <w:name w:val="Encabezado Car"/>
    <w:basedOn w:val="Fuentedeprrafopredeter"/>
    <w:link w:val="Encabezado"/>
    <w:uiPriority w:val="99"/>
    <w:rsid w:val="00F93F7B"/>
  </w:style>
  <w:style w:type="paragraph" w:styleId="Piedepgina">
    <w:name w:val="footer"/>
    <w:basedOn w:val="Normal"/>
    <w:link w:val="PiedepginaCar"/>
    <w:uiPriority w:val="99"/>
    <w:unhideWhenUsed/>
    <w:rsid w:val="00F93F7B"/>
    <w:pPr>
      <w:tabs>
        <w:tab w:val="center" w:pos="4252"/>
        <w:tab w:val="right" w:pos="8504"/>
      </w:tabs>
      <w:spacing w:after="0" w:line="240" w:lineRule="auto"/>
    </w:pPr>
    <w:rPr>
      <w:rFonts w:asciiTheme="minorHAnsi" w:eastAsiaTheme="minorHAnsi" w:hAnsiTheme="minorHAnsi" w:cstheme="minorBidi"/>
    </w:rPr>
  </w:style>
  <w:style w:type="character" w:customStyle="1" w:styleId="PiedepginaCar">
    <w:name w:val="Pie de página Car"/>
    <w:basedOn w:val="Fuentedeprrafopredeter"/>
    <w:link w:val="Piedepgina"/>
    <w:uiPriority w:val="99"/>
    <w:rsid w:val="00F93F7B"/>
  </w:style>
  <w:style w:type="paragraph" w:styleId="Prrafodelista">
    <w:name w:val="List Paragraph"/>
    <w:basedOn w:val="Normal"/>
    <w:uiPriority w:val="34"/>
    <w:qFormat/>
    <w:rsid w:val="00837222"/>
    <w:pPr>
      <w:spacing w:after="160" w:line="259" w:lineRule="auto"/>
      <w:ind w:left="720"/>
      <w:contextualSpacing/>
    </w:pPr>
    <w:rPr>
      <w:rFonts w:asciiTheme="minorHAnsi" w:eastAsiaTheme="minorHAnsi" w:hAnsiTheme="minorHAnsi" w:cstheme="minorBidi"/>
    </w:rPr>
  </w:style>
  <w:style w:type="character" w:styleId="Hipervnculo">
    <w:name w:val="Hyperlink"/>
    <w:basedOn w:val="Fuentedeprrafopredeter"/>
    <w:uiPriority w:val="99"/>
    <w:unhideWhenUsed/>
    <w:rsid w:val="00BD1B96"/>
    <w:rPr>
      <w:color w:val="0563C1" w:themeColor="hyperlink"/>
      <w:u w:val="single"/>
    </w:rPr>
  </w:style>
  <w:style w:type="paragraph" w:styleId="NormalWeb">
    <w:name w:val="Normal (Web)"/>
    <w:basedOn w:val="Normal"/>
    <w:uiPriority w:val="99"/>
    <w:unhideWhenUsed/>
    <w:rsid w:val="00E1145A"/>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7202B0"/>
    <w:rPr>
      <w:b/>
      <w:bCs/>
    </w:rPr>
  </w:style>
  <w:style w:type="paragraph" w:styleId="Textodeglobo">
    <w:name w:val="Balloon Text"/>
    <w:basedOn w:val="Normal"/>
    <w:link w:val="TextodegloboCar"/>
    <w:uiPriority w:val="99"/>
    <w:semiHidden/>
    <w:unhideWhenUsed/>
    <w:rsid w:val="000A150E"/>
    <w:pPr>
      <w:spacing w:after="0" w:line="240" w:lineRule="auto"/>
    </w:pPr>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0A150E"/>
    <w:rPr>
      <w:rFonts w:ascii="Tahoma" w:hAnsi="Tahoma" w:cs="Tahoma"/>
      <w:sz w:val="16"/>
      <w:szCs w:val="16"/>
    </w:rPr>
  </w:style>
  <w:style w:type="character" w:customStyle="1" w:styleId="Ttulo3Car">
    <w:name w:val="Título 3 Car"/>
    <w:basedOn w:val="Fuentedeprrafopredeter"/>
    <w:uiPriority w:val="9"/>
    <w:rsid w:val="00DD2CBE"/>
    <w:rPr>
      <w:rFonts w:ascii="Times New Roman" w:eastAsia="Times New Roman" w:hAnsi="Times New Roman" w:cs="Times New Roman"/>
      <w:sz w:val="27"/>
      <w:szCs w:val="27"/>
      <w:lang w:eastAsia="es-ES"/>
    </w:rPr>
  </w:style>
  <w:style w:type="character" w:customStyle="1" w:styleId="field--department-affiliation">
    <w:name w:val="field--department-affiliation"/>
    <w:basedOn w:val="Fuentedeprrafopredeter"/>
    <w:rsid w:val="00DD2CBE"/>
  </w:style>
  <w:style w:type="character" w:customStyle="1" w:styleId="field--title6">
    <w:name w:val="field--title6"/>
    <w:basedOn w:val="Fuentedeprrafopredeter"/>
    <w:rsid w:val="00DD2CBE"/>
  </w:style>
  <w:style w:type="character" w:styleId="nfasis">
    <w:name w:val="Emphasis"/>
    <w:basedOn w:val="Fuentedeprrafopredeter"/>
    <w:uiPriority w:val="20"/>
    <w:qFormat/>
    <w:rsid w:val="00AE42EE"/>
    <w:rPr>
      <w:i/>
      <w:iCs/>
    </w:rPr>
  </w:style>
  <w:style w:type="character" w:customStyle="1" w:styleId="Ttulo1Car">
    <w:name w:val="Título 1 Car"/>
    <w:basedOn w:val="Fuentedeprrafopredeter"/>
    <w:uiPriority w:val="9"/>
    <w:rsid w:val="00217224"/>
    <w:rPr>
      <w:rFonts w:asciiTheme="majorHAnsi" w:eastAsiaTheme="majorEastAsia" w:hAnsiTheme="majorHAnsi" w:cstheme="majorBidi"/>
      <w:color w:val="2E74B5" w:themeColor="accent1" w:themeShade="BF"/>
      <w:sz w:val="32"/>
      <w:szCs w:val="32"/>
    </w:rPr>
  </w:style>
  <w:style w:type="paragraph" w:customStyle="1" w:styleId="Autora">
    <w:name w:val="Autoría"/>
    <w:basedOn w:val="Normal"/>
    <w:rsid w:val="00217224"/>
    <w:pPr>
      <w:spacing w:before="240" w:after="240"/>
      <w:jc w:val="both"/>
    </w:pPr>
    <w:rPr>
      <w:rFonts w:ascii="Arial" w:eastAsia="Times New Roman" w:hAnsi="Arial" w:cs="Times New Roman"/>
      <w:b/>
      <w:sz w:val="20"/>
    </w:rPr>
  </w:style>
  <w:style w:type="paragraph" w:styleId="Textoindependiente">
    <w:name w:val="Body Text"/>
    <w:basedOn w:val="Normal"/>
    <w:link w:val="TextoindependienteCar"/>
    <w:uiPriority w:val="1"/>
    <w:qFormat/>
    <w:rsid w:val="00D06BE2"/>
    <w:pPr>
      <w:widowControl w:val="0"/>
      <w:autoSpaceDE w:val="0"/>
      <w:autoSpaceDN w:val="0"/>
      <w:spacing w:after="0" w:line="240" w:lineRule="auto"/>
    </w:pPr>
    <w:rPr>
      <w:rFonts w:ascii="Cambria" w:eastAsia="Cambria" w:hAnsi="Cambria" w:cs="Cambria"/>
      <w:sz w:val="24"/>
      <w:szCs w:val="24"/>
      <w:lang w:eastAsia="en-US"/>
    </w:rPr>
  </w:style>
  <w:style w:type="character" w:customStyle="1" w:styleId="TextoindependienteCar">
    <w:name w:val="Texto independiente Car"/>
    <w:basedOn w:val="Fuentedeprrafopredeter"/>
    <w:link w:val="Textoindependiente"/>
    <w:uiPriority w:val="1"/>
    <w:rsid w:val="00D06BE2"/>
    <w:rPr>
      <w:rFonts w:ascii="Cambria" w:eastAsia="Cambria" w:hAnsi="Cambria" w:cs="Cambria"/>
      <w:sz w:val="24"/>
      <w:szCs w:val="24"/>
      <w:lang w:eastAsia="en-US"/>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cs="Arial"/>
      <w:sz w:val="20"/>
      <w:szCs w:val="20"/>
    </w:rPr>
  </w:style>
  <w:style w:type="character" w:styleId="Refdecomentario">
    <w:name w:val="annotation reference"/>
    <w:basedOn w:val="Fuentedeprrafopredeter"/>
    <w:uiPriority w:val="99"/>
    <w:semiHidden/>
    <w:unhideWhenUsed/>
    <w:rPr>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Bibliografa">
    <w:name w:val="Bibliography"/>
    <w:basedOn w:val="Normal"/>
    <w:next w:val="Normal"/>
    <w:uiPriority w:val="37"/>
    <w:semiHidden/>
    <w:unhideWhenUsed/>
    <w:rsid w:val="00E72C41"/>
  </w:style>
  <w:style w:type="character" w:styleId="Mencinsinresolver">
    <w:name w:val="Unresolved Mention"/>
    <w:basedOn w:val="Fuentedeprrafopredeter"/>
    <w:uiPriority w:val="99"/>
    <w:semiHidden/>
    <w:unhideWhenUsed/>
    <w:rsid w:val="00E72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dici.unlp.edu.ar/handle/10915/18187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hal.science/hal-03648814v1" TargetMode="External"/><Relationship Id="rId4" Type="http://schemas.openxmlformats.org/officeDocument/2006/relationships/settings" Target="settings.xml"/><Relationship Id="rId9" Type="http://schemas.openxmlformats.org/officeDocument/2006/relationships/hyperlink" Target="https://id.caicyt.gov.ar/ark:/s18528171/z42ck6bfk"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2iVYZC+bzlwSG0hqYdgS5XRugw==">CgMxLjAyDmguOGd3eHhjYmJ3aWdtMg5oLnk3ZXpzaG1jdnNhZzIIaC5namRneHM4AHIhMXRSS2RRaGEya192d2J5aGx0ZDAyenpYbGhzQk93SDU0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3446</Words>
  <Characters>18955</Characters>
  <Application>Microsoft Office Word</Application>
  <DocSecurity>0</DocSecurity>
  <Lines>157</Lines>
  <Paragraphs>44</Paragraphs>
  <ScaleCrop>false</ScaleCrop>
  <Company/>
  <LinksUpToDate>false</LinksUpToDate>
  <CharactersWithSpaces>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jm.valle</dc:creator>
  <cp:lastModifiedBy>Nancy Montes</cp:lastModifiedBy>
  <cp:revision>2</cp:revision>
  <dcterms:created xsi:type="dcterms:W3CDTF">2026-07-21T15:45:00Z</dcterms:created>
  <dcterms:modified xsi:type="dcterms:W3CDTF">2026-07-21T15:45:00Z</dcterms:modified>
</cp:coreProperties>
</file>