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262626"/>
          <w:sz w:val="40"/>
          <w:szCs w:val="40"/>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262626"/>
          <w:sz w:val="40"/>
          <w:szCs w:val="40"/>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240" w:lineRule="auto"/>
        <w:ind w:left="400" w:firstLine="0"/>
        <w:jc w:val="center"/>
        <w:rPr>
          <w:rFonts w:ascii="Times New Roman" w:cs="Times New Roman" w:eastAsia="Times New Roman" w:hAnsi="Times New Roman"/>
          <w:b w:val="1"/>
          <w:bCs w:val="1"/>
          <w:color w:val="262626"/>
          <w:sz w:val="40"/>
          <w:szCs w:val="40"/>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262626"/>
          <w:sz w:val="40"/>
          <w:szCs w:val="40"/>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Resumen Ampliado para Sesiones de ATs/GTs</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b w:val="1"/>
          <w:bCs w:val="1"/>
          <w:color w:val="262626"/>
          <w:sz w:val="28"/>
          <w:szCs w:val="28"/>
        </w:rPr>
      </w:pP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262626"/>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262626"/>
          <w:sz w:val="24"/>
          <w:szCs w:val="24"/>
          <w:rtl w:val="0"/>
        </w:rPr>
        <w:t xml:space="preserve">Área temática:</w:t>
      </w:r>
      <w:r w:rsidDel="00000000" w:rsidR="00000000" w:rsidRPr="00000000">
        <w:rPr>
          <w:rFonts w:ascii="Times New Roman" w:cs="Times New Roman" w:eastAsia="Times New Roman" w:hAnsi="Times New Roman"/>
          <w:color w:val="262626"/>
          <w:rtl w:val="0"/>
        </w:rPr>
        <w:t xml:space="preserve"> GT Usos de información estadística y acceso a datos públicos </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Título del Trabajo: </w:t>
      </w:r>
      <w:r w:rsidDel="00000000" w:rsidR="00000000" w:rsidRPr="00000000">
        <w:rPr>
          <w:rFonts w:ascii="Times New Roman" w:cs="Times New Roman" w:eastAsia="Times New Roman" w:hAnsi="Times New Roman"/>
          <w:color w:val="262626"/>
          <w:sz w:val="24"/>
          <w:szCs w:val="24"/>
          <w:rtl w:val="0"/>
        </w:rPr>
        <w:t xml:space="preserve">¿Qué pueden aportar las evaluaciones estandarizadas al estudio de la resiliencia escolar? Evidencia a partir del ERCE 2019</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Autoras:</w:t>
      </w:r>
    </w:p>
    <w:p w:rsidR="00000000" w:rsidDel="00000000" w:rsidP="00000000" w:rsidRDefault="00000000" w:rsidRPr="00000000" w14:paraId="00000009">
      <w:pPr>
        <w:pBdr>
          <w:top w:space="0" w:sz="0" w:val="nil"/>
          <w:left w:space="0" w:sz="0" w:val="nil"/>
          <w:bottom w:space="0" w:sz="0" w:val="nil"/>
          <w:right w:space="0" w:sz="0" w:val="nil"/>
          <w:between w:space="0" w:sz="0" w:val="nil"/>
        </w:pBdr>
        <w:ind w:hanging="2"/>
        <w:rPr>
          <w:rFonts w:ascii="Times New Roman" w:cs="Times New Roman" w:eastAsia="Times New Roman" w:hAnsi="Times New Roman"/>
          <w:color w:val="262626"/>
          <w:sz w:val="20"/>
          <w:szCs w:val="20"/>
        </w:rPr>
      </w:pPr>
      <w:r w:rsidDel="00000000" w:rsidR="00000000" w:rsidRPr="00000000">
        <w:rPr>
          <w:rFonts w:ascii="Times New Roman" w:cs="Times New Roman" w:eastAsia="Times New Roman" w:hAnsi="Times New Roman"/>
          <w:b w:val="1"/>
          <w:bCs w:val="1"/>
          <w:color w:val="262626"/>
          <w:sz w:val="24"/>
          <w:szCs w:val="24"/>
          <w:rtl w:val="0"/>
        </w:rPr>
        <w:t xml:space="preserve">Krüger, Natalia </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Departamento de Economía, Universidad Nacional del Sur (UNS) e Instituto de Investigaciones Económicas y Sociales del Sur (IIESS, UNS- CONICET), Bahía Blanca</w:t>
      </w:r>
      <w:r w:rsidDel="00000000" w:rsidR="00000000" w:rsidRPr="00000000">
        <w:rPr>
          <w:rFonts w:ascii="Bookman Old Style" w:cs="Bookman Old Style" w:eastAsia="Bookman Old Style" w:hAnsi="Bookman Old Style"/>
          <w:color w:val="262626"/>
          <w:sz w:val="16"/>
          <w:szCs w:val="16"/>
          <w:rtl w:val="0"/>
        </w:rPr>
        <w:t xml:space="preserve"> </w:t>
      </w:r>
      <w:r w:rsidDel="00000000" w:rsidR="00000000" w:rsidRPr="00000000">
        <w:rPr>
          <w:rFonts w:ascii="Times New Roman" w:cs="Times New Roman" w:eastAsia="Times New Roman" w:hAnsi="Times New Roman"/>
          <w:color w:val="262626"/>
          <w:sz w:val="24"/>
          <w:szCs w:val="24"/>
          <w:rtl w:val="0"/>
        </w:rPr>
        <w:t xml:space="preserve">– </w:t>
      </w:r>
      <w:hyperlink r:id="rId7">
        <w:r w:rsidDel="00000000" w:rsidR="00000000" w:rsidRPr="00000000">
          <w:rPr>
            <w:rFonts w:ascii="Times New Roman" w:cs="Times New Roman" w:eastAsia="Times New Roman" w:hAnsi="Times New Roman"/>
            <w:color w:val="262626"/>
            <w:sz w:val="24"/>
            <w:szCs w:val="24"/>
            <w:u w:val="single"/>
            <w:rtl w:val="0"/>
          </w:rPr>
          <w:t xml:space="preserve">natalia.kruger@uns.edu.ar</w:t>
        </w:r>
      </w:hyperlink>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Formichella, María Marta </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Departamento de Economía, Universidad Nacional del Sur (UNS) e Instituto de Investigaciones Económicas y Sociales del Sur (IIESS, UNS- CONICET), Bahía Blanca</w:t>
      </w:r>
      <w:r w:rsidDel="00000000" w:rsidR="00000000" w:rsidRPr="00000000">
        <w:rPr>
          <w:rFonts w:ascii="Bookman Old Style" w:cs="Bookman Old Style" w:eastAsia="Bookman Old Style" w:hAnsi="Bookman Old Style"/>
          <w:color w:val="262626"/>
          <w:sz w:val="16"/>
          <w:szCs w:val="16"/>
          <w:rtl w:val="0"/>
        </w:rPr>
        <w:t xml:space="preserve"> </w:t>
      </w:r>
      <w:r w:rsidDel="00000000" w:rsidR="00000000" w:rsidRPr="00000000">
        <w:rPr>
          <w:rFonts w:ascii="Times New Roman" w:cs="Times New Roman" w:eastAsia="Times New Roman" w:hAnsi="Times New Roman"/>
          <w:color w:val="262626"/>
          <w:sz w:val="24"/>
          <w:szCs w:val="24"/>
          <w:rtl w:val="0"/>
        </w:rPr>
        <w:t xml:space="preserve">– </w:t>
      </w:r>
      <w:hyperlink r:id="rId8">
        <w:r w:rsidDel="00000000" w:rsidR="00000000" w:rsidRPr="00000000">
          <w:rPr>
            <w:rFonts w:ascii="Times New Roman" w:cs="Times New Roman" w:eastAsia="Times New Roman" w:hAnsi="Times New Roman"/>
            <w:color w:val="262626"/>
            <w:sz w:val="24"/>
            <w:szCs w:val="24"/>
            <w:u w:val="single"/>
            <w:rtl w:val="0"/>
          </w:rPr>
          <w:t xml:space="preserve">natalia.kruger@uns.edu.ar</w:t>
        </w:r>
      </w:hyperlink>
      <w:r w:rsidDel="00000000" w:rsidR="00000000" w:rsidRPr="00000000">
        <w:rPr>
          <w:rtl w:val="0"/>
        </w:rPr>
      </w:r>
    </w:p>
    <w:p w:rsidR="00000000" w:rsidDel="00000000" w:rsidP="00000000" w:rsidRDefault="00000000" w:rsidRPr="00000000" w14:paraId="0000000E">
      <w:pPr>
        <w:spacing w:after="0" w:line="36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Título del Proyecto / identificación de la investigación e institución en la que se inscribe el trabajo: </w:t>
      </w:r>
      <w:r w:rsidDel="00000000" w:rsidR="00000000" w:rsidRPr="00000000">
        <w:rPr>
          <w:rFonts w:ascii="Times New Roman" w:cs="Times New Roman" w:eastAsia="Times New Roman" w:hAnsi="Times New Roman"/>
          <w:color w:val="262626"/>
          <w:sz w:val="24"/>
          <w:szCs w:val="24"/>
          <w:rtl w:val="0"/>
        </w:rPr>
        <w:t xml:space="preserve">Proyecto de Grupos de Investigación (PGI): “</w:t>
      </w:r>
      <w:r w:rsidDel="00000000" w:rsidR="00000000" w:rsidRPr="00000000">
        <w:rPr>
          <w:rFonts w:ascii="Times New Roman" w:cs="Times New Roman" w:eastAsia="Times New Roman" w:hAnsi="Times New Roman"/>
          <w:i w:val="1"/>
          <w:iCs w:val="1"/>
          <w:color w:val="262626"/>
          <w:sz w:val="24"/>
          <w:szCs w:val="24"/>
          <w:rtl w:val="0"/>
        </w:rPr>
        <w:t xml:space="preserve">La equidad educativa interna: factores exógenos y endógenos detrás de las desigualdades en la educación básica en Argentina y la localidad de Bahía Blanca</w:t>
      </w:r>
      <w:r w:rsidDel="00000000" w:rsidR="00000000" w:rsidRPr="00000000">
        <w:rPr>
          <w:rFonts w:ascii="Times New Roman" w:cs="Times New Roman" w:eastAsia="Times New Roman" w:hAnsi="Times New Roman"/>
          <w:color w:val="262626"/>
          <w:sz w:val="24"/>
          <w:szCs w:val="24"/>
          <w:rtl w:val="0"/>
        </w:rPr>
        <w:t xml:space="preserve">” (24/E175). Departamento de Economía, UNS.</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Palabras clave: </w:t>
      </w:r>
      <w:r w:rsidDel="00000000" w:rsidR="00000000" w:rsidRPr="00000000">
        <w:rPr>
          <w:rFonts w:ascii="Times New Roman" w:cs="Times New Roman" w:eastAsia="Times New Roman" w:hAnsi="Times New Roman"/>
          <w:color w:val="262626"/>
          <w:sz w:val="24"/>
          <w:szCs w:val="24"/>
          <w:rtl w:val="0"/>
        </w:rPr>
        <w:t xml:space="preserve">equidad educativa; calidad educativa; factores escolares; resiliencia; pruebas estandarizadas de aprendizajes. </w:t>
      </w:r>
      <w:r w:rsidDel="00000000" w:rsidR="00000000" w:rsidRPr="00000000">
        <w:rPr>
          <w:rtl w:val="0"/>
        </w:rPr>
      </w:r>
    </w:p>
    <w:p w:rsidR="00000000" w:rsidDel="00000000" w:rsidP="00000000" w:rsidRDefault="00000000" w:rsidRPr="00000000" w14:paraId="00000012">
      <w:pP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Introducción</w:t>
      </w:r>
    </w:p>
    <w:p w:rsidR="00000000" w:rsidDel="00000000" w:rsidP="00000000" w:rsidRDefault="00000000" w:rsidRPr="00000000" w14:paraId="00000014">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la educación una capacidad esencial para el desarrollo individual y un derecho humano fundamental (Sen, 1999), interesa evaluar en qué medida los sistemas educativos logran proveerla con calidad y equidad. La Economía de la Educación es una de las disciplinas que abordan este problema, realizando aportes teóricos y empíricos que complementan y enriquecen otras perspectivas.</w:t>
      </w:r>
    </w:p>
    <w:p w:rsidR="00000000" w:rsidDel="00000000" w:rsidP="00000000" w:rsidRDefault="00000000" w:rsidRPr="00000000" w14:paraId="00000015">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este campo disciplinar, resulta central la preocupación por la equidad educativa, concepto polisémico que puede referirse a la igualación en el acceso, los medios, los logros escolares o su organización social (López, 2006). En línea con Formichella (2011) y Morduchowicz (2003), se considera aquí que la equidad educativa es un estado en el que todas las personas alcanzan un mínimo común de logros, tanto en cantidad como en calidad, lo que puede requerir compensar factores individuales y familiares que obstaculizan dicha igualación.</w:t>
      </w:r>
    </w:p>
    <w:p w:rsidR="00000000" w:rsidDel="00000000" w:rsidP="00000000" w:rsidRDefault="00000000" w:rsidRPr="00000000" w14:paraId="00000016">
      <w:pP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En este sentido, la literatura ha documentado ampliamente la influencia de las circunstancias de origen sobre el desempeño educativo, destacándose el capital económico, educativo y social familiar (Erberber et al., 2015; Rodríguez de Luque, 2024). En los sistemas educativos latinoamericanos, crecientemente segmentados o fragmentados (Krüger, 2019), la segregación social estudiantil concentra a la población más vulnerable en determinadas instituciones o circuitos escolares, donde convergen múltiples factores desfavorables: efectos de pares menos enriquecedores, menor cantidad y calidad de recursos, expectativas y actitudes poco propicias, clima escolar más conflictivo, entre otros (Krüger, 2020; Murillo et al., 2023). Como consecuencia, los resultados promedio en estos ámbitos suelen ser inferiores.</w:t>
      </w:r>
      <w:r w:rsidDel="00000000" w:rsidR="00000000" w:rsidRPr="00000000">
        <w:rPr>
          <w:rtl w:val="0"/>
        </w:rPr>
      </w:r>
    </w:p>
    <w:p w:rsidR="00000000" w:rsidDel="00000000" w:rsidP="00000000" w:rsidRDefault="00000000" w:rsidRPr="00000000" w14:paraId="00000017">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desconocer la influencia de los condicionantes sociales a nivel individual y escolar, es posible identificar instituciones especialmente eficaces (Valenti Nigrini, 2022), cuyos estudiantes alcanzan resultados superiores a los esperados dadas las circunstancias iniciales, denominadas aquí “escuelas resilientes” (Formichella y Krüger, 2025; Krüger, Formichella y Hamodi Galán, 2022). Conocer las características institucionales asociadas a esta situación resulta relevante para el diseño de políticas educativas orientadas a promover la equidad.</w:t>
      </w:r>
    </w:p>
    <w:p w:rsidR="00000000" w:rsidDel="00000000" w:rsidP="00000000" w:rsidRDefault="00000000" w:rsidRPr="00000000" w14:paraId="00000018">
      <w:pP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Esta ponencia tiene como objetivo analizar los alcances y limitaciones de las fuentes de información provenientes de evaluaciones de aprendizaje (PEA) a gran escala para explorar los factores escolares que contribuyen a la resiliencia institucional. Es decir, en lugar del enfoque predominante en Economía de la Educación, centrado en los determinantes individuales del aprendizaje, se busca mostrar cómo las PEA también permiten realizar evaluaciones a nivel escuela. Asimismo, más allá de los recursos materiales y de aspectos cuantitativos relativos al personal docente, interesa indagar en una dimensión más intangible de los procesos escolares, vinculada a las actitudes de los actores y la calidad de las relaciones interpersonales.</w:t>
      </w:r>
      <w:r w:rsidDel="00000000" w:rsidR="00000000" w:rsidRPr="00000000">
        <w:rPr>
          <w:rtl w:val="0"/>
        </w:rPr>
      </w:r>
    </w:p>
    <w:p w:rsidR="00000000" w:rsidDel="00000000" w:rsidP="00000000" w:rsidRDefault="00000000" w:rsidRPr="00000000" w14:paraId="00000019">
      <w:pP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Para ello se utilizan datos del Estudio Regional Comparativo y Explicativo (ERCE) 2019, implementado por el Laboratorio Latinoamericano de Evaluación de la Calidad Educativa (LLECE-UNESCO) para medir los logros de aprendizaje de estudiantes de educación primaria de América Latina y el Caribe. En las secciones siguientes se presentan los recortes teórico-conceptuales, los supuestos y decisiones metodológicas que sustentan el análisis; se describe la información contextual familiar y escolar provista por esta fuente; se identifican las principales dificultades para operacionalizar adecuadamente los conceptos de interés; y se sintetizan resultados previos (Formichella y Krüger, 2025) junto con avances de una investigación en curso que emplea técnicas estadísticas más complejas. Finalmente, se discuten las limitaciones y aportes de estos hallazgos para comprender la resiliencia institucional e identificar factores maleables que puedan favorecer la calidad y la equidad educativas en la región.</w:t>
      </w:r>
      <w:r w:rsidDel="00000000" w:rsidR="00000000" w:rsidRPr="00000000">
        <w:rPr>
          <w:rtl w:val="0"/>
        </w:rPr>
      </w:r>
    </w:p>
    <w:p w:rsidR="00000000" w:rsidDel="00000000" w:rsidP="00000000" w:rsidRDefault="00000000" w:rsidRPr="00000000" w14:paraId="0000001A">
      <w:pP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Aspectos teórico-metodológicos</w:t>
      </w:r>
    </w:p>
    <w:p w:rsidR="00000000" w:rsidDel="00000000" w:rsidP="00000000" w:rsidRDefault="00000000" w:rsidRPr="00000000" w14:paraId="0000001B">
      <w:pPr>
        <w:spacing w:after="0" w:line="360" w:lineRule="auto"/>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Marco teórico-conceptual</w:t>
      </w:r>
    </w:p>
    <w:p w:rsidR="00000000" w:rsidDel="00000000" w:rsidP="00000000" w:rsidRDefault="00000000" w:rsidRPr="00000000" w14:paraId="0000001C">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Detrás del concepto de resiliencia adoptado y de su estudio mediante información proveniente de PEA existe un recorte del concepto de calidad educativa que es necesario explicitar. Como señalan Tiana Ferrer (1999) y Poggi (2019), la calidad educativa es un constructo polisémico, complejo y multidimensional que abarca aspectos de eficacia, eficiencia, relevancia, pertinencia y equidad. Desde una aproximación centrada en los logros, la calidad puede evaluarse en relación con la eficacia, la eficiencia o la pertinencia de los objetivos, adoptándose aquí la primera alternativa.</w:t>
      </w:r>
    </w:p>
    <w:p w:rsidR="00000000" w:rsidDel="00000000" w:rsidP="00000000" w:rsidRDefault="00000000" w:rsidRPr="00000000" w14:paraId="0000001D">
      <w:pPr>
        <w:spacing w:after="0" w:line="360" w:lineRule="auto"/>
        <w:ind w:firstLine="567"/>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De acuerdo con Morduchowicz (2003), Dreeben (1968) y Delors (1996), la principal dificultad radica en acordar cuáles son los logros u objetivos deseables, considerando que la educación no se limita al desarrollo de conocimientos o aptitudes, sino que involucra también valores, actitudes y habilidades “no cognitivas”. Aunque existen crecientes esfuerzos por adoptar una mirada más integral sobre los resultados educativos, las dificultades para consensuar definiciones y operacionalizar conceptos complejos explican el énfasis que la Economía de la Educación ha puesto en los resultados cognitivos. La adopción de los resultados en PEA como aproximaciones al logro escolar o a la calidad educativa constituye entonces un primer recorte teórico que debe tenerse presente, ya que implica dejar de lado numerosos saberes y capacidades que circulan en los ámbitos educativos (Heckman y Rubinstein, 2001). La información provista por estos operativos de evaluación a gran escala también ha sido objeto de críticas debido a la descontextualización de los contenidos evaluados, la heterogeneidad en la predisposición o entrenamiento de los alumnos para participar y la dificultad para constituir instancias de evaluación integral y formativa. Asimismo, cada instrumento puede presentar limitaciones metodológicas o de implementación que es necesario considerar al derivar conclusiones.</w:t>
      </w:r>
      <w:r w:rsidDel="00000000" w:rsidR="00000000" w:rsidRPr="00000000">
        <w:rPr>
          <w:rtl w:val="0"/>
        </w:rPr>
      </w:r>
    </w:p>
    <w:p w:rsidR="00000000" w:rsidDel="00000000" w:rsidP="00000000" w:rsidRDefault="00000000" w:rsidRPr="00000000" w14:paraId="0000001E">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cabe profundizar en el concepto de resiliencia, definida por el diccionario de la Real Academia Española como la “capacidad de adaptación frente a un agente perturbador o situación adversa”. Aunque suele atribuirse a los individuos, es posible considerarla a nivel institucional como un atributo sistémico que excede la suma de las capacidades individuales y se desarrolla en comunidad (Milheiro da Silva y Marques da Silva, 2022; Pinskaya et al., 2019). Siguiendo a Romero et al. (2022) y Siebecke y Jarl (2022), se define una escuela resiliente como aquella que, pese a la vulnerabilidad de las condiciones de origen de su alumnado, logra un desempeño superior al esperado.</w:t>
      </w:r>
    </w:p>
    <w:p w:rsidR="00000000" w:rsidDel="00000000" w:rsidP="00000000" w:rsidRDefault="00000000" w:rsidRPr="00000000" w14:paraId="0000001F">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resiliencia escolar puede interpretarse como el resultado de una eficacia especialmente elevada, lo que permite recurrir a un herramental teórico-conceptual de larga tradición: la literatura sobre eficacia escolar. Esta analiza cómo distintos factores y procesos intraescolares influyen en los logros educativos y puede aportar pistas para identificar estrategias y características que favorecen la resiliencia (Bolívar &amp; Murillo, 2017; Reynolds et al., 2011; Romero et al., 2022; Valenti Nigrini, 2022). En esta línea, resultan especialmente útiles los aportes de la Investigación Iberoamericana sobre Eficacia Escolar (Murillo, 2007), que propone y valida empíricamente un modelo teórico adaptado a la región. En él intervienen factores correspondientes a cuatro niveles (alumno, aula, escuela y sistema), clasificados en cuatro funciones (contexto, entrada, proceso y producto), que se articulan para explicar qué promueve la eficacia. El sistema educativo proporciona el contexto en el que factores de entrada —como las características de la escuela, los docentes, las aulas y los alumnos— dan lugar a procesos —vinculados con la dirección y el clima escolar, el compromiso y las expectativas docentes, la implicación de las familias, las prácticas de aula y los hábitos, valores y actitudes de alumnos y familias— que determinan el producto final: el logro de los estudiantes. Esta representación teórica guía la selección de variables relevantes en los análisis aquí presentados.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Metodología</w:t>
      </w:r>
    </w:p>
    <w:p w:rsidR="00000000" w:rsidDel="00000000" w:rsidP="00000000" w:rsidRDefault="00000000" w:rsidRPr="00000000" w14:paraId="00000021">
      <w:pP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La muestra del ERCE 2019 alcanza más de 4000 escuelas y 160 000 niños de tercer y sexto grado de 16 países de América Latina y el Caribe (UNESCO/OREALC, 2021). Aquí se opta por trabajar con la muestra de alumnos de sexto grado, más próximos a culminar la escolaridad primaria, ya que en esta instancia resulta más factible identificar los efectos acumulativos del tránsito escolar y esperar respuestas más fidedignas en el cuestionario de alumnos. La unidad de análisis es la escuela, considerando únicamente aquellas cuya población estudiantil pertenece a hogares de nivel socioeconómico (NSE) bajo. La muestra final incluye 1280 escuelas.</w:t>
      </w:r>
      <w:r w:rsidDel="00000000" w:rsidR="00000000" w:rsidRPr="00000000">
        <w:rPr>
          <w:rFonts w:ascii="Times New Roman" w:cs="Times New Roman" w:eastAsia="Times New Roman" w:hAnsi="Times New Roman"/>
          <w:color w:val="262626"/>
          <w:sz w:val="28"/>
          <w:szCs w:val="28"/>
          <w:rtl w:val="0"/>
        </w:rPr>
        <w:t xml:space="preserve"> </w:t>
      </w:r>
    </w:p>
    <w:p w:rsidR="00000000" w:rsidDel="00000000" w:rsidP="00000000" w:rsidRDefault="00000000" w:rsidRPr="00000000" w14:paraId="00000022">
      <w:pP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Respecto de las variables empleadas, la principal decisión metodológica refiere a la definición de la variable a explicar: la resiliencia escolar. Existen diversas alternativas y umbrales posibles, optándose por identificar como escuela resiliente a aquella que cumple dos condiciones: i) posee una población estudiantil vulnerable, de modo que el NSE promedio de su alumnado es significativamente inferior a la media de las escuelas de su país (escuela potencialmente resiliente); y ii) alcanza un resultado elevado en la prueba de aprendizaje, tal que el puntaje promedio de sus estudiantes es igual o superior a la media de las escuelas de su país.</w:t>
      </w:r>
      <w:r w:rsidDel="00000000" w:rsidR="00000000" w:rsidRPr="00000000">
        <w:rPr>
          <w:rtl w:val="0"/>
        </w:rPr>
      </w:r>
    </w:p>
    <w:p w:rsidR="00000000" w:rsidDel="00000000" w:rsidP="00000000" w:rsidRDefault="00000000" w:rsidRPr="00000000" w14:paraId="00000023">
      <w:pP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Posteriormente, se seleccionaron factores explicativos potencialmente relevantes según la literatura y se los organizó por nivel y función, siguiendo el modelo teórico de eficacia escolar validado por Murillo (2007). En este punto, cabe considerar que la estimación de modelos econométricos requiere restringir en cierta medida el conjunto de variables explicativas y evitar la incorporación de variables estrechamente correlacionadas, debido al posible problema de multicolinealidad. Asimismo, debe reconocerse que todo proceso de operacionalización implica un recorte y una aproximación a los conceptos de interés, además de contemplar las restricciones propias de la fuente de información, procurando minimizar la pérdida de observaciones, descartar variables con respuestas inconsistentes y garantizar suficiente variabilidad en sus valores.</w:t>
      </w:r>
      <w:r w:rsidDel="00000000" w:rsidR="00000000" w:rsidRPr="00000000">
        <w:rPr>
          <w:rtl w:val="0"/>
        </w:rPr>
      </w:r>
    </w:p>
    <w:p w:rsidR="00000000" w:rsidDel="00000000" w:rsidP="00000000" w:rsidRDefault="00000000" w:rsidRPr="00000000" w14:paraId="00000024">
      <w:pP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4"/>
          <w:szCs w:val="24"/>
          <w:rtl w:val="0"/>
        </w:rPr>
        <w:t xml:space="preserve">En la siguiente tabla se sintetizan las variables explicativas consideradas en los análisis:</w:t>
      </w:r>
      <w:r w:rsidDel="00000000" w:rsidR="00000000" w:rsidRPr="00000000">
        <w:rPr>
          <w:rtl w:val="0"/>
        </w:rPr>
      </w:r>
    </w:p>
    <w:p w:rsidR="00000000" w:rsidDel="00000000" w:rsidP="00000000" w:rsidRDefault="00000000" w:rsidRPr="00000000" w14:paraId="00000025">
      <w:pPr>
        <w:spacing w:after="0" w:line="360" w:lineRule="auto"/>
        <w:jc w:val="center"/>
        <w:rPr>
          <w:rFonts w:ascii="Times New Roman" w:cs="Times New Roman" w:eastAsia="Times New Roman" w:hAnsi="Times New Roman"/>
          <w:b w:val="1"/>
          <w:bCs w:val="1"/>
          <w:color w:val="262626"/>
          <w:sz w:val="23"/>
          <w:szCs w:val="23"/>
        </w:rPr>
      </w:pPr>
      <w:r w:rsidDel="00000000" w:rsidR="00000000" w:rsidRPr="00000000">
        <w:rPr>
          <w:rFonts w:ascii="Times New Roman" w:cs="Times New Roman" w:eastAsia="Times New Roman" w:hAnsi="Times New Roman"/>
          <w:b w:val="1"/>
          <w:bCs w:val="1"/>
          <w:color w:val="262626"/>
          <w:sz w:val="23"/>
          <w:szCs w:val="23"/>
          <w:rtl w:val="0"/>
        </w:rPr>
        <w:t xml:space="preserve">Variables explicativas </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5388"/>
        <w:gridCol w:w="1344"/>
        <w:tblGridChange w:id="0">
          <w:tblGrid>
            <w:gridCol w:w="1762"/>
            <w:gridCol w:w="5388"/>
            <w:gridCol w:w="1344"/>
          </w:tblGrid>
        </w:tblGridChange>
      </w:tblGrid>
      <w:tr>
        <w:trPr>
          <w:cantSplit w:val="0"/>
          <w:tblHeader w:val="0"/>
        </w:trPr>
        <w:tc>
          <w:tcPr>
            <w:shd w:fill="f2f2f2" w:val="clear"/>
            <w:vAlign w:val="center"/>
          </w:tcPr>
          <w:p w:rsidR="00000000" w:rsidDel="00000000" w:rsidP="00000000" w:rsidRDefault="00000000" w:rsidRPr="00000000" w14:paraId="00000026">
            <w:pPr>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Dimensión</w:t>
            </w:r>
          </w:p>
        </w:tc>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Variable</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Tipo de variable</w:t>
            </w:r>
          </w:p>
        </w:tc>
      </w:tr>
      <w:tr>
        <w:trPr>
          <w:cantSplit w:val="0"/>
          <w:tblHeader w:val="0"/>
        </w:trPr>
        <w:tc>
          <w:tcPr>
            <w:vMerge w:val="restart"/>
            <w:vAlign w:val="center"/>
          </w:tcPr>
          <w:p w:rsidR="00000000" w:rsidDel="00000000" w:rsidP="00000000" w:rsidRDefault="00000000" w:rsidRPr="00000000" w14:paraId="00000029">
            <w:pP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Características de los alumnos y sus hogares</w:t>
            </w:r>
          </w:p>
        </w:tc>
        <w:tc>
          <w:tcPr>
            <w:vAlign w:val="center"/>
          </w:tcPr>
          <w:p w:rsidR="00000000" w:rsidDel="00000000" w:rsidP="00000000" w:rsidRDefault="00000000" w:rsidRPr="00000000" w14:paraId="0000002A">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Violencia en el barrio del hogar (VIOBF) promedio </w:t>
            </w:r>
          </w:p>
        </w:tc>
        <w:tc>
          <w:tcPr>
            <w:vAlign w:val="center"/>
          </w:tcPr>
          <w:p w:rsidR="00000000" w:rsidDel="00000000" w:rsidP="00000000" w:rsidRDefault="00000000" w:rsidRPr="00000000" w14:paraId="0000002B">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contexto</w:t>
            </w:r>
          </w:p>
        </w:tc>
      </w:tr>
      <w:tr>
        <w:trPr>
          <w:cantSplit w:val="0"/>
          <w:tblHeader w:val="0"/>
        </w:trPr>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2D">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Proporción de estudiantes mujeres</w:t>
            </w:r>
          </w:p>
        </w:tc>
        <w:tc>
          <w:tcPr>
            <w:vAlign w:val="center"/>
          </w:tcPr>
          <w:p w:rsidR="00000000" w:rsidDel="00000000" w:rsidP="00000000" w:rsidRDefault="00000000" w:rsidRPr="00000000" w14:paraId="0000002E">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entrada</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30">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Proporción de alumnos repitentes</w:t>
            </w:r>
          </w:p>
        </w:tc>
        <w:tc>
          <w:tcPr>
            <w:vAlign w:val="center"/>
          </w:tcPr>
          <w:p w:rsidR="00000000" w:rsidDel="00000000" w:rsidP="00000000" w:rsidRDefault="00000000" w:rsidRPr="00000000" w14:paraId="00000031">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entrada</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33">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NSE (ISECF) promedio escolar</w:t>
            </w:r>
          </w:p>
        </w:tc>
        <w:tc>
          <w:tcPr>
            <w:vAlign w:val="center"/>
          </w:tcPr>
          <w:p w:rsidR="00000000" w:rsidDel="00000000" w:rsidP="00000000" w:rsidRDefault="00000000" w:rsidRPr="00000000" w14:paraId="00000034">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entrada</w:t>
            </w:r>
          </w:p>
        </w:tc>
      </w:tr>
      <w:tr>
        <w:trPr>
          <w:cantSplit w:val="0"/>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36">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Sentido de pertenencia escolar (SPESC) promedio</w:t>
            </w:r>
          </w:p>
        </w:tc>
        <w:tc>
          <w:tcPr>
            <w:vAlign w:val="center"/>
          </w:tcPr>
          <w:p w:rsidR="00000000" w:rsidDel="00000000" w:rsidP="00000000" w:rsidRDefault="00000000" w:rsidRPr="00000000" w14:paraId="00000037">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39">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Proporción de alumnos con expectativas académicas familiares altas</w:t>
            </w:r>
          </w:p>
        </w:tc>
        <w:tc>
          <w:tcPr>
            <w:vAlign w:val="center"/>
          </w:tcPr>
          <w:p w:rsidR="00000000" w:rsidDel="00000000" w:rsidP="00000000" w:rsidRDefault="00000000" w:rsidRPr="00000000" w14:paraId="0000003A">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restart"/>
            <w:vAlign w:val="center"/>
          </w:tcPr>
          <w:p w:rsidR="00000000" w:rsidDel="00000000" w:rsidP="00000000" w:rsidRDefault="00000000" w:rsidRPr="00000000" w14:paraId="0000003B">
            <w:pP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Características del aula y los docentes</w:t>
            </w:r>
          </w:p>
        </w:tc>
        <w:tc>
          <w:tcPr>
            <w:vAlign w:val="center"/>
          </w:tcPr>
          <w:p w:rsidR="00000000" w:rsidDel="00000000" w:rsidP="00000000" w:rsidRDefault="00000000" w:rsidRPr="00000000" w14:paraId="0000003C">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Condiciones sociolaborales y experiencia del profesorado (antigüedad del docente)</w:t>
            </w:r>
          </w:p>
        </w:tc>
        <w:tc>
          <w:tcPr>
            <w:vAlign w:val="center"/>
          </w:tcPr>
          <w:p w:rsidR="00000000" w:rsidDel="00000000" w:rsidP="00000000" w:rsidRDefault="00000000" w:rsidRPr="00000000" w14:paraId="0000003D">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entrada</w:t>
            </w:r>
          </w:p>
        </w:tc>
      </w:tr>
      <w:tr>
        <w:trPr>
          <w:cantSplit w:val="0"/>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3F">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Inasistencia e impuntualidad de los docentes  (ASISP) promedio</w:t>
            </w:r>
          </w:p>
        </w:tc>
        <w:tc>
          <w:tcPr>
            <w:vAlign w:val="center"/>
          </w:tcPr>
          <w:p w:rsidR="00000000" w:rsidDel="00000000" w:rsidP="00000000" w:rsidRDefault="00000000" w:rsidRPr="00000000" w14:paraId="00000040">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42">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Interés por el bienestar de los estudiantes (CLBIE) promedio</w:t>
            </w:r>
          </w:p>
        </w:tc>
        <w:tc>
          <w:tcPr>
            <w:vAlign w:val="center"/>
          </w:tcPr>
          <w:p w:rsidR="00000000" w:rsidDel="00000000" w:rsidP="00000000" w:rsidRDefault="00000000" w:rsidRPr="00000000" w14:paraId="00000043">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45">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Apoyo al aprendizaje en la asignatura (AAEMA, AAECI, AAELA) en promedio</w:t>
            </w:r>
          </w:p>
        </w:tc>
        <w:tc>
          <w:tcPr>
            <w:vAlign w:val="center"/>
          </w:tcPr>
          <w:p w:rsidR="00000000" w:rsidDel="00000000" w:rsidP="00000000" w:rsidRDefault="00000000" w:rsidRPr="00000000" w14:paraId="00000046">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48">
            <w:pPr>
              <w:spacing w:after="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Clima del aula (disrupción en el aula durante</w:t>
            </w:r>
          </w:p>
          <w:p w:rsidR="00000000" w:rsidDel="00000000" w:rsidP="00000000" w:rsidRDefault="00000000" w:rsidRPr="00000000" w14:paraId="00000049">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cada asignatura, DISLA, DISMA, DISCI) promedio</w:t>
            </w:r>
          </w:p>
        </w:tc>
        <w:tc>
          <w:tcPr>
            <w:vAlign w:val="center"/>
          </w:tcPr>
          <w:p w:rsidR="00000000" w:rsidDel="00000000" w:rsidP="00000000" w:rsidRDefault="00000000" w:rsidRPr="00000000" w14:paraId="0000004A">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restart"/>
            <w:vAlign w:val="center"/>
          </w:tcPr>
          <w:p w:rsidR="00000000" w:rsidDel="00000000" w:rsidP="00000000" w:rsidRDefault="00000000" w:rsidRPr="00000000" w14:paraId="0000004B">
            <w:pPr>
              <w:spacing w:after="0"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Características de la escuela</w:t>
            </w:r>
          </w:p>
          <w:p w:rsidR="00000000" w:rsidDel="00000000" w:rsidP="00000000" w:rsidRDefault="00000000" w:rsidRPr="00000000" w14:paraId="0000004C">
            <w:pPr>
              <w:rPr>
                <w:rFonts w:ascii="Times New Roman" w:cs="Times New Roman" w:eastAsia="Times New Roman" w:hAnsi="Times New Roman"/>
                <w:b w:val="1"/>
                <w:bCs w:val="1"/>
                <w:color w:val="262626"/>
                <w:sz w:val="24"/>
                <w:szCs w:val="24"/>
              </w:rPr>
            </w:pPr>
            <w:r w:rsidDel="00000000" w:rsidR="00000000" w:rsidRPr="00000000">
              <w:rPr>
                <w:rtl w:val="0"/>
              </w:rPr>
            </w:r>
          </w:p>
        </w:tc>
        <w:tc>
          <w:tcPr>
            <w:vAlign w:val="center"/>
          </w:tcPr>
          <w:p w:rsidR="00000000" w:rsidDel="00000000" w:rsidP="00000000" w:rsidRDefault="00000000" w:rsidRPr="00000000" w14:paraId="0000004D">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Localización de la escuela (rural o no)</w:t>
            </w:r>
          </w:p>
        </w:tc>
        <w:tc>
          <w:tcPr>
            <w:vAlign w:val="center"/>
          </w:tcPr>
          <w:p w:rsidR="00000000" w:rsidDel="00000000" w:rsidP="00000000" w:rsidRDefault="00000000" w:rsidRPr="00000000" w14:paraId="0000004E">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contexto</w:t>
            </w:r>
          </w:p>
        </w:tc>
      </w:tr>
      <w:tr>
        <w:trPr>
          <w:cantSplit w:val="0"/>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50">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Condiciones sociolaborales del directivo (antigüedad del director) </w:t>
            </w:r>
          </w:p>
        </w:tc>
        <w:tc>
          <w:tcPr>
            <w:vAlign w:val="center"/>
          </w:tcPr>
          <w:p w:rsidR="00000000" w:rsidDel="00000000" w:rsidP="00000000" w:rsidRDefault="00000000" w:rsidRPr="00000000" w14:paraId="00000051">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entrada</w:t>
            </w:r>
          </w:p>
        </w:tc>
      </w:tr>
      <w:tr>
        <w:trPr>
          <w:cantSplit w:val="0"/>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53">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Recursos materiales e infraestructura</w:t>
            </w:r>
          </w:p>
        </w:tc>
        <w:tc>
          <w:tcPr>
            <w:vAlign w:val="center"/>
          </w:tcPr>
          <w:p w:rsidR="00000000" w:rsidDel="00000000" w:rsidP="00000000" w:rsidRDefault="00000000" w:rsidRPr="00000000" w14:paraId="00000054">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entrada</w:t>
            </w:r>
          </w:p>
        </w:tc>
      </w:tr>
      <w:tr>
        <w:trPr>
          <w:cantSplit w:val="0"/>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56">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Liderazgo pedagógico del director (LIDE)</w:t>
            </w:r>
          </w:p>
        </w:tc>
        <w:tc>
          <w:tcPr>
            <w:vAlign w:val="center"/>
          </w:tcPr>
          <w:p w:rsidR="00000000" w:rsidDel="00000000" w:rsidP="00000000" w:rsidRDefault="00000000" w:rsidRPr="00000000" w14:paraId="00000057">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59">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Baja implicación de las familias</w:t>
            </w:r>
          </w:p>
        </w:tc>
        <w:tc>
          <w:tcPr>
            <w:vAlign w:val="center"/>
          </w:tcPr>
          <w:p w:rsidR="00000000" w:rsidDel="00000000" w:rsidP="00000000" w:rsidRDefault="00000000" w:rsidRPr="00000000" w14:paraId="0000005A">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Clima escolar (violencia al interior de la escuela, VIOES)</w:t>
            </w:r>
          </w:p>
        </w:tc>
        <w:tc>
          <w:tcPr>
            <w:vAlign w:val="center"/>
          </w:tcPr>
          <w:p w:rsidR="00000000" w:rsidDel="00000000" w:rsidP="00000000" w:rsidRDefault="00000000" w:rsidRPr="00000000" w14:paraId="0000005D">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Merge w:val="continue"/>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62626"/>
                <w:sz w:val="24"/>
                <w:szCs w:val="24"/>
              </w:rPr>
            </w:pPr>
            <w:r w:rsidDel="00000000" w:rsidR="00000000" w:rsidRPr="00000000">
              <w:rPr>
                <w:rtl w:val="0"/>
              </w:rPr>
            </w:r>
          </w:p>
        </w:tc>
        <w:tc>
          <w:tcPr>
            <w:vAlign w:val="center"/>
          </w:tcPr>
          <w:p w:rsidR="00000000" w:rsidDel="00000000" w:rsidP="00000000" w:rsidRDefault="00000000" w:rsidRPr="00000000" w14:paraId="0000005F">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Tiempo destinado al aprendizaje (jornada extendida o no)</w:t>
            </w:r>
          </w:p>
        </w:tc>
        <w:tc>
          <w:tcPr>
            <w:vAlign w:val="center"/>
          </w:tcPr>
          <w:p w:rsidR="00000000" w:rsidDel="00000000" w:rsidP="00000000" w:rsidRDefault="00000000" w:rsidRPr="00000000" w14:paraId="00000060">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proceso</w:t>
            </w:r>
          </w:p>
        </w:tc>
      </w:tr>
      <w:tr>
        <w:trPr>
          <w:cantSplit w:val="0"/>
          <w:tblHeader w:val="0"/>
        </w:trPr>
        <w:tc>
          <w:tcPr>
            <w:vAlign w:val="center"/>
          </w:tcPr>
          <w:p w:rsidR="00000000" w:rsidDel="00000000" w:rsidP="00000000" w:rsidRDefault="00000000" w:rsidRPr="00000000" w14:paraId="00000061">
            <w:pPr>
              <w:spacing w:after="0" w:lineRule="auto"/>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Sistema educativo y contexto en el que se inscribe</w:t>
            </w:r>
          </w:p>
          <w:p w:rsidR="00000000" w:rsidDel="00000000" w:rsidP="00000000" w:rsidRDefault="00000000" w:rsidRPr="00000000" w14:paraId="00000062">
            <w:pPr>
              <w:rPr>
                <w:rFonts w:ascii="Times New Roman" w:cs="Times New Roman" w:eastAsia="Times New Roman" w:hAnsi="Times New Roman"/>
                <w:b w:val="1"/>
                <w:bCs w:val="1"/>
                <w:color w:val="262626"/>
                <w:sz w:val="24"/>
                <w:szCs w:val="24"/>
              </w:rPr>
            </w:pPr>
            <w:r w:rsidDel="00000000" w:rsidR="00000000" w:rsidRPr="00000000">
              <w:rPr>
                <w:rtl w:val="0"/>
              </w:rPr>
            </w:r>
          </w:p>
        </w:tc>
        <w:tc>
          <w:tcPr>
            <w:vAlign w:val="center"/>
          </w:tcPr>
          <w:p w:rsidR="00000000" w:rsidDel="00000000" w:rsidP="00000000" w:rsidRDefault="00000000" w:rsidRPr="00000000" w14:paraId="00000063">
            <w:pP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Efectos fijos por país</w:t>
            </w:r>
          </w:p>
        </w:tc>
        <w:tc>
          <w:tcPr>
            <w:vAlign w:val="center"/>
          </w:tcPr>
          <w:p w:rsidR="00000000" w:rsidDel="00000000" w:rsidP="00000000" w:rsidRDefault="00000000" w:rsidRPr="00000000" w14:paraId="00000064">
            <w:pPr>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de contexto</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0" w:line="360" w:lineRule="auto"/>
        <w:jc w:val="both"/>
        <w:rPr>
          <w:rFonts w:ascii="Humanist777BT-LightB" w:cs="Humanist777BT-LightB" w:eastAsia="Humanist777BT-LightB" w:hAnsi="Humanist777BT-LightB"/>
          <w:color w:val="262626"/>
          <w:sz w:val="23"/>
          <w:szCs w:val="23"/>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En todos los casos, para trabajar con la escuela como unidad de análisis fue necesario colapsar o agregar la información individual y transformarla en indicadores institucionales. Para ello, conviene descartar las escuelas con muestras muy pequeñas de alumnos, aunque esto no representa un problema en este caso, dado que es insignificante la cantidad de instituciones con menos de 10 estudiantes.</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La agregación de variables individuales resulta sencilla en el caso de las categóricas, ya que se calcula el porcentaje de alumnos de cada escuela que pertenecen a una determinada categoría (por ej., género femenino, NSE bajo). En las variables cuantitativas se utiliza el promedio de las respuestas de los alumnos de cada escuela. Como medida de precaución, se evalúa la confiabilidad y representatividad de dichos promedios mediante la estimación del Coeficiente de Correlación Intraclase (2) y su comparación con los umbrales establecidos por Bliese (2000).</w:t>
      </w:r>
      <w:r w:rsidDel="00000000" w:rsidR="00000000" w:rsidRPr="00000000">
        <w:rPr>
          <w:rFonts w:ascii="Times New Roman" w:cs="Times New Roman" w:eastAsia="Times New Roman" w:hAnsi="Times New Roman"/>
          <w:color w:val="262626"/>
          <w:sz w:val="28"/>
          <w:szCs w:val="28"/>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En cuanto a las variables que reflejan atributos docentes, una particularidad del ERCE es que provee información específica para los docentes de cada área (Lengua, Matemática y Ciencias). Por ello, si se desea trabajar con un indicador único de logro que unifique los resultados en las tres áreas, es necesario definir una estrategia de agregación de las características docentes. Una alternativa sencilla y adecuada consiste en utilizar el promedio. Sin embargo, esta decisión implica una pérdida de información, ya que deja de ser posible vincular a cada docente con los resultados obtenidos en su asignatura específica.</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sz w:val="24"/>
          <w:szCs w:val="24"/>
          <w:rtl w:val="0"/>
        </w:rPr>
        <w:t xml:space="preserve">Por último, cabe destacar que una de las ventajas del ERCE como fuente de información es la disponibilidad de numerosos índices sintéticos previamente validados, construidos mediante modelos de respuesta para representar constructos de mayor abstracción, como el nivel socioeconómico familiar, la disrupción en el aula o el apoyo al aprendizaje de los estudiantes. Esto facilita el análisis y contribuye a garantizar su rigurosidad.</w: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de los métodos empleados, el análisis publicado en Formichella y Krüger (2025) sigue un abordaje habitual y ampliamente aceptado en los estudios de resiliencia: la estimación de modelos de regresión logística, dado que la variable de respuesta es binaria —escuela resiliente o no resiliente—. En este caso, se estimaron modelos separados para cada área evaluada por el ERCE, ya que existe evidencia acerca de la diferenciación de los efectos escolares según la variable de logro considerada (Murillo, 2007). Esto permitió, además, aprovechar la información específica de los docentes de cada asignatura. Por otra parte, se trabajó con los resultados de todos los países en conjunto, lo que posibilita contar con una muestra más amplia y una mayor variabilidad en las variables escolares, que constituyen el foco del análisis. No obstante, se incorporan efectos fijos por país para controlar características socioeconómicas, culturales y de los sistemas educativos que pueden influir en la probabilidad de existencia de escuelas resilientes (García Crespo et al., 2019).</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extensión de este análisis involucra la estimación de modelos estadísticos más complejos, conocidos como Modelos de Ecuaciones Estructurales (Goldberger, 1972), que permiten representar relaciones complejas entre variables y evaluar estadísticamente un modelo teórico propuesto por el investigador. Estos modelos suelen estimar variables latentes, es decir, constructos teóricos no observables directamente que se miden a través de múltiples indicadores observables. Se asume que el valor de estos indicadores está determinado en gran medida por la influencia del factor latente subyacente. Esta técnica permitiría considerar constructos relevantes —como el clima escolar— que se manifiestan en variables observables medidas por ERCE —como el nivel de violencia escolar, el interés demostrado por los docentes o la implicación de las familias—. Asimismo, la principal innovación consiste en tratar a dicha variable latente como mediadora entre variables exógenas tradicionales —individuales, familiares y escolares— y la resiliencia escolar, además de posibilitar la identificación de efectos directos e indirectos de cada factor. Finalmente, la estimación simultánea de modelos para cada área de aprendizaje permite contemplar la interdependencia entre ellas, mejorando la precisión del análisis.</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Hallazgos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mencionó anteriormente, en el Coloquio se prevé compartir, por un lado, los hallazgos presentados en Formichella y Krüger (2025) y, por otro, los avances del trabajo actualmente en elaboración que emplea Modelos de Ecuaciones Estructurales. Sin embargo, los resultados no constituirán el objeto central de la ponencia, sino la discusión teórico-metodológica que los sustenta, con énfasis en las fortalezas y limitaciones de la base ERCE como fuente de información.</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primer hallazgo, cabe destacar que es posible identificar en los países latinoamericanos participantes del ERCE 2019 escuelas que pueden considerarse resilientes bajo la conceptualización aquí adoptada.</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resulta relevante que tanto la cantidad absoluta como relativa de escuelas resilientes varía entre países y según el área de aprendizaje considerada (Lengua, Matemática o Ciencias). Entre el 11% y el 52% de las escuelas potencialmente resilientes logra alcanzar resultados inesperadamente altos, observándose mayores niveles de resiliencia institucional en Nicaragua, Honduras y Cuba, y menores en Argentina, Uruguay, Panamá y Brasil.</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identificaron factores asociados con una mayor probabilidad de resiliencia escolar, en concordancia con la literatura previa. Se destacan el carácter rural de la escuela; el papel de docentes y directivos —junto con sus aptitudes y actitudes—; la disponibilidad de recursos, especialmente los vinculados a las TIC; y el clima del aula y de la escuela. Asimismo, en relación con los estudiantes y sus familias, se observa que la resiliencia de la comunidad escolar en su conjunto se ve influida por las expectativas y la participación familiar, así como por el contexto barrial en el que reside el alumnado.</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Discusión</w:t>
      </w:r>
    </w:p>
    <w:p w:rsidR="00000000" w:rsidDel="00000000" w:rsidP="00000000" w:rsidRDefault="00000000" w:rsidRPr="00000000" w14:paraId="00000074">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hallazgos presentados permiten reflexionar sobre los aportes y desafíos que supone el uso de información proveniente de evaluaciones estandarizadas de aprendizaje para el estudio de fenómenos complejos como la resiliencia escolar. En particular, el trabajo se inscribe en una línea de investigación que busca aprovechar las potencialidades de las bases de datos de gran escala para indagar no solo en los resultados de aprendizaje, sino también en los factores asociados a ellos y en las características institucionales que contribuyen a explicarlos.</w:t>
      </w:r>
    </w:p>
    <w:p w:rsidR="00000000" w:rsidDel="00000000" w:rsidP="00000000" w:rsidRDefault="00000000" w:rsidRPr="00000000" w14:paraId="00000075">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los resultados sugieren que las pruebas ERCE constituyen una fuente valiosa para identificar escuelas que logran desempeños superiores a los esperados dadas las condiciones socioeconómicas de su alumnado. Pese a las limitaciones inherentes a las pruebas estandarizadas —vinculadas al recorte que realizan sobre los aprendizajes relevantes, a las dificultades para captar dimensiones no cognitivas de la educación y a los posibles sesgos de implementación—, su aplicación sistemática y comparable entre países permite generar evidencia empírica difícilmente alcanzable por otros medios. En este sentido, si se las considera como un instrumento más dentro de un conjunto amplio de dispositivos de evaluación e investigación, las PEA aportan información relevante para comprender el funcionamiento de los sistemas educativos, analizar desigualdades en los logros escolares e identificar factores asociados al desempeño de estudiantes y escuelas.</w:t>
      </w:r>
    </w:p>
    <w:p w:rsidR="00000000" w:rsidDel="00000000" w:rsidP="00000000" w:rsidRDefault="00000000" w:rsidRPr="00000000" w14:paraId="00000076">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este trabajo procuró mostrar que la información generada por los operativos de evaluación a gran escala puede utilizarse para abordar preguntas que trascienden el análisis tradicional centrado en el estudiante como unidad de observación. La posibilidad de agregar información individual y construir indicadores institucionales habilita el estudio de la escuela como unidad de análisis, permitiendo identificar características organizacionales, relacionales y pedagógicas asociadas a mayores niveles de eficacia y resiliencia. No obstante, esta estrategia metodológica también presenta restricciones. Entre ellas, cabe mencionar que las muestras de los operativos de evaluación no suelen diseñarse específicamente para representar determinados subgrupos de escuelas, por lo que pueden existir sesgos en la representación de instituciones que atienden a poblaciones altamente vulnerables. Aun así, las evaluaciones internacionales continúan siendo una de las pocas fuentes que permiten explorar estas problemáticas a gran escala y desde una perspectiva comparada.</w:t>
      </w:r>
    </w:p>
    <w:p w:rsidR="00000000" w:rsidDel="00000000" w:rsidP="00000000" w:rsidRDefault="00000000" w:rsidRPr="00000000" w14:paraId="00000077">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la operacionalización del concepto de resiliencia escolar supone decisiones teóricas y metodológicas que condicionan los resultados obtenidos. La definición adoptada, basada en los valores promedio de desempeño y nivel socioeconómico de cada institución, constituye una aproximación posible entre varias alternativas. Si bien este criterio no garantiza que todos los estudiantes de una escuela resiliente alcancen desempeños elevados, permite identificar establecimientos que, en términos agregados, logran resultados destacados en contextos desfavorables. Al mismo tiempo, representa una exigencia relativamente estricta en comparación con otros estudios que identifican la resiliencia únicamente a nivel individual o en relación con el desempeño promedio de los estudiantes vulnerables.</w:t>
      </w:r>
    </w:p>
    <w:p w:rsidR="00000000" w:rsidDel="00000000" w:rsidP="00000000" w:rsidRDefault="00000000" w:rsidRPr="00000000" w14:paraId="00000078">
      <w:pPr>
        <w:spacing w:after="0" w:line="36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resultados dialogan con la literatura sobre eficacia escolar y sugieren que la resiliencia institucional no puede explicarse exclusivamente por los recursos materiales disponibles ni por las características socioeconómicas del alumnado. Factores vinculados con el clima escolar, las expectativas educativas, el liderazgo directivo, las prácticas docentes y la participación familiar emergen como dimensiones relevantes para comprender por qué algunas escuelas logran contrarrestar parcialmente los efectos de las desventajas de origen. Sin embargo, la naturaleza de estas dimensiones y los mecanismos mediante los cuales operan difícilmente pueden captarse en toda su complejidad mediante información cuantitativa estandarizada.</w:t>
      </w:r>
    </w:p>
    <w:p w:rsidR="00000000" w:rsidDel="00000000" w:rsidP="00000000" w:rsidRDefault="00000000" w:rsidRPr="00000000" w14:paraId="00000079">
      <w:pPr>
        <w:spacing w:after="0" w:line="360" w:lineRule="auto"/>
        <w:ind w:firstLine="567"/>
        <w:jc w:val="both"/>
        <w:rPr>
          <w:rFonts w:ascii="Times New Roman" w:cs="Times New Roman" w:eastAsia="Times New Roman" w:hAnsi="Times New Roman"/>
          <w:sz w:val="24"/>
          <w:szCs w:val="24"/>
        </w:rPr>
      </w:pPr>
      <w:bookmarkStart w:colFirst="0" w:colLast="0" w:name="_heading=h.38eyfpfcp1cz" w:id="3"/>
      <w:bookmarkEnd w:id="3"/>
      <w:r w:rsidDel="00000000" w:rsidR="00000000" w:rsidRPr="00000000">
        <w:rPr>
          <w:rFonts w:ascii="Times New Roman" w:cs="Times New Roman" w:eastAsia="Times New Roman" w:hAnsi="Times New Roman"/>
          <w:sz w:val="24"/>
          <w:szCs w:val="24"/>
          <w:rtl w:val="0"/>
        </w:rPr>
        <w:t xml:space="preserve">En consecuencia, una de las principales contribuciones de esta ponencia consiste en señalar tanto el potencial como los límites de las evaluaciones de aprendizaje para el estudio de la resiliencia escolar. Los resultados ofrecen evidencia útil para orientar futuras investigaciones e identificar hipótesis plausibles sobre los procesos que favorecen la equidad educativa. No obstante, su adecuada comprensión requiere complementar esta evidencia con otras fuentes de información y estrategias metodológicas alternativas, especialmente de carácter cualitativo, que permitan reconstruir trayectorias institucionales, prácticas concretas y sentidos atribuidos por los actores a sus acciones. En este sentido, la triangulación de fuentes y técnicas aparece como una vía especialmente prometedora para avanzar hacia una comprensión más integral de los factores que contribuyen a que ciertas escuelas alcancen resultados educativos destacados en contextos de vulnerabilidad social.</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360" w:lineRule="auto"/>
        <w:ind w:left="284" w:hanging="284"/>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Referencias bibliográficas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Bliese, P. D. (2000). Within-group agreement, non-independence, and reliability: Implications for data aggregation and analysis. En K. J. Klein &amp; S. W. Kozlowski (Eds.),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Multilevel theory, research, and methods in organizations: Foundations, extensions, and new directions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349–381). Jossey-Bass.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Bolívar, A., &amp; Murillo, F. J. (2017). El efecto escuela: Un reto de liderazgo para el aprendizaje y la equidad. En J. Weinstein &amp; G. Muñoz (Eds.),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Mejoramiento y liderazgo en la escuela. Once miradas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71–112). Centro de Desarrollo del Liderazgo Educativo.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Botinelli, L. (2018). Nuevas formas de privatizar las aulas.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Educación en Debate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(59). UNIPE y Le Monde Diplomatique.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Delors, J. (1996).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educación encierra un tesoro. Informe a la UNESCO de la Comisión Internacional sobre la Educación para el Siglo XXI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UNESCO.</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Dreeben, R. (1968).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On what is learned in school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Percheron Press.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Erberber, E., Stephens, M., Mamedova, S., Ferguson, S., &amp; Kroeger, T. (2015).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Socioeconomically disadvantaged students who are academically successful: Examining academic resilience cross-nationally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(IEA Policy Brief Series No. 5). International Association for the Evaluation of Educational Achievement. </w:t>
      </w:r>
      <w:hyperlink r:id="rId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https://eric.ed.gov/?id=ED557616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Formichella, M. M. (2011). Análisis del concepto de equidad educativa a la luz del enfoque de las capacidades de Amartya Sen.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1–36.</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Formichella, M. M., &amp; Krüger, N. (2025). No todo está dicho: claves detrás de las escuelas resilientes.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magis, Revista Internacional de Investigación en Educación,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1–27. </w:t>
      </w: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https://doi.org/10.11144/Javeriana.m18.cder</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García Crespo, F. J., Galián, B., Fernández Alonso, R., &amp; Muñiz, J. (2019). Educational resilience in reading comprehension: Determinant factors in PIRLS Europe.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de Educación, 384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65–89. </w:t>
      </w:r>
      <w:hyperlink r:id="rId1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https://doi.org/10.4438/1988-592X-RE-2019-384-413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Goldberger, A. S. (1972). Structural equation methods in the social sciences.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Econometrica, 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979–1001.</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Heckman, J. J., &amp; Rubinstein, Y. (2001). The importance of noncognitive skills: Lessons from the GED Testing Program.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Economic Review, 91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145–149.</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Krüger, N. (2019). La segregación por nivel socioeconómico como dimensión de la exclusión educativa: 15 años de evolución en América Latina.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Archivos Analíticos de Políticas Educativas, 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1–37. </w:t>
      </w:r>
      <w:hyperlink r:id="rId1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https://doi.org/10.14507/epaa.27.3577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Krüger, N. (2020). Efectos compañero en contextos escolares altamente segregados.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REICE. Revista Iberoamericana sobre Calidad, Eficacia y Cambio en Educación,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171–196. </w:t>
      </w:r>
      <w:hyperlink r:id="rId13">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https://doi.org/10.15366/reice2020.18.4.007</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Krüger, N., Formichella, M. M., &amp; Hamodi-Galán, C. (2022). Oferta educativa desigual y escuelas resilientes.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magis, Revista Internacional de Investigación en Educación,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1–34. </w:t>
      </w:r>
      <w:hyperlink r:id="rId14">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https://doi.org/10.11144/Javeriana.m15.oede</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López, N. (2006).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Equidad educativa y desigualdad social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IIPE-UNESCO.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LLECE-UNESCO.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Manual de uso de las bases de datos del ERCE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https://unesdoc.unesco.org/ark:/48223/pf0000382518</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Milheiro da Silva, A., &amp; Marques da Silva, S. (2022). Resilient schools: Indicators from literature and border schools’ projects.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Cadernos de Pesquisa, 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https://doi.org/10.1590/198053148438_en</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Morduchowicz, A. (2003).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Discusiones de economía de la educación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Losada.</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Murillo, F. J. (Coord.). (2007).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Investigación iberoamericana sobre eficacia escolar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Convenio Andrés Bello.</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Murillo, F. J., Martínez-Garrido, C., &amp; Graña, R. (2023). Segregación escolar por nivel socioeconómico en educación primaria en América Latina y el Caribe.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REICE. Revista Iberoamericana sobre Calidad, Eficacia y Cambio en Educación,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87–117. </w:t>
      </w:r>
      <w:hyperlink r:id="rId1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https://doi.org/10.15366/reice2023.21.1.005</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Pinskaya, M., Kosaretsky, S., Zvyagintsev, R., &amp; Derbishire, N. (2019). Building resilient schools in Russia: Effective policy strategies.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School Leadership &amp; Management, 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127–144. </w:t>
      </w:r>
      <w:hyperlink r:id="rId1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https://doi.org/10.1080/13632434.2018.1470501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Poggi, M.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Zoom educativo. Los desempeños en contexto según las evaluaciones del sistema educativo de la Ciudad de Buenos Aires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UEICEE, Ministerio de Educación e Innovación.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Reynolds, D., Chapman, C., Kelly, A., Muijs, D., &amp; Sammons, P. (2011). Educational effectiveness: The development of the discipline, the critiques, the defence, and the present debate.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Effective Education,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109–127. </w:t>
      </w:r>
      <w:hyperlink r:id="rId19">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https://doi.org/10.1080/19415532.2011.686168</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Rivas, A., &amp; Scasso, M. (2017).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 países mejoraron la calidad educativa? América Latina en las evaluaciones de aprendizajes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de Trabajo N.º 161). CIPPEC. </w:t>
      </w:r>
      <w:hyperlink r:id="rId2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https://www.cippec.org/publicacion/que-paises-mejoraron-la-calidad-educativa-america-latina-en-las-evaluaciones-de-aprendizajes/</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Rodríguez de Luque, J. J. (2024). Asociaciones entre el alto desempeño académico y el clima escolar en Bogotá: ¿Hay diferencias debido al nivel socioeconómico del estudiantado?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magis, Revista Internacional de Investigación en Educación,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1–24. </w:t>
      </w:r>
      <w:hyperlink r:id="rId21">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https://doi.org/10.11144/Javeriana.m17.aada</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Romero, C., Krichesky, G., Zacarias, N., &amp; Figueira, A. (2022). Escuelas resilientes. Estudio sobre factores asociados a logros en escuelas secundarias públicas de gestión estatal de la ciudad de Buenos Aires. En T. Vinacur &amp; L. Landeo (Eds.),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Mejora escolar: enfoques, evidencias y experiencias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XXX–XXX). OEI.</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 A. (1999).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Desarrollo y libertad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Planeta.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Siebecke, D. E., &amp; Jarl, M. (2022). Does the material well-being at schools successfully compensate for socioeconomic disadvantages? Analysis of resilient schools in Sweden.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Large-Scale Assessments in Education,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hyperlink r:id="rId22">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https://doi.org/10.1186/s40536-022-00130-y</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Tiana Ferrer, A. (1999). La evaluación y la calidad: Dos cuestiones sometidas a discusión.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Ensaio: Avaliação e Políticas Públicas em Educação,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25–46.</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UNESCO/OREALC.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aprendizajes fundamentales en América Latina y el Caribe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UNESCO.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hanging="28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Valenti Nigrini, G.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Una aproximación a la equidad educativa en México a través de las escuelas públicas eficaces de nivel primaria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Bonilla Artigas Editores.</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360" w:lineRule="auto"/>
        <w:ind w:left="284" w:hanging="284"/>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Times New Roman" w:cs="Times New Roman" w:eastAsia="Times New Roman" w:hAnsi="Times New Roman"/>
          <w:b w:val="1"/>
          <w:bCs w:val="1"/>
          <w:color w:val="262626"/>
          <w:sz w:val="24"/>
          <w:szCs w:val="24"/>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Bookman Old Style"/>
  <w:font w:name="Noto Sans Symbols">
    <w:embedRegular w:fontKey="{00000000-0000-0000-0000-000000000000}" r:id="rId1" w:subsetted="0"/>
    <w:embedBold w:fontKey="{00000000-0000-0000-0000-000000000000}" r:id="rId2" w:subsetted="0"/>
  </w:font>
  <w:font w:name="Humanist777BT-Light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ippec.org/publicacion/que-paises-mejoraron-la-calidad-educativa-america-latina-en-las-evaluaciones-de-aprendizajes/" TargetMode="External"/><Relationship Id="rId11" Type="http://schemas.openxmlformats.org/officeDocument/2006/relationships/hyperlink" Target="https://doi.org/10.4438/1988-592X-RE-2019-384-413" TargetMode="External"/><Relationship Id="rId22" Type="http://schemas.openxmlformats.org/officeDocument/2006/relationships/hyperlink" Target="https://doi.org/10.1186/s40536-022-00130-y" TargetMode="External"/><Relationship Id="rId10" Type="http://schemas.openxmlformats.org/officeDocument/2006/relationships/hyperlink" Target="https://doi.org/10.11144/Javeriana.m18.cder" TargetMode="External"/><Relationship Id="rId21" Type="http://schemas.openxmlformats.org/officeDocument/2006/relationships/hyperlink" Target="https://doi.org/10.11144/Javeriana.m17.aada" TargetMode="External"/><Relationship Id="rId13" Type="http://schemas.openxmlformats.org/officeDocument/2006/relationships/hyperlink" Target="https://doi.org/10.15366/reice2020.18.4.007" TargetMode="External"/><Relationship Id="rId24" Type="http://schemas.openxmlformats.org/officeDocument/2006/relationships/footer" Target="footer1.xml"/><Relationship Id="rId12" Type="http://schemas.openxmlformats.org/officeDocument/2006/relationships/hyperlink" Target="https://doi.org/10.14507/epaa.27.3577"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ic.ed.gov/?id=ED557616" TargetMode="External"/><Relationship Id="rId15" Type="http://schemas.openxmlformats.org/officeDocument/2006/relationships/hyperlink" Target="https://unesdoc.unesco.org/ark:/48223/pf0000382518" TargetMode="External"/><Relationship Id="rId14" Type="http://schemas.openxmlformats.org/officeDocument/2006/relationships/hyperlink" Target="https://doi.org/10.11144/Javeriana.m15.oede" TargetMode="External"/><Relationship Id="rId17" Type="http://schemas.openxmlformats.org/officeDocument/2006/relationships/hyperlink" Target="https://doi.org/10.15366/reice2023.21.1.005" TargetMode="External"/><Relationship Id="rId16" Type="http://schemas.openxmlformats.org/officeDocument/2006/relationships/hyperlink" Target="https://doi.org/10.1590/198053148438_en" TargetMode="External"/><Relationship Id="rId5" Type="http://schemas.openxmlformats.org/officeDocument/2006/relationships/styles" Target="styles.xml"/><Relationship Id="rId19" Type="http://schemas.openxmlformats.org/officeDocument/2006/relationships/hyperlink" Target="https://doi.org/10.1080/19415532.2011.686168" TargetMode="External"/><Relationship Id="rId6" Type="http://schemas.openxmlformats.org/officeDocument/2006/relationships/customXml" Target="../customXML/item1.xml"/><Relationship Id="rId18" Type="http://schemas.openxmlformats.org/officeDocument/2006/relationships/hyperlink" Target="https://doi.org/10.1080/13632434.2018.1470501" TargetMode="External"/><Relationship Id="rId7" Type="http://schemas.openxmlformats.org/officeDocument/2006/relationships/hyperlink" Target="mailto:natalia.kruger@uns.edu.ar" TargetMode="External"/><Relationship Id="rId8" Type="http://schemas.openxmlformats.org/officeDocument/2006/relationships/hyperlink" Target="mailto:natalia.kruger@uns.edu.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fsBIzQ1QoZqVct6jYS6sKUQyA==">CgMxLjAyDmguOGd3eHhjYmJ3aWdtMg5oLnk3ZXpzaG1jdnNhZzIIaC5namRneHMyDmguMzhleWZwZmNwMWN6OAByITFiTEFMTW9VWHFaUUdtTnB5ZGMwdDVuUTBIS25ndnlMWQ==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