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267F2" w14:textId="77777777" w:rsidR="00AC6D0B" w:rsidRDefault="00000000">
      <w:pPr>
        <w:pStyle w:val="Ttulo1"/>
        <w:keepNext w:val="0"/>
        <w:keepLines w:val="0"/>
        <w:shd w:val="clear" w:color="auto" w:fill="BFBFBF"/>
        <w:spacing w:before="480" w:after="120" w:line="240" w:lineRule="auto"/>
        <w:ind w:left="400"/>
        <w:jc w:val="center"/>
        <w:rPr>
          <w:rFonts w:ascii="Times New Roman" w:eastAsia="Times New Roman" w:hAnsi="Times New Roman" w:cs="Times New Roman"/>
          <w:b/>
          <w:bCs/>
          <w:color w:val="0E233D"/>
          <w:sz w:val="40"/>
          <w:szCs w:val="40"/>
        </w:rPr>
      </w:pPr>
      <w:bookmarkStart w:id="0" w:name="_heading=h.8gwxxcbbwigm" w:colFirst="0" w:colLast="0"/>
      <w:bookmarkEnd w:id="0"/>
      <w:r>
        <w:rPr>
          <w:rFonts w:ascii="Times New Roman" w:eastAsia="Times New Roman" w:hAnsi="Times New Roman" w:cs="Times New Roman"/>
          <w:b/>
          <w:bCs/>
          <w:color w:val="0E233D"/>
          <w:sz w:val="40"/>
          <w:szCs w:val="40"/>
        </w:rPr>
        <w:t>VI COLOQUIO DE INVESTIGACIÓN EDUCATIVA EN ARGENTINA</w:t>
      </w:r>
    </w:p>
    <w:p w14:paraId="5DBAA407" w14:textId="77777777" w:rsidR="00AC6D0B" w:rsidRDefault="00000000">
      <w:pPr>
        <w:pStyle w:val="Ttulo1"/>
        <w:keepNext w:val="0"/>
        <w:keepLines w:val="0"/>
        <w:shd w:val="clear" w:color="auto" w:fill="BFBFBF"/>
        <w:spacing w:before="480" w:after="120" w:line="240" w:lineRule="auto"/>
        <w:ind w:left="400"/>
        <w:jc w:val="center"/>
        <w:rPr>
          <w:rFonts w:ascii="Times New Roman" w:eastAsia="Times New Roman" w:hAnsi="Times New Roman" w:cs="Times New Roman"/>
          <w:b/>
          <w:bCs/>
          <w:color w:val="404040"/>
          <w:sz w:val="40"/>
          <w:szCs w:val="40"/>
        </w:rPr>
      </w:pPr>
      <w:bookmarkStart w:id="1" w:name="_heading=h.y7ezshmcvsag" w:colFirst="0" w:colLast="0"/>
      <w:bookmarkEnd w:id="1"/>
      <w:r>
        <w:rPr>
          <w:rFonts w:ascii="Times New Roman" w:eastAsia="Times New Roman" w:hAnsi="Times New Roman" w:cs="Times New Roman"/>
          <w:b/>
          <w:bCs/>
          <w:color w:val="404040"/>
          <w:sz w:val="40"/>
          <w:szCs w:val="40"/>
        </w:rPr>
        <w:t xml:space="preserve"> Desafíos para la investigación educativa en escenarios de crisis. Construyendo comunidades y futuros posibles</w:t>
      </w:r>
    </w:p>
    <w:p w14:paraId="5C3376B6" w14:textId="77777777" w:rsidR="00AC6D0B" w:rsidRDefault="00AC6D0B">
      <w:pPr>
        <w:pBdr>
          <w:top w:val="nil"/>
          <w:left w:val="nil"/>
          <w:bottom w:val="nil"/>
          <w:right w:val="nil"/>
          <w:between w:val="nil"/>
        </w:pBdr>
        <w:spacing w:line="360" w:lineRule="auto"/>
        <w:jc w:val="both"/>
        <w:rPr>
          <w:rFonts w:ascii="Times New Roman" w:eastAsia="Times New Roman" w:hAnsi="Times New Roman" w:cs="Times New Roman"/>
          <w:color w:val="3B3838"/>
          <w:sz w:val="24"/>
          <w:szCs w:val="24"/>
        </w:rPr>
      </w:pPr>
    </w:p>
    <w:p w14:paraId="3D5DF99C" w14:textId="77777777" w:rsidR="00AC6D0B"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3B3838"/>
          <w:sz w:val="28"/>
          <w:szCs w:val="28"/>
        </w:rPr>
      </w:pPr>
      <w:r>
        <w:rPr>
          <w:rFonts w:ascii="Times New Roman" w:eastAsia="Times New Roman" w:hAnsi="Times New Roman" w:cs="Times New Roman"/>
          <w:b/>
          <w:bCs/>
          <w:color w:val="3B3838"/>
          <w:sz w:val="28"/>
          <w:szCs w:val="28"/>
        </w:rPr>
        <w:t xml:space="preserve">Resumen Ampliado para Sesiones de </w:t>
      </w:r>
      <w:proofErr w:type="spellStart"/>
      <w:r>
        <w:rPr>
          <w:rFonts w:ascii="Times New Roman" w:eastAsia="Times New Roman" w:hAnsi="Times New Roman" w:cs="Times New Roman"/>
          <w:b/>
          <w:bCs/>
          <w:color w:val="3B3838"/>
          <w:sz w:val="28"/>
          <w:szCs w:val="28"/>
        </w:rPr>
        <w:t>ATs</w:t>
      </w:r>
      <w:proofErr w:type="spellEnd"/>
      <w:r>
        <w:rPr>
          <w:rFonts w:ascii="Times New Roman" w:eastAsia="Times New Roman" w:hAnsi="Times New Roman" w:cs="Times New Roman"/>
          <w:b/>
          <w:bCs/>
          <w:color w:val="3B3838"/>
          <w:sz w:val="28"/>
          <w:szCs w:val="28"/>
        </w:rPr>
        <w:t>/</w:t>
      </w:r>
      <w:proofErr w:type="spellStart"/>
      <w:r>
        <w:rPr>
          <w:rFonts w:ascii="Times New Roman" w:eastAsia="Times New Roman" w:hAnsi="Times New Roman" w:cs="Times New Roman"/>
          <w:b/>
          <w:bCs/>
          <w:color w:val="3B3838"/>
          <w:sz w:val="28"/>
          <w:szCs w:val="28"/>
        </w:rPr>
        <w:t>GTs</w:t>
      </w:r>
      <w:proofErr w:type="spellEnd"/>
    </w:p>
    <w:p w14:paraId="51CF04EE"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bookmarkStart w:id="2" w:name="_heading=h.gjdgxs" w:colFirst="0" w:colLast="0"/>
      <w:bookmarkEnd w:id="2"/>
      <w:r w:rsidRPr="00EB4D6C">
        <w:rPr>
          <w:rFonts w:ascii="Times New Roman" w:eastAsia="Times New Roman" w:hAnsi="Times New Roman" w:cs="Times New Roman"/>
          <w:b/>
          <w:bCs/>
          <w:color w:val="3B3838"/>
          <w:sz w:val="24"/>
          <w:szCs w:val="24"/>
        </w:rPr>
        <w:t xml:space="preserve">Área temática: </w:t>
      </w:r>
      <w:r w:rsidRPr="00EB4D6C">
        <w:rPr>
          <w:rFonts w:ascii="Times New Roman" w:eastAsia="Times New Roman" w:hAnsi="Times New Roman" w:cs="Times New Roman"/>
          <w:color w:val="3B3838"/>
          <w:sz w:val="24"/>
          <w:szCs w:val="24"/>
        </w:rPr>
        <w:t>GT Usos de información estadística y acceso a datos públicos</w:t>
      </w:r>
    </w:p>
    <w:p w14:paraId="0DFD0B69"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b/>
          <w:bCs/>
          <w:color w:val="3B3838"/>
          <w:sz w:val="24"/>
          <w:szCs w:val="24"/>
        </w:rPr>
        <w:t xml:space="preserve">2. </w:t>
      </w:r>
      <w:r w:rsidRPr="00EB4D6C">
        <w:rPr>
          <w:rFonts w:ascii="Times New Roman" w:eastAsia="Times New Roman" w:hAnsi="Times New Roman" w:cs="Times New Roman"/>
          <w:b/>
          <w:bCs/>
          <w:color w:val="3B3838"/>
          <w:sz w:val="24"/>
          <w:szCs w:val="24"/>
        </w:rPr>
        <w:tab/>
        <w:t xml:space="preserve">Título del Trabajo: </w:t>
      </w:r>
      <w:r w:rsidRPr="00EB4D6C">
        <w:rPr>
          <w:rFonts w:ascii="Times New Roman" w:eastAsia="Times New Roman" w:hAnsi="Times New Roman" w:cs="Times New Roman"/>
          <w:color w:val="3B3838"/>
          <w:sz w:val="24"/>
          <w:szCs w:val="24"/>
        </w:rPr>
        <w:t>Entre los resultados estandarizados y los sistemas nominales: usos, tensiones y mediaciones de la información educativa para el planeamiento y la gestión de políticas</w:t>
      </w:r>
    </w:p>
    <w:p w14:paraId="3FAB72AB"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r w:rsidRPr="00EB4D6C">
        <w:rPr>
          <w:rFonts w:ascii="Times New Roman" w:eastAsia="Times New Roman" w:hAnsi="Times New Roman" w:cs="Times New Roman"/>
          <w:b/>
          <w:bCs/>
          <w:color w:val="3B3838"/>
          <w:sz w:val="24"/>
          <w:szCs w:val="24"/>
        </w:rPr>
        <w:t xml:space="preserve">3. </w:t>
      </w:r>
      <w:r w:rsidRPr="00EB4D6C">
        <w:rPr>
          <w:rFonts w:ascii="Times New Roman" w:eastAsia="Times New Roman" w:hAnsi="Times New Roman" w:cs="Times New Roman"/>
          <w:b/>
          <w:bCs/>
          <w:color w:val="3B3838"/>
          <w:sz w:val="24"/>
          <w:szCs w:val="24"/>
        </w:rPr>
        <w:tab/>
        <w:t>Autores/as (máximo tres):</w:t>
      </w:r>
    </w:p>
    <w:p w14:paraId="2F5AD474" w14:textId="77777777" w:rsidR="00EB4D6C" w:rsidRPr="005F771F"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r w:rsidRPr="005F771F">
        <w:rPr>
          <w:rFonts w:ascii="Times New Roman" w:eastAsia="Times New Roman" w:hAnsi="Times New Roman" w:cs="Times New Roman"/>
          <w:b/>
          <w:bCs/>
          <w:color w:val="3B3838"/>
          <w:sz w:val="24"/>
          <w:szCs w:val="24"/>
        </w:rPr>
        <w:t>Brandan Zehnder, María Gabriela:</w:t>
      </w:r>
    </w:p>
    <w:p w14:paraId="4A9520CF"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Directora General de Planeamiento, Evaluación y Prospectiva Educativa (</w:t>
      </w:r>
      <w:proofErr w:type="spellStart"/>
      <w:r w:rsidRPr="00EB4D6C">
        <w:rPr>
          <w:rFonts w:ascii="Times New Roman" w:eastAsia="Times New Roman" w:hAnsi="Times New Roman" w:cs="Times New Roman"/>
          <w:color w:val="3B3838"/>
          <w:sz w:val="24"/>
          <w:szCs w:val="24"/>
        </w:rPr>
        <w:t>DGEPyPE</w:t>
      </w:r>
      <w:proofErr w:type="spellEnd"/>
      <w:r w:rsidRPr="00EB4D6C">
        <w:rPr>
          <w:rFonts w:ascii="Times New Roman" w:eastAsia="Times New Roman" w:hAnsi="Times New Roman" w:cs="Times New Roman"/>
          <w:color w:val="3B3838"/>
          <w:sz w:val="24"/>
          <w:szCs w:val="24"/>
        </w:rPr>
        <w:t xml:space="preserve">) del Ministerio de Educación de la Provincia de </w:t>
      </w:r>
      <w:proofErr w:type="gramStart"/>
      <w:r w:rsidRPr="00EB4D6C">
        <w:rPr>
          <w:rFonts w:ascii="Times New Roman" w:eastAsia="Times New Roman" w:hAnsi="Times New Roman" w:cs="Times New Roman"/>
          <w:color w:val="3B3838"/>
          <w:sz w:val="24"/>
          <w:szCs w:val="24"/>
        </w:rPr>
        <w:t>Córdoba  –</w:t>
      </w:r>
      <w:proofErr w:type="gramEnd"/>
      <w:r w:rsidRPr="00EB4D6C">
        <w:rPr>
          <w:rFonts w:ascii="Times New Roman" w:eastAsia="Times New Roman" w:hAnsi="Times New Roman" w:cs="Times New Roman"/>
          <w:color w:val="3B3838"/>
          <w:sz w:val="24"/>
          <w:szCs w:val="24"/>
        </w:rPr>
        <w:t xml:space="preserve"> </w:t>
      </w:r>
    </w:p>
    <w:p w14:paraId="06190570" w14:textId="720ABE71"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Docente e investigadora. Universidad Católica de Córdoba. Universidad Provincial de Córdoba</w:t>
      </w:r>
      <w:r w:rsidR="005F771F">
        <w:rPr>
          <w:rFonts w:ascii="Times New Roman" w:eastAsia="Times New Roman" w:hAnsi="Times New Roman" w:cs="Times New Roman"/>
          <w:color w:val="3B3838"/>
          <w:sz w:val="24"/>
          <w:szCs w:val="24"/>
        </w:rPr>
        <w:t xml:space="preserve"> - </w:t>
      </w:r>
      <w:r w:rsidRPr="00EB4D6C">
        <w:rPr>
          <w:rFonts w:ascii="Times New Roman" w:eastAsia="Times New Roman" w:hAnsi="Times New Roman" w:cs="Times New Roman"/>
          <w:color w:val="3B3838"/>
          <w:sz w:val="24"/>
          <w:szCs w:val="24"/>
        </w:rPr>
        <w:t xml:space="preserve">mgbrandanzehnder@gmail.com </w:t>
      </w:r>
    </w:p>
    <w:p w14:paraId="08F23F28"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r w:rsidRPr="00EB4D6C">
        <w:rPr>
          <w:rFonts w:ascii="Times New Roman" w:eastAsia="Times New Roman" w:hAnsi="Times New Roman" w:cs="Times New Roman"/>
          <w:b/>
          <w:bCs/>
          <w:color w:val="3B3838"/>
          <w:sz w:val="24"/>
          <w:szCs w:val="24"/>
        </w:rPr>
        <w:t>Llanos Pozzi, María José:</w:t>
      </w:r>
    </w:p>
    <w:p w14:paraId="506D8E1D"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Subdirectora del Sistema Integral de Información Educativa -</w:t>
      </w:r>
      <w:proofErr w:type="spellStart"/>
      <w:r w:rsidRPr="00EB4D6C">
        <w:rPr>
          <w:rFonts w:ascii="Times New Roman" w:eastAsia="Times New Roman" w:hAnsi="Times New Roman" w:cs="Times New Roman"/>
          <w:color w:val="3B3838"/>
          <w:sz w:val="24"/>
          <w:szCs w:val="24"/>
        </w:rPr>
        <w:t>DGPEyPE</w:t>
      </w:r>
      <w:proofErr w:type="spellEnd"/>
      <w:r w:rsidRPr="00EB4D6C">
        <w:rPr>
          <w:rFonts w:ascii="Times New Roman" w:eastAsia="Times New Roman" w:hAnsi="Times New Roman" w:cs="Times New Roman"/>
          <w:color w:val="3B3838"/>
          <w:sz w:val="24"/>
          <w:szCs w:val="24"/>
        </w:rPr>
        <w:t xml:space="preserve"> - Ministerio de Educación de la Provincia de Córdoba – mjllanos1@gmail.com </w:t>
      </w:r>
    </w:p>
    <w:p w14:paraId="15F1CB4D"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r w:rsidRPr="00EB4D6C">
        <w:rPr>
          <w:rFonts w:ascii="Times New Roman" w:eastAsia="Times New Roman" w:hAnsi="Times New Roman" w:cs="Times New Roman"/>
          <w:b/>
          <w:bCs/>
          <w:color w:val="3B3838"/>
          <w:sz w:val="24"/>
          <w:szCs w:val="24"/>
        </w:rPr>
        <w:t>Alvarez, Marisa:</w:t>
      </w:r>
    </w:p>
    <w:p w14:paraId="7810F780"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Universidad Nacional de Tres de Febrero - malvarez@untref.edu.ar</w:t>
      </w:r>
    </w:p>
    <w:p w14:paraId="3DF3E1FC"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b/>
          <w:bCs/>
          <w:color w:val="3B3838"/>
          <w:sz w:val="24"/>
          <w:szCs w:val="24"/>
        </w:rPr>
        <w:lastRenderedPageBreak/>
        <w:t xml:space="preserve"> 4. </w:t>
      </w:r>
      <w:r w:rsidRPr="00EB4D6C">
        <w:rPr>
          <w:rFonts w:ascii="Times New Roman" w:eastAsia="Times New Roman" w:hAnsi="Times New Roman" w:cs="Times New Roman"/>
          <w:b/>
          <w:bCs/>
          <w:color w:val="3B3838"/>
          <w:sz w:val="24"/>
          <w:szCs w:val="24"/>
        </w:rPr>
        <w:tab/>
        <w:t xml:space="preserve">Título del Proyecto / identificación de la investigación e institución en la que se inscribe el trabajo: </w:t>
      </w:r>
      <w:proofErr w:type="spellStart"/>
      <w:r w:rsidRPr="00EB4D6C">
        <w:rPr>
          <w:rFonts w:ascii="Times New Roman" w:eastAsia="Times New Roman" w:hAnsi="Times New Roman" w:cs="Times New Roman"/>
          <w:color w:val="3B3838"/>
          <w:sz w:val="24"/>
          <w:szCs w:val="24"/>
        </w:rPr>
        <w:t>DGEPyPE</w:t>
      </w:r>
      <w:proofErr w:type="spellEnd"/>
    </w:p>
    <w:p w14:paraId="50315D62" w14:textId="77777777" w:rsid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b/>
          <w:bCs/>
          <w:color w:val="3B3838"/>
          <w:sz w:val="24"/>
          <w:szCs w:val="24"/>
        </w:rPr>
        <w:t xml:space="preserve"> 5. </w:t>
      </w:r>
      <w:r w:rsidRPr="00EB4D6C">
        <w:rPr>
          <w:rFonts w:ascii="Times New Roman" w:eastAsia="Times New Roman" w:hAnsi="Times New Roman" w:cs="Times New Roman"/>
          <w:b/>
          <w:bCs/>
          <w:color w:val="3B3838"/>
          <w:sz w:val="24"/>
          <w:szCs w:val="24"/>
        </w:rPr>
        <w:tab/>
        <w:t xml:space="preserve">Palabras clave: </w:t>
      </w:r>
      <w:r w:rsidRPr="00EB4D6C">
        <w:rPr>
          <w:rFonts w:ascii="Times New Roman" w:eastAsia="Times New Roman" w:hAnsi="Times New Roman" w:cs="Times New Roman"/>
          <w:color w:val="3B3838"/>
          <w:sz w:val="24"/>
          <w:szCs w:val="24"/>
        </w:rPr>
        <w:t>SIGED; sistemas nominales; evaluación de aprendizajes; trayectorias educativas; políticas educativas</w:t>
      </w:r>
    </w:p>
    <w:p w14:paraId="19344E6D"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p>
    <w:p w14:paraId="06B16D9D"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i/>
          <w:iCs/>
          <w:color w:val="3B3838"/>
          <w:sz w:val="24"/>
          <w:szCs w:val="24"/>
        </w:rPr>
        <w:t>Introducción</w:t>
      </w:r>
    </w:p>
    <w:p w14:paraId="5FC6D47C" w14:textId="1DCA16F5"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En los últimos años, se produjo una intensificación de la producción y el uso de la información en los sistemas educativos. Este escenario responde</w:t>
      </w:r>
      <w:r w:rsidR="005F771F">
        <w:rPr>
          <w:rFonts w:ascii="Times New Roman" w:eastAsia="Times New Roman" w:hAnsi="Times New Roman" w:cs="Times New Roman"/>
          <w:color w:val="3B3838"/>
          <w:sz w:val="24"/>
          <w:szCs w:val="24"/>
        </w:rPr>
        <w:t>,</w:t>
      </w:r>
      <w:r w:rsidRPr="00EB4D6C">
        <w:rPr>
          <w:rFonts w:ascii="Times New Roman" w:eastAsia="Times New Roman" w:hAnsi="Times New Roman" w:cs="Times New Roman"/>
          <w:color w:val="3B3838"/>
          <w:sz w:val="24"/>
          <w:szCs w:val="24"/>
        </w:rPr>
        <w:t xml:space="preserve"> por un lado, al avance de las tecnologías que permitieron el desarrollo veloz y expansivo de sistemas de información de carácter nominal, como a la consolidación de un enfoque de mejora que atiende a los operativos de evaluación de aprendizajes basados en datos agregados como fuentes válidas para la toma de decisiones. Así, registros escolares, estadísticos e información proveniente de operativos de evaluación a gran escala constituyen un “corpus” que se produce, con temporalidades, enfoques y propósitos distintos.</w:t>
      </w:r>
    </w:p>
    <w:p w14:paraId="69D27894" w14:textId="6CDF6C99"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En este marco, interesa analizar la tensión entre dos formas de producción y uso de la información educativa: por un lado, las áreas de evaluación de aprendizajes han desarrollado dispositivos, reportes y análisis a partir de datos asociados a operativos de gran escala, que permite construir diagnósticos sistémicos, comparar tendencias, identificar brechas y monitorear ciertas dimensiones de la política educativa. </w:t>
      </w:r>
    </w:p>
    <w:p w14:paraId="4A68B64F" w14:textId="4D462482"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Por otro lado, los sistemas que producen y explotan información proveniente de los sistemas de información y gestión educativa (SIGED), que utilizan datos de matrícula, asistencia, promoción, participación en programas, y otros aspectos asociados al seguimiento de las trayectorias educativas. Estos sistemas permiten diseñar estrategias más cercanas en el tiempo e intervenir cuando los hechos suceden.</w:t>
      </w:r>
    </w:p>
    <w:p w14:paraId="2E26C7CC"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Esta separación genera dificultades para construir lecturas integrales sobre los problemas educativos y, sobre todo, para transformar los datos en decisiones de política capaces de articular diagnósticos sistémicos, seguimiento situado e intervención oportuna.</w:t>
      </w:r>
    </w:p>
    <w:p w14:paraId="20CBA172" w14:textId="08C8B2F0" w:rsidR="00EB4D6C" w:rsidRPr="00EB4D6C" w:rsidRDefault="00EB4D6C" w:rsidP="005F771F">
      <w:pPr>
        <w:pBdr>
          <w:top w:val="nil"/>
          <w:left w:val="nil"/>
          <w:bottom w:val="nil"/>
          <w:right w:val="nil"/>
          <w:between w:val="nil"/>
        </w:pBdr>
        <w:spacing w:after="0" w:line="360" w:lineRule="auto"/>
        <w:ind w:left="720"/>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lastRenderedPageBreak/>
        <w:t>En nuestro país han proliferado operativos nacionales, jurisdiccionales y de organizaciones de la sociedad civil, con escasa complementariedad y temporalidades diversas (</w:t>
      </w:r>
      <w:proofErr w:type="spellStart"/>
      <w:r w:rsidRPr="00EB4D6C">
        <w:rPr>
          <w:rFonts w:ascii="Times New Roman" w:eastAsia="Times New Roman" w:hAnsi="Times New Roman" w:cs="Times New Roman"/>
          <w:color w:val="3B3838"/>
          <w:sz w:val="24"/>
          <w:szCs w:val="24"/>
        </w:rPr>
        <w:t>Perusia</w:t>
      </w:r>
      <w:proofErr w:type="spellEnd"/>
      <w:r w:rsidRPr="00EB4D6C">
        <w:rPr>
          <w:rFonts w:ascii="Times New Roman" w:eastAsia="Times New Roman" w:hAnsi="Times New Roman" w:cs="Times New Roman"/>
          <w:color w:val="3B3838"/>
          <w:sz w:val="24"/>
          <w:szCs w:val="24"/>
        </w:rPr>
        <w:t xml:space="preserve"> y Xanthopoulos, 2024, 2025). Esto muestra un abanico de instrumentos con enfoques, estilos y temporalidades y comienza a mostrar un escenario donde se pretenden combinar dispositivos estandarizados a gran escala con operativos orientados al monitoreo de la progresión de aprendizajes, como aquellos derivados de los diferentes planes de alfabetización y sus pruebas de fluidez y comprensión lectora</w:t>
      </w:r>
      <w:r w:rsidRPr="00EB4D6C">
        <w:rPr>
          <w:rFonts w:ascii="Times New Roman" w:eastAsia="Times New Roman" w:hAnsi="Times New Roman" w:cs="Times New Roman"/>
          <w:color w:val="3B3838"/>
          <w:sz w:val="24"/>
          <w:szCs w:val="24"/>
          <w:vertAlign w:val="superscript"/>
        </w:rPr>
        <w:footnoteReference w:id="1"/>
      </w:r>
      <w:r w:rsidRPr="00EB4D6C">
        <w:rPr>
          <w:rFonts w:ascii="Times New Roman" w:eastAsia="Times New Roman" w:hAnsi="Times New Roman" w:cs="Times New Roman"/>
          <w:color w:val="3B3838"/>
          <w:sz w:val="24"/>
          <w:szCs w:val="24"/>
        </w:rPr>
        <w:t xml:space="preserve">. Esto plantea un desafío: la integración de los datos provenientes de las evaluaciones de aprendizaje a partir de un enfoque sistémico que permita no sólo construir diagnósticos agregados </w:t>
      </w:r>
      <w:proofErr w:type="gramStart"/>
      <w:r w:rsidRPr="00EB4D6C">
        <w:rPr>
          <w:rFonts w:ascii="Times New Roman" w:eastAsia="Times New Roman" w:hAnsi="Times New Roman" w:cs="Times New Roman"/>
          <w:color w:val="3B3838"/>
          <w:sz w:val="24"/>
          <w:szCs w:val="24"/>
        </w:rPr>
        <w:t>en relación al</w:t>
      </w:r>
      <w:proofErr w:type="gramEnd"/>
      <w:r w:rsidRPr="00EB4D6C">
        <w:rPr>
          <w:rFonts w:ascii="Times New Roman" w:eastAsia="Times New Roman" w:hAnsi="Times New Roman" w:cs="Times New Roman"/>
          <w:color w:val="3B3838"/>
          <w:sz w:val="24"/>
          <w:szCs w:val="24"/>
        </w:rPr>
        <w:t xml:space="preserve"> logro de aprendizajes, sino integrar estos datos en un conjunto de información que permita tanto generar y potenciar estrategias pedagógicas anticipadas, personalizadas para acompañar trayectorias educativas reales como contribuir al diseño, evaluación y monitoreo de las políticas educativas.</w:t>
      </w:r>
    </w:p>
    <w:p w14:paraId="3EFD5F11"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Este trabajo propone discutir cómo integrar los resultados de evaluación en sistemas de información capaces de interpelar simultáneamente a la escuela, a la gestión intermedia del sistema y a la política educativa. Esta integración supone reconocer que la información contribuye a la toma de decisiones informada y al planeamiento educativo en diferentes dimensiones: asignación de recursos específicos, priorización de escuelas, el monitoreo de programas o líneas estratégicas, identificación de aspectos para el fortalecimiento de procesos institucionales, diseño de intervenciones pedagógicas, autoevaluación institucional, entre otros. Esta información adquiere sentido en la gestión pública, cuando es interpretada con una lente pedagógica, curricular, institucional y político-educativa.</w:t>
      </w:r>
    </w:p>
    <w:p w14:paraId="1934E20D"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lastRenderedPageBreak/>
        <w:t xml:space="preserve">Las preguntas orientadoras son: ¿cómo pueden evaluaciones estandarizadas, datos administrativos, información nominal de las trayectorias traducirse en herramientas para el planeamiento y la orientación de decisiones de política en los distintos niveles de gestión? ¿Qué tensiones, desafíos y oportunidades surgen al poner en diálogo las distintas fuentes de datos? Este recorte dialoga con el GT </w:t>
      </w:r>
      <w:proofErr w:type="gramStart"/>
      <w:r w:rsidRPr="00EB4D6C">
        <w:rPr>
          <w:rFonts w:ascii="Times New Roman" w:eastAsia="Times New Roman" w:hAnsi="Times New Roman" w:cs="Times New Roman"/>
          <w:color w:val="3B3838"/>
          <w:sz w:val="24"/>
          <w:szCs w:val="24"/>
        </w:rPr>
        <w:t>que  prioriza</w:t>
      </w:r>
      <w:proofErr w:type="gramEnd"/>
      <w:r w:rsidRPr="00EB4D6C">
        <w:rPr>
          <w:rFonts w:ascii="Times New Roman" w:eastAsia="Times New Roman" w:hAnsi="Times New Roman" w:cs="Times New Roman"/>
          <w:color w:val="3B3838"/>
          <w:sz w:val="24"/>
          <w:szCs w:val="24"/>
        </w:rPr>
        <w:t xml:space="preserve"> trabajos sobre producción, usos, circulación y análisis de evaluaciones (de aprendizajes y de políticas) e información educativa, y convoca a equipos estatales vinculados con su producción y uso.  </w:t>
      </w:r>
    </w:p>
    <w:p w14:paraId="1CD0BC28"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El trabajo se presenta en el marco de la experiencia de la Dirección General de Planeamiento, Evaluación y Prospectiva Educativa del Ministerio de Educación de la Provincia de Córdoba, que ya lleva años consolidando su sistema de información educativa. </w:t>
      </w:r>
    </w:p>
    <w:p w14:paraId="0ECEFD30"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Se propone un diálogo entre la investigación en </w:t>
      </w:r>
      <w:proofErr w:type="gramStart"/>
      <w:r w:rsidRPr="00EB4D6C">
        <w:rPr>
          <w:rFonts w:ascii="Times New Roman" w:eastAsia="Times New Roman" w:hAnsi="Times New Roman" w:cs="Times New Roman"/>
          <w:color w:val="3B3838"/>
          <w:sz w:val="24"/>
          <w:szCs w:val="24"/>
        </w:rPr>
        <w:t>educación,  el</w:t>
      </w:r>
      <w:proofErr w:type="gramEnd"/>
      <w:r w:rsidRPr="00EB4D6C">
        <w:rPr>
          <w:rFonts w:ascii="Times New Roman" w:eastAsia="Times New Roman" w:hAnsi="Times New Roman" w:cs="Times New Roman"/>
          <w:color w:val="3B3838"/>
          <w:sz w:val="24"/>
          <w:szCs w:val="24"/>
        </w:rPr>
        <w:t xml:space="preserve"> uso de la información para la gestión de la política y el planeamiento educativo: cómo miran los equipos de gestión los operativos de evaluación y la información construida a partir de los SIGED, cómo se usan, qué problemas se identifican, qué recaudos plantean y de qué modo la investigación puede dialogar con esos usos para producir conocimiento con efectos sobre el sistema educativo.</w:t>
      </w:r>
    </w:p>
    <w:p w14:paraId="35D3C5D2"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p>
    <w:p w14:paraId="1858E9A6"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i/>
          <w:iCs/>
          <w:color w:val="3B3838"/>
          <w:sz w:val="24"/>
          <w:szCs w:val="24"/>
        </w:rPr>
      </w:pPr>
      <w:r w:rsidRPr="00EB4D6C">
        <w:rPr>
          <w:rFonts w:ascii="Times New Roman" w:eastAsia="Times New Roman" w:hAnsi="Times New Roman" w:cs="Times New Roman"/>
          <w:color w:val="3B3838"/>
          <w:sz w:val="24"/>
          <w:szCs w:val="24"/>
        </w:rPr>
        <w:t xml:space="preserve"> </w:t>
      </w:r>
      <w:r w:rsidRPr="00EB4D6C">
        <w:rPr>
          <w:rFonts w:ascii="Times New Roman" w:eastAsia="Times New Roman" w:hAnsi="Times New Roman" w:cs="Times New Roman"/>
          <w:i/>
          <w:iCs/>
          <w:color w:val="3B3838"/>
          <w:sz w:val="24"/>
          <w:szCs w:val="24"/>
        </w:rPr>
        <w:t>Aspectos teórico-metodológicos</w:t>
      </w:r>
    </w:p>
    <w:p w14:paraId="26084F69"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El trabajo se inscribe en una perspectiva de análisis de políticas educativas centrada en los usos de la información para la toma de decisiones públicas. Desde este enfoque, los datos son considerados como producciones situadas que adquieren sentido en función de los actores que los producen, los dispositivos en los que circulan, las preguntas que orientan su lectura y las decisiones que habilitan. Interesa analizar las mediaciones técnicas, pedagógicas, institucionales y político-educativas necesarias para su apropiación y uso en acciones de gestión, toma de decisiones y monitoreo de política.</w:t>
      </w:r>
    </w:p>
    <w:p w14:paraId="27DB3B46"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lastRenderedPageBreak/>
        <w:t>El análisis se organiza en torno a la tensión entre dos regímenes de información que, aunque suelen producirse y circular por circuitos diferenciados, resultan cada vez más interdependientes en la gestión y evaluación de políticas públicas.</w:t>
      </w:r>
    </w:p>
    <w:p w14:paraId="207DB4E3"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Por un lado, los datos agregados producidos a partir de operativos estandarizados de evaluación de aprendizajes en gran escala que permiten la construcción de diagnósticos comparables, la posibilidad de observar tendencias, identificar brechas, analizar factores asociados y monitorear ciertas dimensiones de la política educativa. Su potencialidad reside en la posibilidad de “predicar” sobre una cohorte y las tendencias del sistema, pero presentan limitaciones para orientar intervenciones directas, dado su carácter retrospectivo y agregado. </w:t>
      </w:r>
    </w:p>
    <w:p w14:paraId="119134BF"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Por otro lado, los sistemas de información que utilizan datos nominales permiten reconstruir la trayectoria de cada estudiante, identificar situaciones de riesgo, y promover intervenciones a nivel pedagógico e institucional.  Su potencialidad reside en la producción de información situada, oportuna y orientada a la intervención pedagógica e institucional, atendiendo a las trayectorias en su temporalidad concreta, lo que pone en valor la mirada sobre la oportunidad de la información: no solo lo que se sabe, sino también cuándo se sabe y qué margen de acción habilita. No obstante, presentan el riesgo de acotar la mirada de la política al seguimiento del caso individual, y debilitar la lectura sistémica sobre los aprendizajes, las desigualdades y/ o desplazar la pregunta por las condiciones estructurales que producen esas situaciones.  </w:t>
      </w:r>
    </w:p>
    <w:p w14:paraId="0AA1336B"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A partir de esta tensión, adquiere sentido considerar cinco dimensiones analíticas: escala, temporalidad, finalidad, destinatarios y tipo de decisiones posibles. Estas dimensiones permiten distinguir qué puede decir cada fuente de información, para quién, en qué momento, con qué propósito y qué tipo de acción habilita. </w:t>
      </w:r>
    </w:p>
    <w:p w14:paraId="653E53E7"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Metodológicamente, el trabajo se construye como una sistematización analítica en torno al uso de información estadística, evaluativa y nominal. </w:t>
      </w:r>
    </w:p>
    <w:p w14:paraId="2325C26D"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lastRenderedPageBreak/>
        <w:t>El supuesto que orienta el análisis es que la tensión entre datos estandarizados y nominales no debe resolverse privilegiando uno sobre otro, sino construyendo mediaciones que permitan sostener un doble movimiento: de la mirada sistémica a la intervención situada, y de la información nominal nuevamente agregada hacia la formulación, monitoreo y evaluación de políticas públicas. Se trata, por lo tanto, de articular escalas, temporalidades y propósitos.</w:t>
      </w:r>
    </w:p>
    <w:p w14:paraId="7AA08C96"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No se trata de optar por enfoques y objetivos de los relevamientos, sino de repensar la relación entre lo sistémico y lo individual y, </w:t>
      </w:r>
      <w:proofErr w:type="gramStart"/>
      <w:r w:rsidRPr="00EB4D6C">
        <w:rPr>
          <w:rFonts w:ascii="Times New Roman" w:eastAsia="Times New Roman" w:hAnsi="Times New Roman" w:cs="Times New Roman"/>
          <w:color w:val="3B3838"/>
          <w:sz w:val="24"/>
          <w:szCs w:val="24"/>
        </w:rPr>
        <w:t>en relación al</w:t>
      </w:r>
      <w:proofErr w:type="gramEnd"/>
      <w:r w:rsidRPr="00EB4D6C">
        <w:rPr>
          <w:rFonts w:ascii="Times New Roman" w:eastAsia="Times New Roman" w:hAnsi="Times New Roman" w:cs="Times New Roman"/>
          <w:color w:val="3B3838"/>
          <w:sz w:val="24"/>
          <w:szCs w:val="24"/>
        </w:rPr>
        <w:t xml:space="preserve"> logro de aprendizajes, cómo estas dimensiones pueden suturarse a partir de la acción pedagógica y los saberes institucionales.  </w:t>
      </w:r>
    </w:p>
    <w:p w14:paraId="7C3E5125"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p>
    <w:p w14:paraId="7DBC05FA"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i/>
          <w:iCs/>
          <w:color w:val="3B3838"/>
          <w:sz w:val="24"/>
          <w:szCs w:val="24"/>
        </w:rPr>
        <w:t xml:space="preserve">Ejes de conversación </w:t>
      </w:r>
    </w:p>
    <w:p w14:paraId="313E4CAB"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El Sistema Integral de Información Educativa</w:t>
      </w:r>
      <w:r w:rsidRPr="00EB4D6C">
        <w:rPr>
          <w:rFonts w:ascii="Times New Roman" w:eastAsia="Times New Roman" w:hAnsi="Times New Roman" w:cs="Times New Roman"/>
          <w:color w:val="3B3838"/>
          <w:sz w:val="24"/>
          <w:szCs w:val="24"/>
          <w:vertAlign w:val="superscript"/>
        </w:rPr>
        <w:footnoteReference w:id="2"/>
      </w:r>
      <w:r w:rsidRPr="00EB4D6C">
        <w:rPr>
          <w:rFonts w:ascii="Times New Roman" w:eastAsia="Times New Roman" w:hAnsi="Times New Roman" w:cs="Times New Roman"/>
          <w:color w:val="3B3838"/>
          <w:sz w:val="24"/>
          <w:szCs w:val="24"/>
        </w:rPr>
        <w:t xml:space="preserve"> de la provincia de Córdoba cuyo propósito es  producir, gestionar y difundir información oportuna, estratégica, precisa y relevante sobre el sistema educativo, para apoyar la toma de decisiones, la formulación, evaluación y monitoreo de políticas, y de la gestión eficiente de los recursos a partir de la explotación intensiva de los datos disponibles (estadísticos, nominales, administrativos) avanza en la producción de diferentes materiales (insumos y herramientas)  para diversos destinatarios,  integrando distintas fuentes. Se desarrollan: </w:t>
      </w:r>
    </w:p>
    <w:p w14:paraId="3E1017E9" w14:textId="77777777" w:rsidR="00EB4D6C" w:rsidRPr="00EB4D6C" w:rsidRDefault="00EB4D6C" w:rsidP="00EB4D6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b/>
          <w:bCs/>
          <w:color w:val="3B3838"/>
          <w:sz w:val="24"/>
          <w:szCs w:val="24"/>
        </w:rPr>
        <w:t>Mi Escuela en Datos:</w:t>
      </w:r>
      <w:r w:rsidRPr="00EB4D6C">
        <w:rPr>
          <w:rFonts w:ascii="Times New Roman" w:eastAsia="Times New Roman" w:hAnsi="Times New Roman" w:cs="Times New Roman"/>
          <w:color w:val="3B3838"/>
          <w:sz w:val="24"/>
          <w:szCs w:val="24"/>
        </w:rPr>
        <w:t xml:space="preserve"> es una de las herramientas que permite observar estas mediaciones. A diferencia de una reportería tradicional este dispositivo organiza la información a partir de la temporalidad de las trayectorias escolares dentro de cada institución. Articula datos provenientes de distintas fuentes —como el Relevamiento Anual y los sistemas nominales de gestión de estudiantes— para construir una secuencia de lectura orientada a la toma de decisiones </w:t>
      </w:r>
      <w:r w:rsidRPr="00EB4D6C">
        <w:rPr>
          <w:rFonts w:ascii="Times New Roman" w:eastAsia="Times New Roman" w:hAnsi="Times New Roman" w:cs="Times New Roman"/>
          <w:color w:val="3B3838"/>
          <w:sz w:val="24"/>
          <w:szCs w:val="24"/>
        </w:rPr>
        <w:lastRenderedPageBreak/>
        <w:t xml:space="preserve">institucionales. En primer lugar, permite analizar el acceso y la evolución de la matrícula en los últimos años, guiado a través de preguntas observando si crece, decrece o presenta variaciones significativas por año de estudio, punto de partida para formular preguntas: ¿a qué pueden deberse estos movimientos?, ¿responden a transformaciones demográficas? ¿a cambios en la oferta educativa del territorio? ¿a desplazamientos entre instituciones o a condiciones propias de la escuela? </w:t>
      </w:r>
    </w:p>
    <w:p w14:paraId="0A720CAE" w14:textId="77777777" w:rsidR="00EB4D6C" w:rsidRPr="00EB4D6C" w:rsidRDefault="00EB4D6C" w:rsidP="005F771F">
      <w:pPr>
        <w:pBdr>
          <w:top w:val="nil"/>
          <w:left w:val="nil"/>
          <w:bottom w:val="nil"/>
          <w:right w:val="nil"/>
          <w:between w:val="nil"/>
        </w:pBdr>
        <w:spacing w:after="0" w:line="360" w:lineRule="auto"/>
        <w:ind w:left="720"/>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En segundo lugar, el dispositivo permite observar en qué condiciones los estudiantes inician el ciclo lectivo: ¿cuántos lo hacen en situación de repitencia o sobreedad? Estos indicadores habilitan preguntas pedagógicas e institucionales sobre las estrategias necesarias para acompañar a grupos con trayectorias previas más complejas, así como sobre la posibilidad de identificar, a través del sistema de gestión de estudiantes, quiénes son esos estudiantes, ¿son estudiantes que adeudaban materias? ¿cómo transitaron su escolaridad? ¿provienen de otras instituciones?  Del RA también se pueden identificar cuántos estudiantes se cambiaron de escuela, considerando la incidencia de los pases en las trayectorias educativas. </w:t>
      </w:r>
    </w:p>
    <w:p w14:paraId="545D2A2E" w14:textId="77777777" w:rsidR="00EB4D6C" w:rsidRPr="00EB4D6C" w:rsidRDefault="00EB4D6C" w:rsidP="005F771F">
      <w:pPr>
        <w:pBdr>
          <w:top w:val="nil"/>
          <w:left w:val="nil"/>
          <w:bottom w:val="nil"/>
          <w:right w:val="nil"/>
          <w:between w:val="nil"/>
        </w:pBdr>
        <w:spacing w:after="0" w:line="360" w:lineRule="auto"/>
        <w:ind w:left="720"/>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También incorpora información sobre lo que ocurre durante el ciclo lectivo: inasistencias, situaciones de riesgo, movilidad entre escuelas y permanencia en la institución. De esta forma, la información nominal permite pasar de una lectura agregada del problema a una mirada situada sobre las trayectorias concretas. La pregunta ya no es solamente cuántos estudiantes faltan o se trasladan, sino quiénes son, en qué años se concentran esas situaciones, si se vinculan con sobreedad, repitencia, materias adeudadas u otras condiciones, y qué acciones institucionales podrían desplegarse oportunamente.</w:t>
      </w:r>
    </w:p>
    <w:p w14:paraId="1527FEAE" w14:textId="390EFBCE" w:rsidR="00EB4D6C" w:rsidRPr="00EB4D6C" w:rsidRDefault="00EB4D6C" w:rsidP="005F771F">
      <w:pPr>
        <w:pBdr>
          <w:top w:val="nil"/>
          <w:left w:val="nil"/>
          <w:bottom w:val="nil"/>
          <w:right w:val="nil"/>
          <w:between w:val="nil"/>
        </w:pBdr>
        <w:spacing w:after="0" w:line="360" w:lineRule="auto"/>
        <w:ind w:left="720"/>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Por último, se propone analizar cómo los estudiantes terminan el ciclo lectivo - promoción, no promoción, egreso efectivo y finalización con espacios pendientes-Esta información puede ponerse en diálogo con los resultados de operativos de </w:t>
      </w:r>
      <w:r w:rsidRPr="00EB4D6C">
        <w:rPr>
          <w:rFonts w:ascii="Times New Roman" w:eastAsia="Times New Roman" w:hAnsi="Times New Roman" w:cs="Times New Roman"/>
          <w:color w:val="3B3838"/>
          <w:sz w:val="24"/>
          <w:szCs w:val="24"/>
        </w:rPr>
        <w:lastRenderedPageBreak/>
        <w:t>evaluación y con otros indicadores de trayectoria, permitiendo construir hipótesis sobre los problemas principales que afectan la progresión escolar y sobre las estrategias necesarias para abordarlos.</w:t>
      </w:r>
    </w:p>
    <w:p w14:paraId="3A621621" w14:textId="77777777" w:rsidR="00EB4D6C" w:rsidRPr="00EB4D6C" w:rsidRDefault="00EB4D6C" w:rsidP="005F771F">
      <w:pPr>
        <w:pBdr>
          <w:top w:val="nil"/>
          <w:left w:val="nil"/>
          <w:bottom w:val="nil"/>
          <w:right w:val="nil"/>
          <w:between w:val="nil"/>
        </w:pBdr>
        <w:spacing w:after="0" w:line="360" w:lineRule="auto"/>
        <w:ind w:left="720"/>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Así, Mi Escuela en Datos constituye una mediación entre información estadística, nominal y saber institucional, integrando fuentes y organizando los datos según momentos significativos de la trayectoria escolar y traduciéndola en preguntas pedagógicas y de gestión. Se constituye en una herramienta para interpretar procesos institucionales, identificar problemas, orientar intervenciones y fortalecer la toma de decisiones en la escuela.</w:t>
      </w:r>
    </w:p>
    <w:p w14:paraId="5FF7BD50" w14:textId="58B6DB3D" w:rsidR="00EB4D6C" w:rsidRPr="00EB4D6C" w:rsidRDefault="00EB4D6C" w:rsidP="00EB4D6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b/>
          <w:bCs/>
          <w:color w:val="3B3838"/>
          <w:sz w:val="24"/>
          <w:szCs w:val="24"/>
        </w:rPr>
        <w:t>Mi Región en Datos</w:t>
      </w:r>
      <w:r w:rsidRPr="00EB4D6C">
        <w:rPr>
          <w:rFonts w:ascii="Times New Roman" w:eastAsia="Times New Roman" w:hAnsi="Times New Roman" w:cs="Times New Roman"/>
          <w:color w:val="3B3838"/>
          <w:sz w:val="24"/>
          <w:szCs w:val="24"/>
        </w:rPr>
        <w:t xml:space="preserve"> desplaza la escala de análisis hacia el territorio. Está destinado principalmente a supervisores y equipos de gestión intermedia, y busca contextualizar la región en la que las instituciones se insertan.  Esta herramienta se vincula con el proceso de regionalización educativa, que procura construir una mirada articulada de la oferta de distintos niveles y modalidades en unidades territoriales comunes, un</w:t>
      </w:r>
      <w:r w:rsidR="005F771F">
        <w:rPr>
          <w:rFonts w:ascii="Times New Roman" w:eastAsia="Times New Roman" w:hAnsi="Times New Roman" w:cs="Times New Roman"/>
          <w:color w:val="3B3838"/>
          <w:sz w:val="24"/>
          <w:szCs w:val="24"/>
        </w:rPr>
        <w:t xml:space="preserve"> </w:t>
      </w:r>
      <w:r w:rsidRPr="00EB4D6C">
        <w:rPr>
          <w:rFonts w:ascii="Times New Roman" w:eastAsia="Times New Roman" w:hAnsi="Times New Roman" w:cs="Times New Roman"/>
          <w:color w:val="3B3838"/>
          <w:sz w:val="24"/>
          <w:szCs w:val="24"/>
        </w:rPr>
        <w:t>espacio donde se producen las continuidades, interrupciones y transiciones de las trayectorias educativas.</w:t>
      </w:r>
    </w:p>
    <w:p w14:paraId="3E269149" w14:textId="77777777" w:rsidR="00EB4D6C" w:rsidRPr="00EB4D6C" w:rsidRDefault="00EB4D6C" w:rsidP="005F771F">
      <w:pPr>
        <w:pBdr>
          <w:top w:val="nil"/>
          <w:left w:val="nil"/>
          <w:bottom w:val="nil"/>
          <w:right w:val="nil"/>
          <w:between w:val="nil"/>
        </w:pBdr>
        <w:spacing w:after="0" w:line="360" w:lineRule="auto"/>
        <w:ind w:left="720"/>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Mi Región en Datos integra información del RA y de distintos operativos de evaluación, como el Nacional Aprender y los Provinciales PRISMA y PRISMA Fluidez y Comprensión Lectora. Esta información permite caracterizar la oferta educativa regional, observar tendencias de matrícula y resultados de aprendizaje, e identificar problemas que exceden a una institución.  </w:t>
      </w:r>
      <w:proofErr w:type="gramStart"/>
      <w:r w:rsidRPr="00EB4D6C">
        <w:rPr>
          <w:rFonts w:ascii="Times New Roman" w:eastAsia="Times New Roman" w:hAnsi="Times New Roman" w:cs="Times New Roman"/>
          <w:color w:val="3B3838"/>
          <w:sz w:val="24"/>
          <w:szCs w:val="24"/>
        </w:rPr>
        <w:t>Habilita preguntas propias</w:t>
      </w:r>
      <w:proofErr w:type="gramEnd"/>
      <w:r w:rsidRPr="00EB4D6C">
        <w:rPr>
          <w:rFonts w:ascii="Times New Roman" w:eastAsia="Times New Roman" w:hAnsi="Times New Roman" w:cs="Times New Roman"/>
          <w:color w:val="3B3838"/>
          <w:sz w:val="24"/>
          <w:szCs w:val="24"/>
        </w:rPr>
        <w:t xml:space="preserve"> de la gestión territorial: ¿qué ocurre con la continuidad de las trayectorias entre niveles?, ¿dónde se concentran mayores dificultades?, ¿qué grupos de escuelas requieren acompañamientos específicos?, ¿cómo pueden organizarse apoyos desde la supervisión o los equipos intermedios?</w:t>
      </w:r>
    </w:p>
    <w:p w14:paraId="68A07496" w14:textId="77777777" w:rsidR="00EB4D6C" w:rsidRPr="00EB4D6C" w:rsidRDefault="00EB4D6C" w:rsidP="00EB4D6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b/>
          <w:bCs/>
          <w:color w:val="3B3838"/>
          <w:sz w:val="24"/>
          <w:szCs w:val="24"/>
        </w:rPr>
        <w:t xml:space="preserve">Tableros de información educativa para gobiernos locales, </w:t>
      </w:r>
      <w:r w:rsidRPr="00EB4D6C">
        <w:rPr>
          <w:rFonts w:ascii="Times New Roman" w:eastAsia="Times New Roman" w:hAnsi="Times New Roman" w:cs="Times New Roman"/>
          <w:color w:val="3B3838"/>
          <w:sz w:val="24"/>
          <w:szCs w:val="24"/>
        </w:rPr>
        <w:t xml:space="preserve">destinados a gobiernos locales y Coordinaciones Locales de Educación, en el marco del </w:t>
      </w:r>
      <w:r w:rsidRPr="00EB4D6C">
        <w:rPr>
          <w:rFonts w:ascii="Times New Roman" w:eastAsia="Times New Roman" w:hAnsi="Times New Roman" w:cs="Times New Roman"/>
          <w:color w:val="3B3838"/>
          <w:sz w:val="24"/>
          <w:szCs w:val="24"/>
        </w:rPr>
        <w:lastRenderedPageBreak/>
        <w:t>programa Provincial de Fortalecimiento Educativo Territorial- Coordinaciones Locales de Educación</w:t>
      </w:r>
      <w:r w:rsidRPr="00EB4D6C">
        <w:rPr>
          <w:rFonts w:ascii="Times New Roman" w:eastAsia="Times New Roman" w:hAnsi="Times New Roman" w:cs="Times New Roman"/>
          <w:color w:val="3B3838"/>
          <w:sz w:val="24"/>
          <w:szCs w:val="24"/>
          <w:vertAlign w:val="superscript"/>
        </w:rPr>
        <w:footnoteReference w:id="3"/>
      </w:r>
      <w:r w:rsidRPr="00EB4D6C">
        <w:rPr>
          <w:rFonts w:ascii="Times New Roman" w:eastAsia="Times New Roman" w:hAnsi="Times New Roman" w:cs="Times New Roman"/>
          <w:color w:val="3B3838"/>
          <w:sz w:val="24"/>
          <w:szCs w:val="24"/>
        </w:rPr>
        <w:t>.  Su propósito es ofrecer información a intendentes, directivos de áreas municipales, actores específicos del territorio para que desarrollen acciones que permitan generar condiciones para acompañar las trayectorias educativas. En este sentido, los gobiernos locales pueden identificar necesidades, articular apoyos, colaborar con las instituciones y movilizar recursos del territorio, por ejemplo, para fortalecer propuestas de acompañamiento, desarrollo de actividades de fortalecimiento de la alfabetización en el marco del Plan Provincial de Alfabetización, apoyo escolar o participación comunitaria.</w:t>
      </w:r>
    </w:p>
    <w:p w14:paraId="6EA57AE0" w14:textId="405193EC" w:rsidR="00EB4D6C" w:rsidRPr="00EB4D6C" w:rsidRDefault="00EB4D6C" w:rsidP="005F771F">
      <w:pPr>
        <w:pBdr>
          <w:top w:val="nil"/>
          <w:left w:val="nil"/>
          <w:bottom w:val="nil"/>
          <w:right w:val="nil"/>
          <w:between w:val="nil"/>
        </w:pBdr>
        <w:spacing w:after="0" w:line="360" w:lineRule="auto"/>
        <w:ind w:left="720"/>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Los tableros combinan información estadística general con datos nominales más cercanos al tiempo de la acción. Muestran la oferta educativa, la matrícula y algunos indicadores generales como también información nominal </w:t>
      </w:r>
      <w:proofErr w:type="spellStart"/>
      <w:r w:rsidRPr="00EB4D6C">
        <w:rPr>
          <w:rFonts w:ascii="Times New Roman" w:eastAsia="Times New Roman" w:hAnsi="Times New Roman" w:cs="Times New Roman"/>
          <w:i/>
          <w:iCs/>
          <w:color w:val="3B3838"/>
          <w:sz w:val="24"/>
          <w:szCs w:val="24"/>
        </w:rPr>
        <w:t>on</w:t>
      </w:r>
      <w:proofErr w:type="spellEnd"/>
      <w:r w:rsidRPr="00EB4D6C">
        <w:rPr>
          <w:rFonts w:ascii="Times New Roman" w:eastAsia="Times New Roman" w:hAnsi="Times New Roman" w:cs="Times New Roman"/>
          <w:i/>
          <w:iCs/>
          <w:color w:val="3B3838"/>
          <w:sz w:val="24"/>
          <w:szCs w:val="24"/>
        </w:rPr>
        <w:t xml:space="preserve"> time</w:t>
      </w:r>
      <w:r w:rsidRPr="00EB4D6C">
        <w:rPr>
          <w:rFonts w:ascii="Times New Roman" w:eastAsia="Times New Roman" w:hAnsi="Times New Roman" w:cs="Times New Roman"/>
          <w:color w:val="3B3838"/>
          <w:sz w:val="24"/>
          <w:szCs w:val="24"/>
        </w:rPr>
        <w:t xml:space="preserve">: estudiantes ausentes en el día, estudiantes que no figuran inscriptos en ningún servicio educativo o situaciones críticas de inasistencia con un índice de criticidad de inasistencias reiteradas, con el objeto de identificación de situaciones concretas que requieren intervención.  </w:t>
      </w:r>
      <w:r w:rsidR="005F771F">
        <w:rPr>
          <w:rFonts w:ascii="Times New Roman" w:eastAsia="Times New Roman" w:hAnsi="Times New Roman" w:cs="Times New Roman"/>
          <w:color w:val="3B3838"/>
          <w:sz w:val="24"/>
          <w:szCs w:val="24"/>
        </w:rPr>
        <w:t xml:space="preserve">Las preguntas propias del nivel </w:t>
      </w:r>
      <w:r w:rsidRPr="00EB4D6C">
        <w:rPr>
          <w:rFonts w:ascii="Times New Roman" w:eastAsia="Times New Roman" w:hAnsi="Times New Roman" w:cs="Times New Roman"/>
          <w:color w:val="3B3838"/>
          <w:sz w:val="24"/>
          <w:szCs w:val="24"/>
        </w:rPr>
        <w:t>local: ¿qué situaciones requieren articulación con la escuela?, ¿qué apoyos puede ofrecer el municipio o la comuna?, ¿qué condiciones territoriales pueden estar afectando la asistencia o la continuidad de las trayectorias?</w:t>
      </w:r>
    </w:p>
    <w:p w14:paraId="5D67E227" w14:textId="77777777" w:rsidR="00EB4D6C" w:rsidRPr="00EB4D6C" w:rsidRDefault="00EB4D6C" w:rsidP="00EB4D6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P</w:t>
      </w:r>
      <w:r w:rsidRPr="00EB4D6C">
        <w:rPr>
          <w:rFonts w:ascii="Times New Roman" w:eastAsia="Times New Roman" w:hAnsi="Times New Roman" w:cs="Times New Roman"/>
          <w:b/>
          <w:bCs/>
          <w:color w:val="3B3838"/>
          <w:sz w:val="24"/>
          <w:szCs w:val="24"/>
        </w:rPr>
        <w:t xml:space="preserve">roducción de indicadores para la gestión del nivel </w:t>
      </w:r>
      <w:r w:rsidRPr="00EB4D6C">
        <w:rPr>
          <w:rFonts w:ascii="Times New Roman" w:eastAsia="Times New Roman" w:hAnsi="Times New Roman" w:cs="Times New Roman"/>
          <w:color w:val="3B3838"/>
          <w:sz w:val="24"/>
          <w:szCs w:val="24"/>
        </w:rPr>
        <w:t>pone el foco en el nivel de la conducción del sistema, construyendo insumos para que los equipos de las Direcciones de Nivel puedan observar procesos, identificar tendencias y seguir la implementación de líneas estratégicas.</w:t>
      </w:r>
    </w:p>
    <w:p w14:paraId="755BD8E4" w14:textId="77777777" w:rsidR="00EB4D6C" w:rsidRPr="00EB4D6C" w:rsidRDefault="00EB4D6C" w:rsidP="005F771F">
      <w:pPr>
        <w:pBdr>
          <w:top w:val="nil"/>
          <w:left w:val="nil"/>
          <w:bottom w:val="nil"/>
          <w:right w:val="nil"/>
          <w:between w:val="nil"/>
        </w:pBdr>
        <w:spacing w:after="0" w:line="360" w:lineRule="auto"/>
        <w:ind w:left="720"/>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Estos indicadores recuperan la lógica de integración de fuentes, pero la organizan en función de las preguntas propias de la gestión de políticas: cómo evoluciona la </w:t>
      </w:r>
      <w:r w:rsidRPr="00EB4D6C">
        <w:rPr>
          <w:rFonts w:ascii="Times New Roman" w:eastAsia="Times New Roman" w:hAnsi="Times New Roman" w:cs="Times New Roman"/>
          <w:color w:val="3B3838"/>
          <w:sz w:val="24"/>
          <w:szCs w:val="24"/>
        </w:rPr>
        <w:lastRenderedPageBreak/>
        <w:t>matrícula, qué niveles de absorción se registran entre niveles, cómo se comportan la repitencia, la promoción o la movilidad entre instituciones, qué resultados muestran los operativos de evaluación y cómo dialogan estos datos con el rendimiento académico y las trayectorias efectivas de los estudiantes.  De esta forma, la producción de indicadores habilita señales para el monitoreo, la priorización y la toma de decisiones, construyendo una lectura de escala sistémica que permita detectar problemas, anticipar necesidades, orientar recursos y evaluar el desarrollo de políticas educativas, sin perder de vista que esos indicadores requieren interpretación pedagógica, institucional y político-educativa.</w:t>
      </w:r>
    </w:p>
    <w:p w14:paraId="5F9CA427" w14:textId="14A490CA" w:rsidR="00EB4D6C" w:rsidRPr="00EB4D6C" w:rsidRDefault="00EB4D6C" w:rsidP="00EB4D6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Los </w:t>
      </w:r>
      <w:r w:rsidRPr="00EB4D6C">
        <w:rPr>
          <w:rFonts w:ascii="Times New Roman" w:eastAsia="Times New Roman" w:hAnsi="Times New Roman" w:cs="Times New Roman"/>
          <w:b/>
          <w:bCs/>
          <w:color w:val="3B3838"/>
          <w:sz w:val="24"/>
          <w:szCs w:val="24"/>
        </w:rPr>
        <w:t>Sistemas de Alerta Temprana</w:t>
      </w:r>
      <w:r w:rsidRPr="00EB4D6C">
        <w:rPr>
          <w:rFonts w:ascii="Times New Roman" w:eastAsia="Times New Roman" w:hAnsi="Times New Roman" w:cs="Times New Roman"/>
          <w:color w:val="3B3838"/>
          <w:sz w:val="24"/>
          <w:szCs w:val="24"/>
        </w:rPr>
        <w:t xml:space="preserve"> (SAT) utilizan información nominal sobre asistencia, continuidad escolar y otros indicadores para identificar oportunamente situaciones de riesgo. Su aporte reside en producir señales cercanas al tiempo de la acción, de modo que escuelas y supervisores puedan definir estrategias de acompañamiento antes de que las situaciones se consoliden. No reemplazan la interpretación pedagógica e institucional, sino que organizan alertas para orientar decisiones.</w:t>
      </w:r>
    </w:p>
    <w:p w14:paraId="0038796A" w14:textId="77777777" w:rsidR="005F771F" w:rsidRDefault="005F771F"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p>
    <w:p w14:paraId="175259CA" w14:textId="085356E0"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Estas herramientas permiten identificar que la integración de información no opera en abstracto, sino que adquiere sentido en función de los usos que cada </w:t>
      </w:r>
      <w:proofErr w:type="gramStart"/>
      <w:r w:rsidRPr="00EB4D6C">
        <w:rPr>
          <w:rFonts w:ascii="Times New Roman" w:eastAsia="Times New Roman" w:hAnsi="Times New Roman" w:cs="Times New Roman"/>
          <w:color w:val="3B3838"/>
          <w:sz w:val="24"/>
          <w:szCs w:val="24"/>
        </w:rPr>
        <w:t>dispositivo habilita</w:t>
      </w:r>
      <w:proofErr w:type="gramEnd"/>
      <w:r w:rsidRPr="00EB4D6C">
        <w:rPr>
          <w:rFonts w:ascii="Times New Roman" w:eastAsia="Times New Roman" w:hAnsi="Times New Roman" w:cs="Times New Roman"/>
          <w:color w:val="3B3838"/>
          <w:sz w:val="24"/>
          <w:szCs w:val="24"/>
        </w:rPr>
        <w:t xml:space="preserve">. Muestra que no todos los datos sirven para lo mismo ni habilitan el mismo tipo de decisión.  Su potencia reside en construir mediaciones que permitan traducir esos datos en preguntas, interpretaciones y decisiones situadas, adecuados a los distintos destinatarios y a sus condiciones de interpretación. </w:t>
      </w:r>
    </w:p>
    <w:p w14:paraId="4D4B6A42"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Una primera dimensión de análisis es la </w:t>
      </w:r>
      <w:r w:rsidRPr="00EB4D6C">
        <w:rPr>
          <w:rFonts w:ascii="Times New Roman" w:eastAsia="Times New Roman" w:hAnsi="Times New Roman" w:cs="Times New Roman"/>
          <w:b/>
          <w:bCs/>
          <w:color w:val="3B3838"/>
          <w:sz w:val="24"/>
          <w:szCs w:val="24"/>
        </w:rPr>
        <w:t>escala</w:t>
      </w:r>
      <w:r w:rsidRPr="00EB4D6C">
        <w:rPr>
          <w:rFonts w:ascii="Times New Roman" w:eastAsia="Times New Roman" w:hAnsi="Times New Roman" w:cs="Times New Roman"/>
          <w:color w:val="3B3838"/>
          <w:sz w:val="24"/>
          <w:szCs w:val="24"/>
        </w:rPr>
        <w:t xml:space="preserve">. Las herramientas analizadas organizan la información en distintos niveles: el nivel institucional, centrado en la escuela, los grupos y las trayectorias concretas —como Mi Escuela en Datos y los SAT—; el nivel meso, asociado a la gestión territorial e intermedia —como Mi Región en Datos, los tableros </w:t>
      </w:r>
      <w:r w:rsidRPr="00EB4D6C">
        <w:rPr>
          <w:rFonts w:ascii="Times New Roman" w:eastAsia="Times New Roman" w:hAnsi="Times New Roman" w:cs="Times New Roman"/>
          <w:color w:val="3B3838"/>
          <w:sz w:val="24"/>
          <w:szCs w:val="24"/>
        </w:rPr>
        <w:lastRenderedPageBreak/>
        <w:t xml:space="preserve">para gobiernos locales y la agregación de alertas a nivel de supervisión—; y el nivel central, vinculado con la planificación, el monitoreo y la evaluación de políticas del sistema educativo. Así usos de la información permiten articular intervención pedagógica, gestión territorial y conducción del sistema. </w:t>
      </w:r>
    </w:p>
    <w:p w14:paraId="61383194"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Una segunda dimensión refiere a la </w:t>
      </w:r>
      <w:r w:rsidRPr="00EB4D6C">
        <w:rPr>
          <w:rFonts w:ascii="Times New Roman" w:eastAsia="Times New Roman" w:hAnsi="Times New Roman" w:cs="Times New Roman"/>
          <w:b/>
          <w:bCs/>
          <w:color w:val="3B3838"/>
          <w:sz w:val="24"/>
          <w:szCs w:val="24"/>
        </w:rPr>
        <w:t>temporalidad</w:t>
      </w:r>
      <w:r w:rsidRPr="00EB4D6C">
        <w:rPr>
          <w:rFonts w:ascii="Times New Roman" w:eastAsia="Times New Roman" w:hAnsi="Times New Roman" w:cs="Times New Roman"/>
          <w:color w:val="3B3838"/>
          <w:sz w:val="24"/>
          <w:szCs w:val="24"/>
        </w:rPr>
        <w:t xml:space="preserve">. Mientras el RA permite reconstruir tendencias en períodos más amplios, los operativos de evaluación estandarizados ofrecen diagnósticos comparables sobre </w:t>
      </w:r>
      <w:proofErr w:type="gramStart"/>
      <w:r w:rsidRPr="00EB4D6C">
        <w:rPr>
          <w:rFonts w:ascii="Times New Roman" w:eastAsia="Times New Roman" w:hAnsi="Times New Roman" w:cs="Times New Roman"/>
          <w:color w:val="3B3838"/>
          <w:sz w:val="24"/>
          <w:szCs w:val="24"/>
        </w:rPr>
        <w:t>aprendizajes</w:t>
      </w:r>
      <w:proofErr w:type="gramEnd"/>
      <w:r w:rsidRPr="00EB4D6C">
        <w:rPr>
          <w:rFonts w:ascii="Times New Roman" w:eastAsia="Times New Roman" w:hAnsi="Times New Roman" w:cs="Times New Roman"/>
          <w:color w:val="3B3838"/>
          <w:sz w:val="24"/>
          <w:szCs w:val="24"/>
        </w:rPr>
        <w:t xml:space="preserve"> pero retrospectivos. Los sistemas nominales y los SAT introducen información más cercana al tiempo de la acción, A su vez, dispositivos como PRISMA Fluidez y Comprensión Lectora incorporan una temporalidad de progresión entre distintas tomas. De este modo, el problema no es solo qué se sabe, sino cuándo se sabe y qué margen de intervención habilita. </w:t>
      </w:r>
    </w:p>
    <w:p w14:paraId="43D2DF2B"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Respecto a la </w:t>
      </w:r>
      <w:r w:rsidRPr="00EB4D6C">
        <w:rPr>
          <w:rFonts w:ascii="Times New Roman" w:eastAsia="Times New Roman" w:hAnsi="Times New Roman" w:cs="Times New Roman"/>
          <w:b/>
          <w:bCs/>
          <w:color w:val="3B3838"/>
          <w:sz w:val="24"/>
          <w:szCs w:val="24"/>
        </w:rPr>
        <w:t xml:space="preserve">finalidad, </w:t>
      </w:r>
      <w:r w:rsidRPr="00EB4D6C">
        <w:rPr>
          <w:rFonts w:ascii="Times New Roman" w:eastAsia="Times New Roman" w:hAnsi="Times New Roman" w:cs="Times New Roman"/>
          <w:color w:val="3B3838"/>
          <w:sz w:val="24"/>
          <w:szCs w:val="24"/>
        </w:rPr>
        <w:t xml:space="preserve">algunas herramientas permiten construir diagnósticos generales; otras acompañan trayectorias, orientan intervenciones pedagógicas, fortalecen la gestión territorial o permiten monitorear políticas. En este marco, integrar fuentes no significa acumular indicadores, sino organizar información según propósitos diferenciados: comprender procesos institucionales, contextualizar territorios, identificar situaciones de riesgo, orientar apoyos, priorizar recursos o evaluar líneas estratégicas. </w:t>
      </w:r>
    </w:p>
    <w:p w14:paraId="0BC85DC0"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A su vez, los </w:t>
      </w:r>
      <w:r w:rsidRPr="00EB4D6C">
        <w:rPr>
          <w:rFonts w:ascii="Times New Roman" w:eastAsia="Times New Roman" w:hAnsi="Times New Roman" w:cs="Times New Roman"/>
          <w:b/>
          <w:bCs/>
          <w:color w:val="3B3838"/>
          <w:sz w:val="24"/>
          <w:szCs w:val="24"/>
        </w:rPr>
        <w:t xml:space="preserve">destinatarios </w:t>
      </w:r>
      <w:r w:rsidRPr="00EB4D6C">
        <w:rPr>
          <w:rFonts w:ascii="Times New Roman" w:eastAsia="Times New Roman" w:hAnsi="Times New Roman" w:cs="Times New Roman"/>
          <w:color w:val="3B3838"/>
          <w:sz w:val="24"/>
          <w:szCs w:val="24"/>
        </w:rPr>
        <w:t xml:space="preserve">demandan información que resulte pertinente a su nivel de decisión. Democratizar el dato no supone que todos los actores accedan a toda la información, sino que cada uno cuente con información adecuada a sus responsabilidades y posibilidades de acción. Así, en la escala escolar, la información puede orientar apoyos y seguimiento de trayectorias; en la territorial, permite identificar problemas compartidos y organizar acompañamientos, </w:t>
      </w:r>
      <w:proofErr w:type="gramStart"/>
      <w:r w:rsidRPr="00EB4D6C">
        <w:rPr>
          <w:rFonts w:ascii="Times New Roman" w:eastAsia="Times New Roman" w:hAnsi="Times New Roman" w:cs="Times New Roman"/>
          <w:color w:val="3B3838"/>
          <w:sz w:val="24"/>
          <w:szCs w:val="24"/>
        </w:rPr>
        <w:t>habilita acciones</w:t>
      </w:r>
      <w:proofErr w:type="gramEnd"/>
      <w:r w:rsidRPr="00EB4D6C">
        <w:rPr>
          <w:rFonts w:ascii="Times New Roman" w:eastAsia="Times New Roman" w:hAnsi="Times New Roman" w:cs="Times New Roman"/>
          <w:color w:val="3B3838"/>
          <w:sz w:val="24"/>
          <w:szCs w:val="24"/>
        </w:rPr>
        <w:t xml:space="preserve"> de búsqueda, articulación y provisión de condiciones materiales o comunitarias; y en la sistémica, permite priorizar recursos, monitorear programas y evaluar políticas. </w:t>
      </w:r>
    </w:p>
    <w:p w14:paraId="20C13C29"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Por otra parte, la información puede funcionar como un “termómetro” para seguir la implementación de políticas, en particular, en iniciativas que requieren seguimiento </w:t>
      </w:r>
      <w:r w:rsidRPr="00EB4D6C">
        <w:rPr>
          <w:rFonts w:ascii="Times New Roman" w:eastAsia="Times New Roman" w:hAnsi="Times New Roman" w:cs="Times New Roman"/>
          <w:color w:val="3B3838"/>
          <w:sz w:val="24"/>
          <w:szCs w:val="24"/>
        </w:rPr>
        <w:lastRenderedPageBreak/>
        <w:t>sistemático, como los planes de alfabetización o las estrategias de acompañamiento de trayectorias. En estos casos, la información puede ser utilizada para producir señales intermedias que permitan ajustar las acciones en curso a partir de una interpretación pedagógica, institucional y política. Por eso, el monitoreo no debería entenderse como un proceso meramente técnico de seguimiento de indicadores, sino como una práctica de lectura situada que articula evidencia, conocimiento del territorio, saberes escolares y decisiones de gestión.</w:t>
      </w:r>
    </w:p>
    <w:p w14:paraId="302DA738"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Los resultados de la evaluación pueden ponerse en diálogo con indicadores de progresión, metas de aprendizaje y expectativas curriculares. En el caso del operativo provincial PRISMA Fluidez y Comprensión Lectora, por ejemplo, los niveles de desempeño en fluidez y comprensión lectora pueden dialogar con metas de aprendizaje y permitir lecturas más específicas sobre qué saben, qué pueden hacer y qué necesitan fortalecer los estudiantes, en forma nominal y en progresión en función de distintos momentos. Este uso permite desplazar la lectura desde el resultado como dato hacia una interpretación pedagógica y curricular del desempeño.</w:t>
      </w:r>
    </w:p>
    <w:p w14:paraId="6274DD44" w14:textId="3A80B566"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 xml:space="preserve">El problema no es tanto la disponibilidad de </w:t>
      </w:r>
      <w:proofErr w:type="gramStart"/>
      <w:r w:rsidRPr="00EB4D6C">
        <w:rPr>
          <w:rFonts w:ascii="Times New Roman" w:eastAsia="Times New Roman" w:hAnsi="Times New Roman" w:cs="Times New Roman"/>
          <w:color w:val="3B3838"/>
          <w:sz w:val="24"/>
          <w:szCs w:val="24"/>
        </w:rPr>
        <w:t>información  sino</w:t>
      </w:r>
      <w:proofErr w:type="gramEnd"/>
      <w:r w:rsidRPr="00EB4D6C">
        <w:rPr>
          <w:rFonts w:ascii="Times New Roman" w:eastAsia="Times New Roman" w:hAnsi="Times New Roman" w:cs="Times New Roman"/>
          <w:color w:val="3B3838"/>
          <w:sz w:val="24"/>
          <w:szCs w:val="24"/>
        </w:rPr>
        <w:t xml:space="preserve"> las condiciones de uso que permiten convertirla en conocimiento para la gestión. Integrar datos implica construir sentidos de uso: para qué se integra, quién la interpreta, en qué escala se utiliza, qué </w:t>
      </w:r>
      <w:proofErr w:type="gramStart"/>
      <w:r w:rsidRPr="00EB4D6C">
        <w:rPr>
          <w:rFonts w:ascii="Times New Roman" w:eastAsia="Times New Roman" w:hAnsi="Times New Roman" w:cs="Times New Roman"/>
          <w:color w:val="3B3838"/>
          <w:sz w:val="24"/>
          <w:szCs w:val="24"/>
        </w:rPr>
        <w:t>decisiones</w:t>
      </w:r>
      <w:r w:rsidR="005F771F">
        <w:rPr>
          <w:rFonts w:ascii="Times New Roman" w:eastAsia="Times New Roman" w:hAnsi="Times New Roman" w:cs="Times New Roman"/>
          <w:color w:val="3B3838"/>
          <w:sz w:val="24"/>
          <w:szCs w:val="24"/>
        </w:rPr>
        <w:t xml:space="preserve"> </w:t>
      </w:r>
      <w:r w:rsidRPr="00EB4D6C">
        <w:rPr>
          <w:rFonts w:ascii="Times New Roman" w:eastAsia="Times New Roman" w:hAnsi="Times New Roman" w:cs="Times New Roman"/>
          <w:color w:val="3B3838"/>
          <w:sz w:val="24"/>
          <w:szCs w:val="24"/>
        </w:rPr>
        <w:t>habilita</w:t>
      </w:r>
      <w:proofErr w:type="gramEnd"/>
      <w:r w:rsidRPr="00EB4D6C">
        <w:rPr>
          <w:rFonts w:ascii="Times New Roman" w:eastAsia="Times New Roman" w:hAnsi="Times New Roman" w:cs="Times New Roman"/>
          <w:color w:val="3B3838"/>
          <w:sz w:val="24"/>
          <w:szCs w:val="24"/>
        </w:rPr>
        <w:t xml:space="preserve"> y qué recaudos exige: refiere a mediaciones institucionales, pedagógicas y ético-políticas capaces de articular diagnóstico sistémico, monitoreo oportuno, priorización de recursos e intervención situada.</w:t>
      </w:r>
    </w:p>
    <w:p w14:paraId="3859764F"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En este sentido se abre una discusión más amplia sobre las condiciones institucionales, técnicas y ético-políticas necesarias para que la integración de fuentes no se restrinja a una tecnología ni a una personalización de los problemas, sino en una herramienta para fortalecer la responsabilidad pública por los aprendizajes y las trayectorias.</w:t>
      </w:r>
    </w:p>
    <w:p w14:paraId="5B1C9129" w14:textId="77777777" w:rsid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p>
    <w:p w14:paraId="1D8223A3" w14:textId="77777777" w:rsidR="005F771F" w:rsidRPr="00EB4D6C" w:rsidRDefault="005F771F"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p>
    <w:p w14:paraId="71F9B147"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i/>
          <w:iCs/>
          <w:color w:val="3B3838"/>
          <w:sz w:val="24"/>
          <w:szCs w:val="24"/>
        </w:rPr>
        <w:lastRenderedPageBreak/>
        <w:t>Discusión</w:t>
      </w:r>
    </w:p>
    <w:p w14:paraId="1312D367"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color w:val="3B3838"/>
          <w:sz w:val="24"/>
          <w:szCs w:val="24"/>
        </w:rPr>
        <w:t>El análisis permite sostener que el principal desafío es integrar distintas fuentes y transformarlas en conocimiento para la gestión, distinguiendo usos, escalas y temporalidades. No se trata solo de salir del diagnóstico general sino de construir termómetros para la intervención en todos los niveles educativos y formas de lectura más situadas, oportunas y orientadas a la intervención.</w:t>
      </w:r>
    </w:p>
    <w:p w14:paraId="5444CB64"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p>
    <w:p w14:paraId="6E3BA546"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i/>
          <w:iCs/>
          <w:color w:val="3B3838"/>
          <w:sz w:val="24"/>
          <w:szCs w:val="24"/>
        </w:rPr>
        <w:t xml:space="preserve">Escalas y temporalidades: </w:t>
      </w:r>
      <w:r w:rsidRPr="00EB4D6C">
        <w:rPr>
          <w:rFonts w:ascii="Times New Roman" w:eastAsia="Times New Roman" w:hAnsi="Times New Roman" w:cs="Times New Roman"/>
          <w:color w:val="3B3838"/>
          <w:sz w:val="24"/>
          <w:szCs w:val="24"/>
        </w:rPr>
        <w:t>El desafío está en construir mediaciones técnicas, pedagógicas y ético-políticas que permitan articular ambas escalas y temporalidades sin reduccionismos. Se identifica una tensión que se sostiene con los distintos regímenes de producción de datos, que refiere a esa mirada sistémica y la intervención situada (la información nominal permite atender a estudiantes concretos en su trayectoria real, en un tiempo más cercano a la intervención como avance sobre datos que sólo podían mirar datos agregados). Pero esto también puede producir un desplazamiento: si las acciones se organizan alrededor de casos individuales o trayectorias particulares, puede diluirse la pregunta por los aprendizajes como problema público, por las desigualdades estructurales y por las condiciones institucionales del sistema. Hablar de política educativa exige no solo mirar trayectorias individuales, sino también agregar información, construir patrones, interpretar tendencias y producir decisiones de alcance sistémico.</w:t>
      </w:r>
    </w:p>
    <w:p w14:paraId="0140687E"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i/>
          <w:iCs/>
          <w:color w:val="3B3838"/>
          <w:sz w:val="24"/>
          <w:szCs w:val="24"/>
        </w:rPr>
      </w:pPr>
    </w:p>
    <w:p w14:paraId="1EF55935"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i/>
          <w:iCs/>
          <w:color w:val="3B3838"/>
          <w:sz w:val="24"/>
          <w:szCs w:val="24"/>
        </w:rPr>
        <w:t xml:space="preserve">La fragmentación de fuentes </w:t>
      </w:r>
      <w:r w:rsidRPr="00EB4D6C">
        <w:rPr>
          <w:rFonts w:ascii="Times New Roman" w:eastAsia="Times New Roman" w:hAnsi="Times New Roman" w:cs="Times New Roman"/>
          <w:color w:val="3B3838"/>
          <w:sz w:val="24"/>
          <w:szCs w:val="24"/>
        </w:rPr>
        <w:t>refiere a la producción de información en circuitos, formatos y temporalidades diferentes —evaluaciones, registros administrativos, sistemas nominales, programas y políticas—, lo que dificulta construir lecturas integrales</w:t>
      </w:r>
      <w:r w:rsidRPr="00EB4D6C">
        <w:rPr>
          <w:rFonts w:ascii="Times New Roman" w:eastAsia="Times New Roman" w:hAnsi="Times New Roman" w:cs="Times New Roman"/>
          <w:i/>
          <w:iCs/>
          <w:color w:val="3B3838"/>
          <w:sz w:val="24"/>
          <w:szCs w:val="24"/>
        </w:rPr>
        <w:t xml:space="preserve">. </w:t>
      </w:r>
      <w:r w:rsidRPr="00EB4D6C">
        <w:rPr>
          <w:rFonts w:ascii="Times New Roman" w:eastAsia="Times New Roman" w:hAnsi="Times New Roman" w:cs="Times New Roman"/>
          <w:color w:val="3B3838"/>
          <w:sz w:val="24"/>
          <w:szCs w:val="24"/>
        </w:rPr>
        <w:t xml:space="preserve">La integración de fuentes no es “cruzar bases”, sino construir sentidos de uso: para qué se integra, quién usa esa información, qué </w:t>
      </w:r>
      <w:proofErr w:type="gramStart"/>
      <w:r w:rsidRPr="00EB4D6C">
        <w:rPr>
          <w:rFonts w:ascii="Times New Roman" w:eastAsia="Times New Roman" w:hAnsi="Times New Roman" w:cs="Times New Roman"/>
          <w:color w:val="3B3838"/>
          <w:sz w:val="24"/>
          <w:szCs w:val="24"/>
        </w:rPr>
        <w:t>decisiones habilita</w:t>
      </w:r>
      <w:proofErr w:type="gramEnd"/>
      <w:r w:rsidRPr="00EB4D6C">
        <w:rPr>
          <w:rFonts w:ascii="Times New Roman" w:eastAsia="Times New Roman" w:hAnsi="Times New Roman" w:cs="Times New Roman"/>
          <w:color w:val="3B3838"/>
          <w:sz w:val="24"/>
          <w:szCs w:val="24"/>
        </w:rPr>
        <w:t>, qué límites tiene y qué consecuencias puede producir.</w:t>
      </w:r>
    </w:p>
    <w:p w14:paraId="456BF8E8"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p>
    <w:p w14:paraId="5A38B987"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i/>
          <w:iCs/>
          <w:color w:val="3B3838"/>
          <w:sz w:val="24"/>
          <w:szCs w:val="24"/>
        </w:rPr>
        <w:lastRenderedPageBreak/>
        <w:t>Reificación del dato de evaluación:</w:t>
      </w:r>
      <w:r w:rsidRPr="00EB4D6C">
        <w:rPr>
          <w:rFonts w:ascii="Times New Roman" w:eastAsia="Times New Roman" w:hAnsi="Times New Roman" w:cs="Times New Roman"/>
          <w:color w:val="3B3838"/>
          <w:sz w:val="24"/>
          <w:szCs w:val="24"/>
        </w:rPr>
        <w:t xml:space="preserve"> Este riesgo se relaciona con convertirlo en una medida autosuficiente de la calidad educativa, sin ponerlo en contexto. La discusión propuesta refiere a poner una lectura situada:  los resultados de evaluación necesitan ser interpretados en diálogo con otras fuentes, con preguntas pedagógicas y con el conocimiento de las condiciones en que se producen los procesos educativos. Se requieren mediaciones pedagógicas: no alcanza con reportar resultados; es necesario construir interpretaciones y preguntas que permitan a escuelas, supervisores y equipos técnicos actuar sobre ellos.</w:t>
      </w:r>
    </w:p>
    <w:p w14:paraId="4D325F16"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i/>
          <w:iCs/>
          <w:color w:val="3B3838"/>
          <w:sz w:val="24"/>
          <w:szCs w:val="24"/>
        </w:rPr>
      </w:pPr>
    </w:p>
    <w:p w14:paraId="2076B02D"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i/>
          <w:iCs/>
          <w:color w:val="3B3838"/>
          <w:sz w:val="24"/>
          <w:szCs w:val="24"/>
        </w:rPr>
        <w:t xml:space="preserve">La dimensión ético-política </w:t>
      </w:r>
      <w:r w:rsidRPr="00EB4D6C">
        <w:rPr>
          <w:rFonts w:ascii="Times New Roman" w:eastAsia="Times New Roman" w:hAnsi="Times New Roman" w:cs="Times New Roman"/>
          <w:color w:val="3B3838"/>
          <w:sz w:val="24"/>
          <w:szCs w:val="24"/>
        </w:rPr>
        <w:t xml:space="preserve">refiere a la responsabilidad que supone articular datos nominales y resultados de aprendizaje. Esto exige establecer condiciones responsables de acceso, interpretación, circulación y uso. La evaluación es una acción política: clasifica, visibiliza, produce discursos, </w:t>
      </w:r>
      <w:proofErr w:type="gramStart"/>
      <w:r w:rsidRPr="00EB4D6C">
        <w:rPr>
          <w:rFonts w:ascii="Times New Roman" w:eastAsia="Times New Roman" w:hAnsi="Times New Roman" w:cs="Times New Roman"/>
          <w:color w:val="3B3838"/>
          <w:sz w:val="24"/>
          <w:szCs w:val="24"/>
        </w:rPr>
        <w:t>habilita decisiones</w:t>
      </w:r>
      <w:proofErr w:type="gramEnd"/>
      <w:r w:rsidRPr="00EB4D6C">
        <w:rPr>
          <w:rFonts w:ascii="Times New Roman" w:eastAsia="Times New Roman" w:hAnsi="Times New Roman" w:cs="Times New Roman"/>
          <w:color w:val="3B3838"/>
          <w:sz w:val="24"/>
          <w:szCs w:val="24"/>
        </w:rPr>
        <w:t xml:space="preserve"> y puede afectar a estudiantes, docentes, escuelas y territorios. Por eso, el debate sobre datos públicos debe incorporar también la responsabilidad sobre sus usos, especialmente cuando se trabaja con información sensible, nominalizada o potencialmente estigmatizante.</w:t>
      </w:r>
    </w:p>
    <w:p w14:paraId="04517861"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p>
    <w:p w14:paraId="4483E666"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sidRPr="00EB4D6C">
        <w:rPr>
          <w:rFonts w:ascii="Times New Roman" w:eastAsia="Times New Roman" w:hAnsi="Times New Roman" w:cs="Times New Roman"/>
          <w:b/>
          <w:bCs/>
          <w:color w:val="3B3838"/>
          <w:sz w:val="24"/>
          <w:szCs w:val="24"/>
        </w:rPr>
        <w:t xml:space="preserve">Referencias bibliográficas: </w:t>
      </w:r>
    </w:p>
    <w:p w14:paraId="132AA3A2"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p>
    <w:p w14:paraId="65D449C0"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proofErr w:type="spellStart"/>
      <w:r w:rsidRPr="00EB4D6C">
        <w:rPr>
          <w:rFonts w:ascii="Times New Roman" w:eastAsia="Times New Roman" w:hAnsi="Times New Roman" w:cs="Times New Roman"/>
          <w:color w:val="3B3838"/>
          <w:sz w:val="24"/>
          <w:szCs w:val="24"/>
        </w:rPr>
        <w:t>Perusia</w:t>
      </w:r>
      <w:proofErr w:type="spellEnd"/>
      <w:r w:rsidRPr="00EB4D6C">
        <w:rPr>
          <w:rFonts w:ascii="Times New Roman" w:eastAsia="Times New Roman" w:hAnsi="Times New Roman" w:cs="Times New Roman"/>
          <w:color w:val="3B3838"/>
          <w:sz w:val="24"/>
          <w:szCs w:val="24"/>
        </w:rPr>
        <w:t xml:space="preserve">, J.C. y Xanthopoulos, J. (2024). El diseño de sistemas provinciales de evaluación de aprendizajes efectivos en Argentina. Documento de Política Pública </w:t>
      </w:r>
      <w:proofErr w:type="spellStart"/>
      <w:r w:rsidRPr="00EB4D6C">
        <w:rPr>
          <w:rFonts w:ascii="Times New Roman" w:eastAsia="Times New Roman" w:hAnsi="Times New Roman" w:cs="Times New Roman"/>
          <w:color w:val="3B3838"/>
          <w:sz w:val="24"/>
          <w:szCs w:val="24"/>
        </w:rPr>
        <w:t>N°</w:t>
      </w:r>
      <w:proofErr w:type="spellEnd"/>
      <w:r w:rsidRPr="00EB4D6C">
        <w:rPr>
          <w:rFonts w:ascii="Times New Roman" w:eastAsia="Times New Roman" w:hAnsi="Times New Roman" w:cs="Times New Roman"/>
          <w:color w:val="3B3838"/>
          <w:sz w:val="24"/>
          <w:szCs w:val="24"/>
        </w:rPr>
        <w:t xml:space="preserve"> 247. Buenos Aires: CIPPEC. </w:t>
      </w:r>
    </w:p>
    <w:p w14:paraId="1C1E4B08"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proofErr w:type="spellStart"/>
      <w:r w:rsidRPr="00EB4D6C">
        <w:rPr>
          <w:rFonts w:ascii="Times New Roman" w:eastAsia="Times New Roman" w:hAnsi="Times New Roman" w:cs="Times New Roman"/>
          <w:color w:val="3B3838"/>
          <w:sz w:val="24"/>
          <w:szCs w:val="24"/>
        </w:rPr>
        <w:t>Perusia</w:t>
      </w:r>
      <w:proofErr w:type="spellEnd"/>
      <w:r w:rsidRPr="00EB4D6C">
        <w:rPr>
          <w:rFonts w:ascii="Times New Roman" w:eastAsia="Times New Roman" w:hAnsi="Times New Roman" w:cs="Times New Roman"/>
          <w:color w:val="3B3838"/>
          <w:sz w:val="24"/>
          <w:szCs w:val="24"/>
        </w:rPr>
        <w:t>, J.C. y Xanthopoulos, J. (2025) Usos escolares de los resultados de las evaluaciones educativas nacionales a gran escala</w:t>
      </w:r>
      <w:proofErr w:type="gramStart"/>
      <w:r w:rsidRPr="00EB4D6C">
        <w:rPr>
          <w:rFonts w:ascii="Times New Roman" w:eastAsia="Times New Roman" w:hAnsi="Times New Roman" w:cs="Times New Roman"/>
          <w:color w:val="3B3838"/>
          <w:sz w:val="24"/>
          <w:szCs w:val="24"/>
        </w:rPr>
        <w:t>. .</w:t>
      </w:r>
      <w:proofErr w:type="gramEnd"/>
      <w:r w:rsidRPr="00EB4D6C">
        <w:rPr>
          <w:rFonts w:ascii="Times New Roman" w:eastAsia="Times New Roman" w:hAnsi="Times New Roman" w:cs="Times New Roman"/>
          <w:color w:val="3B3838"/>
          <w:sz w:val="24"/>
          <w:szCs w:val="24"/>
        </w:rPr>
        <w:t xml:space="preserve"> Documento de Política Pública </w:t>
      </w:r>
      <w:proofErr w:type="spellStart"/>
      <w:r w:rsidRPr="00EB4D6C">
        <w:rPr>
          <w:rFonts w:ascii="Times New Roman" w:eastAsia="Times New Roman" w:hAnsi="Times New Roman" w:cs="Times New Roman"/>
          <w:color w:val="3B3838"/>
          <w:sz w:val="24"/>
          <w:szCs w:val="24"/>
        </w:rPr>
        <w:t>N°</w:t>
      </w:r>
      <w:proofErr w:type="spellEnd"/>
      <w:r w:rsidRPr="00EB4D6C">
        <w:rPr>
          <w:rFonts w:ascii="Times New Roman" w:eastAsia="Times New Roman" w:hAnsi="Times New Roman" w:cs="Times New Roman"/>
          <w:color w:val="3B3838"/>
          <w:sz w:val="24"/>
          <w:szCs w:val="24"/>
        </w:rPr>
        <w:t xml:space="preserve"> 252. Buenos Aires: CIPPEC. </w:t>
      </w:r>
    </w:p>
    <w:p w14:paraId="0747FC0C" w14:textId="77777777" w:rsidR="00EB4D6C" w:rsidRPr="00EB4D6C" w:rsidRDefault="00EB4D6C" w:rsidP="00EB4D6C">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p>
    <w:sectPr w:rsidR="00EB4D6C" w:rsidRPr="00EB4D6C">
      <w:headerReference w:type="default" r:id="rId8"/>
      <w:foot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A74FF" w14:textId="77777777" w:rsidR="008D7B8B" w:rsidRDefault="008D7B8B">
      <w:pPr>
        <w:spacing w:after="0" w:line="240" w:lineRule="auto"/>
      </w:pPr>
      <w:r>
        <w:separator/>
      </w:r>
    </w:p>
  </w:endnote>
  <w:endnote w:type="continuationSeparator" w:id="0">
    <w:p w14:paraId="649B1080" w14:textId="77777777" w:rsidR="008D7B8B" w:rsidRDefault="008D7B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2295F7F-C967-4ADC-95C7-A583E22D201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505071A-D891-4BBB-AC7E-CB87A300D0A1}"/>
    <w:embedBold r:id="rId3" w:fontKey="{BC07FCF5-DBA0-4B59-82F9-26F5023E9A6F}"/>
  </w:font>
  <w:font w:name="Cambria">
    <w:panose1 w:val="02040503050406030204"/>
    <w:charset w:val="00"/>
    <w:family w:val="roman"/>
    <w:pitch w:val="variable"/>
    <w:sig w:usb0="E00006FF" w:usb1="420024FF" w:usb2="02000000" w:usb3="00000000" w:csb0="0000019F" w:csb1="00000000"/>
    <w:embedRegular r:id="rId4" w:fontKey="{7100C48D-6C5C-465A-ADCC-45A73BE85274}"/>
  </w:font>
  <w:font w:name="Tahoma">
    <w:panose1 w:val="020B0604030504040204"/>
    <w:charset w:val="00"/>
    <w:family w:val="swiss"/>
    <w:pitch w:val="variable"/>
    <w:sig w:usb0="E1002EFF" w:usb1="C000605B" w:usb2="00000029" w:usb3="00000000" w:csb0="000101FF" w:csb1="00000000"/>
    <w:embedRegular r:id="rId5" w:fontKey="{DD27BC37-036E-4B47-B9A8-C7829C646F1D}"/>
  </w:font>
  <w:font w:name="Calibri Light">
    <w:panose1 w:val="020F0302020204030204"/>
    <w:charset w:val="00"/>
    <w:family w:val="swiss"/>
    <w:pitch w:val="variable"/>
    <w:sig w:usb0="E4002EFF" w:usb1="C200247B" w:usb2="00000009" w:usb3="00000000" w:csb0="000001FF" w:csb1="00000000"/>
    <w:embedRegular r:id="rId6" w:fontKey="{B838ADC6-26F6-4D31-BD4F-AB66170AB369}"/>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A61C9C84-4541-4517-B2A1-8F3EDE107D1D}"/>
  </w:font>
  <w:font w:name="Aptos">
    <w:charset w:val="00"/>
    <w:family w:val="swiss"/>
    <w:pitch w:val="variable"/>
    <w:sig w:usb0="20000287" w:usb1="00000003" w:usb2="00000000" w:usb3="00000000" w:csb0="0000019F" w:csb1="00000000"/>
    <w:embedRegular r:id="rId8" w:fontKey="{2540F350-BFB5-4C40-8EE9-7FD7412A69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AE8F0" w14:textId="77777777" w:rsidR="00AC6D0B" w:rsidRDefault="00AC6D0B">
    <w:pPr>
      <w:pBdr>
        <w:top w:val="nil"/>
        <w:left w:val="nil"/>
        <w:bottom w:val="nil"/>
        <w:right w:val="nil"/>
        <w:between w:val="nil"/>
      </w:pBdr>
      <w:tabs>
        <w:tab w:val="center" w:pos="4252"/>
        <w:tab w:val="right" w:pos="8504"/>
      </w:tabs>
      <w:spacing w:after="0" w:line="240" w:lineRule="auto"/>
      <w:jc w:val="right"/>
      <w:rPr>
        <w:color w:val="000000"/>
      </w:rPr>
    </w:pPr>
  </w:p>
  <w:p w14:paraId="0D86FAE9" w14:textId="77777777" w:rsidR="00AC6D0B" w:rsidRDefault="00000000">
    <w:r>
      <w:t xml:space="preserve">  </w:t>
    </w:r>
  </w:p>
  <w:p w14:paraId="0E546735" w14:textId="77777777" w:rsidR="00AC6D0B" w:rsidRDefault="00AC6D0B"/>
  <w:p w14:paraId="57081652" w14:textId="77777777" w:rsidR="00AC6D0B" w:rsidRDefault="00AC6D0B"/>
  <w:p w14:paraId="6C4D3F39" w14:textId="77777777" w:rsidR="00AC6D0B" w:rsidRDefault="00AC6D0B"/>
  <w:p w14:paraId="6A7F5C13" w14:textId="77777777" w:rsidR="00AC6D0B" w:rsidRDefault="00AC6D0B">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D649" w14:textId="77777777" w:rsidR="008D7B8B" w:rsidRDefault="008D7B8B">
      <w:pPr>
        <w:spacing w:after="0" w:line="240" w:lineRule="auto"/>
      </w:pPr>
      <w:r>
        <w:separator/>
      </w:r>
    </w:p>
  </w:footnote>
  <w:footnote w:type="continuationSeparator" w:id="0">
    <w:p w14:paraId="06A96494" w14:textId="77777777" w:rsidR="008D7B8B" w:rsidRDefault="008D7B8B">
      <w:pPr>
        <w:spacing w:after="0" w:line="240" w:lineRule="auto"/>
      </w:pPr>
      <w:r>
        <w:continuationSeparator/>
      </w:r>
    </w:p>
  </w:footnote>
  <w:footnote w:id="1">
    <w:p w14:paraId="5131242F" w14:textId="77777777" w:rsidR="00EB4D6C" w:rsidRDefault="00EB4D6C" w:rsidP="00EB4D6C">
      <w:pPr>
        <w:spacing w:after="0" w:line="240" w:lineRule="auto"/>
        <w:rPr>
          <w:rFonts w:ascii="Times New Roman" w:eastAsia="Times New Roman" w:hAnsi="Times New Roman" w:cs="Times New Roman"/>
          <w:sz w:val="24"/>
          <w:szCs w:val="24"/>
        </w:rPr>
      </w:pPr>
      <w:r>
        <w:rPr>
          <w:vertAlign w:val="superscript"/>
        </w:rPr>
        <w:footnoteRef/>
      </w:r>
      <w:r>
        <w:rPr>
          <w:sz w:val="20"/>
          <w:szCs w:val="20"/>
        </w:rPr>
        <w:t xml:space="preserve"> </w:t>
      </w:r>
      <w:r>
        <w:rPr>
          <w:rFonts w:ascii="Times New Roman" w:eastAsia="Times New Roman" w:hAnsi="Times New Roman" w:cs="Times New Roman"/>
        </w:rPr>
        <w:t>Evaluaciones de carácter nominal, con más de una toma en el año y que se orientan, fundamentalmente a la devolución de resultados para el fortalecimiento de las propuestas de enseñanza.</w:t>
      </w:r>
    </w:p>
    <w:p w14:paraId="6545F457" w14:textId="77777777" w:rsidR="00EB4D6C" w:rsidRDefault="00EB4D6C" w:rsidP="00EB4D6C">
      <w:pPr>
        <w:spacing w:after="0" w:line="240" w:lineRule="auto"/>
        <w:rPr>
          <w:rFonts w:ascii="Aptos" w:eastAsia="Aptos" w:hAnsi="Aptos" w:cs="Aptos"/>
          <w:sz w:val="20"/>
          <w:szCs w:val="20"/>
        </w:rPr>
      </w:pPr>
    </w:p>
  </w:footnote>
  <w:footnote w:id="2">
    <w:p w14:paraId="47BBA292" w14:textId="77777777" w:rsidR="00EB4D6C" w:rsidRDefault="00EB4D6C" w:rsidP="00EB4D6C">
      <w:pPr>
        <w:spacing w:after="0" w:line="240" w:lineRule="auto"/>
        <w:rPr>
          <w:sz w:val="20"/>
          <w:szCs w:val="20"/>
        </w:rPr>
      </w:pPr>
      <w:r>
        <w:rPr>
          <w:vertAlign w:val="superscript"/>
        </w:rPr>
        <w:footnoteRef/>
      </w:r>
      <w:r>
        <w:rPr>
          <w:sz w:val="20"/>
          <w:szCs w:val="20"/>
        </w:rPr>
        <w:t xml:space="preserve"> Creado mediante la res. 52/226. </w:t>
      </w:r>
      <w:hyperlink r:id="rId1" w:history="1">
        <w:r>
          <w:rPr>
            <w:rStyle w:val="Hipervnculo"/>
            <w:color w:val="1155CC"/>
            <w:sz w:val="20"/>
            <w:szCs w:val="20"/>
          </w:rPr>
          <w:t>https://www.igualdadycalidadcba.gov.ar/SIPEC-CBA/SFI/DGPEyPE/doc/RES(M)52-2026.pdf</w:t>
        </w:r>
      </w:hyperlink>
      <w:r>
        <w:rPr>
          <w:sz w:val="20"/>
          <w:szCs w:val="20"/>
        </w:rPr>
        <w:t xml:space="preserve"> </w:t>
      </w:r>
    </w:p>
  </w:footnote>
  <w:footnote w:id="3">
    <w:p w14:paraId="04588346" w14:textId="77777777" w:rsidR="00EB4D6C" w:rsidRDefault="00EB4D6C" w:rsidP="00EB4D6C">
      <w:pPr>
        <w:spacing w:after="0" w:line="240" w:lineRule="auto"/>
        <w:rPr>
          <w:sz w:val="20"/>
          <w:szCs w:val="20"/>
        </w:rPr>
      </w:pPr>
      <w:r>
        <w:rPr>
          <w:vertAlign w:val="superscript"/>
        </w:rPr>
        <w:footnoteRef/>
      </w:r>
      <w:r>
        <w:rPr>
          <w:sz w:val="20"/>
          <w:szCs w:val="20"/>
        </w:rPr>
        <w:t xml:space="preserve"> Gobierno de la Provincia de Córdoba: Decreto 66/2024. Disponible en</w:t>
      </w:r>
      <w:hyperlink r:id="rId2" w:history="1">
        <w:r>
          <w:rPr>
            <w:rStyle w:val="Hipervnculo"/>
            <w:color w:val="auto"/>
            <w:sz w:val="20"/>
            <w:szCs w:val="20"/>
            <w:u w:val="none"/>
          </w:rPr>
          <w:t xml:space="preserve"> </w:t>
        </w:r>
      </w:hyperlink>
      <w:hyperlink r:id="rId3" w:history="1">
        <w:r>
          <w:rPr>
            <w:rStyle w:val="Hipervnculo"/>
            <w:color w:val="1155CC"/>
            <w:sz w:val="20"/>
            <w:szCs w:val="20"/>
          </w:rPr>
          <w:t>https://www.cba.gov.ar/wp-content/uploads/2024/07/Decreto-66-24.pdf</w:t>
        </w:r>
      </w:hyperlink>
      <w:r>
        <w:rPr>
          <w:sz w:val="20"/>
          <w:szCs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538D9" w14:textId="77777777" w:rsidR="00AC6D0B" w:rsidRDefault="00000000">
    <w:pPr>
      <w:tabs>
        <w:tab w:val="left" w:pos="2400"/>
        <w:tab w:val="right" w:pos="14004"/>
      </w:tabs>
      <w:spacing w:after="0" w:line="240" w:lineRule="auto"/>
      <w:jc w:val="center"/>
      <w:rPr>
        <w:rFonts w:ascii="Times New Roman" w:eastAsia="Times New Roman" w:hAnsi="Times New Roman" w:cs="Times New Roman"/>
        <w:sz w:val="18"/>
        <w:szCs w:val="18"/>
      </w:rPr>
    </w:pPr>
    <w:r>
      <w:rPr>
        <w:noProof/>
        <w:color w:val="000000"/>
        <w:sz w:val="20"/>
        <w:szCs w:val="20"/>
      </w:rPr>
      <w:drawing>
        <wp:inline distT="0" distB="0" distL="0" distR="0" wp14:anchorId="58E742C8" wp14:editId="3AF9DF4E">
          <wp:extent cx="1305317" cy="868020"/>
          <wp:effectExtent l="0" t="0" r="0" b="0"/>
          <wp:docPr id="511293714" name="image1.png" descr="LOGO DE LA SOCIEDAD ARGENTINA DE INVESTIGACIÓN EN EDUCACIÓN"/>
          <wp:cNvGraphicFramePr/>
          <a:graphic xmlns:a="http://schemas.openxmlformats.org/drawingml/2006/main">
            <a:graphicData uri="http://schemas.openxmlformats.org/drawingml/2006/picture">
              <pic:pic xmlns:pic="http://schemas.openxmlformats.org/drawingml/2006/picture">
                <pic:nvPicPr>
                  <pic:cNvPr id="0" name="image1.png" descr="LOGO DE LA SOCIEDAD ARGENTINA DE INVESTIGACIÓN EN EDUCACIÓN"/>
                  <pic:cNvPicPr preferRelativeResize="0"/>
                </pic:nvPicPr>
                <pic:blipFill>
                  <a:blip r:embed="rId1"/>
                  <a:srcRect/>
                  <a:stretch>
                    <a:fillRect/>
                  </a:stretch>
                </pic:blipFill>
                <pic:spPr>
                  <a:xfrm>
                    <a:off x="0" y="0"/>
                    <a:ext cx="1305317" cy="868020"/>
                  </a:xfrm>
                  <a:prstGeom prst="rect">
                    <a:avLst/>
                  </a:prstGeom>
                  <a:ln/>
                </pic:spPr>
              </pic:pic>
            </a:graphicData>
          </a:graphic>
        </wp:inline>
      </w:drawing>
    </w:r>
  </w:p>
  <w:p w14:paraId="1552C67C" w14:textId="77777777" w:rsidR="00AC6D0B" w:rsidRDefault="00AC6D0B">
    <w:pPr>
      <w:tabs>
        <w:tab w:val="left" w:pos="2400"/>
        <w:tab w:val="right" w:pos="14004"/>
      </w:tabs>
      <w:spacing w:after="0" w:line="240" w:lineRule="auto"/>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F69DD"/>
    <w:multiLevelType w:val="multilevel"/>
    <w:tmpl w:val="1804AFDA"/>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1" w15:restartNumberingAfterBreak="0">
    <w:nsid w:val="289C2DC8"/>
    <w:multiLevelType w:val="multilevel"/>
    <w:tmpl w:val="14D824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9541036"/>
    <w:multiLevelType w:val="multilevel"/>
    <w:tmpl w:val="1D0CBD96"/>
    <w:lvl w:ilvl="0">
      <w:start w:val="1"/>
      <w:numFmt w:val="decimal"/>
      <w:lvlText w:val="%1."/>
      <w:lvlJc w:val="left"/>
      <w:pPr>
        <w:ind w:left="360" w:hanging="360"/>
      </w:pPr>
      <w:rPr>
        <w:rFonts w:ascii="Times New Roman" w:eastAsia="Times New Roman" w:hAnsi="Times New Roman" w:cs="Times New Roman"/>
        <w:color w:val="7F7F7F"/>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646200899">
    <w:abstractNumId w:val="2"/>
  </w:num>
  <w:num w:numId="2" w16cid:durableId="580673631">
    <w:abstractNumId w:val="1"/>
  </w:num>
  <w:num w:numId="3" w16cid:durableId="6183376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D0B"/>
    <w:rsid w:val="005F771F"/>
    <w:rsid w:val="008D7B8B"/>
    <w:rsid w:val="00A83E18"/>
    <w:rsid w:val="00AC6D0B"/>
    <w:rsid w:val="00C35742"/>
    <w:rsid w:val="00EB4D6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AB225"/>
  <w15:docId w15:val="{A5861B14-1D23-424E-9C31-84ECE11EF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sz w:val="27"/>
      <w:szCs w:val="27"/>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styleId="Tablaconcuadrcula">
    <w:name w:val="Table Grid"/>
    <w:basedOn w:val="Tablanormal"/>
    <w:uiPriority w:val="39"/>
    <w:rsid w:val="00314B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93F7B"/>
    <w:pPr>
      <w:autoSpaceDE w:val="0"/>
      <w:autoSpaceDN w:val="0"/>
      <w:adjustRightInd w:val="0"/>
      <w:spacing w:after="0" w:line="240" w:lineRule="auto"/>
    </w:pPr>
    <w:rPr>
      <w:rFonts w:ascii="Cambria" w:hAnsi="Cambria" w:cs="Cambria"/>
      <w:color w:val="000000"/>
      <w:sz w:val="24"/>
      <w:szCs w:val="24"/>
    </w:rPr>
  </w:style>
  <w:style w:type="paragraph" w:styleId="Encabezado">
    <w:name w:val="header"/>
    <w:basedOn w:val="Normal"/>
    <w:link w:val="EncabezadoCar"/>
    <w:uiPriority w:val="99"/>
    <w:unhideWhenUsed/>
    <w:rsid w:val="00F93F7B"/>
    <w:pPr>
      <w:tabs>
        <w:tab w:val="center" w:pos="4252"/>
        <w:tab w:val="right" w:pos="8504"/>
      </w:tabs>
      <w:spacing w:after="0" w:line="240" w:lineRule="auto"/>
    </w:pPr>
    <w:rPr>
      <w:rFonts w:asciiTheme="minorHAnsi" w:eastAsiaTheme="minorHAnsi" w:hAnsiTheme="minorHAnsi" w:cstheme="minorBidi"/>
    </w:rPr>
  </w:style>
  <w:style w:type="character" w:customStyle="1" w:styleId="EncabezadoCar">
    <w:name w:val="Encabezado Car"/>
    <w:basedOn w:val="Fuentedeprrafopredeter"/>
    <w:link w:val="Encabezado"/>
    <w:uiPriority w:val="99"/>
    <w:rsid w:val="00F93F7B"/>
  </w:style>
  <w:style w:type="paragraph" w:styleId="Piedepgina">
    <w:name w:val="footer"/>
    <w:basedOn w:val="Normal"/>
    <w:link w:val="PiedepginaCar"/>
    <w:uiPriority w:val="99"/>
    <w:unhideWhenUsed/>
    <w:rsid w:val="00F93F7B"/>
    <w:pPr>
      <w:tabs>
        <w:tab w:val="center" w:pos="4252"/>
        <w:tab w:val="right" w:pos="8504"/>
      </w:tabs>
      <w:spacing w:after="0" w:line="240" w:lineRule="auto"/>
    </w:pPr>
    <w:rPr>
      <w:rFonts w:asciiTheme="minorHAnsi" w:eastAsiaTheme="minorHAnsi" w:hAnsiTheme="minorHAnsi" w:cstheme="minorBidi"/>
    </w:rPr>
  </w:style>
  <w:style w:type="character" w:customStyle="1" w:styleId="PiedepginaCar">
    <w:name w:val="Pie de página Car"/>
    <w:basedOn w:val="Fuentedeprrafopredeter"/>
    <w:link w:val="Piedepgina"/>
    <w:uiPriority w:val="99"/>
    <w:rsid w:val="00F93F7B"/>
  </w:style>
  <w:style w:type="paragraph" w:styleId="Prrafodelista">
    <w:name w:val="List Paragraph"/>
    <w:basedOn w:val="Normal"/>
    <w:uiPriority w:val="34"/>
    <w:qFormat/>
    <w:rsid w:val="00837222"/>
    <w:pPr>
      <w:spacing w:after="160" w:line="259" w:lineRule="auto"/>
      <w:ind w:left="720"/>
      <w:contextualSpacing/>
    </w:pPr>
    <w:rPr>
      <w:rFonts w:asciiTheme="minorHAnsi" w:eastAsiaTheme="minorHAnsi" w:hAnsiTheme="minorHAnsi" w:cstheme="minorBidi"/>
    </w:rPr>
  </w:style>
  <w:style w:type="character" w:styleId="Hipervnculo">
    <w:name w:val="Hyperlink"/>
    <w:basedOn w:val="Fuentedeprrafopredeter"/>
    <w:uiPriority w:val="99"/>
    <w:unhideWhenUsed/>
    <w:rsid w:val="00BD1B96"/>
    <w:rPr>
      <w:color w:val="0563C1" w:themeColor="hyperlink"/>
      <w:u w:val="single"/>
    </w:rPr>
  </w:style>
  <w:style w:type="paragraph" w:styleId="NormalWeb">
    <w:name w:val="Normal (Web)"/>
    <w:basedOn w:val="Normal"/>
    <w:uiPriority w:val="99"/>
    <w:unhideWhenUsed/>
    <w:rsid w:val="00E1145A"/>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7202B0"/>
    <w:rPr>
      <w:b/>
      <w:bCs/>
    </w:rPr>
  </w:style>
  <w:style w:type="paragraph" w:styleId="Textodeglobo">
    <w:name w:val="Balloon Text"/>
    <w:basedOn w:val="Normal"/>
    <w:link w:val="TextodegloboCar"/>
    <w:uiPriority w:val="99"/>
    <w:semiHidden/>
    <w:unhideWhenUsed/>
    <w:rsid w:val="000A150E"/>
    <w:pPr>
      <w:spacing w:after="0" w:line="240" w:lineRule="auto"/>
    </w:pPr>
    <w:rPr>
      <w:rFonts w:ascii="Tahoma" w:eastAsiaTheme="minorHAnsi" w:hAnsi="Tahoma" w:cs="Tahoma"/>
      <w:sz w:val="16"/>
      <w:szCs w:val="16"/>
    </w:rPr>
  </w:style>
  <w:style w:type="character" w:customStyle="1" w:styleId="TextodegloboCar">
    <w:name w:val="Texto de globo Car"/>
    <w:basedOn w:val="Fuentedeprrafopredeter"/>
    <w:link w:val="Textodeglobo"/>
    <w:uiPriority w:val="99"/>
    <w:semiHidden/>
    <w:rsid w:val="000A150E"/>
    <w:rPr>
      <w:rFonts w:ascii="Tahoma" w:hAnsi="Tahoma" w:cs="Tahoma"/>
      <w:sz w:val="16"/>
      <w:szCs w:val="16"/>
    </w:rPr>
  </w:style>
  <w:style w:type="character" w:customStyle="1" w:styleId="Ttulo3Car">
    <w:name w:val="Título 3 Car"/>
    <w:basedOn w:val="Fuentedeprrafopredeter"/>
    <w:uiPriority w:val="9"/>
    <w:rsid w:val="00DD2CBE"/>
    <w:rPr>
      <w:rFonts w:ascii="Times New Roman" w:eastAsia="Times New Roman" w:hAnsi="Times New Roman" w:cs="Times New Roman"/>
      <w:sz w:val="27"/>
      <w:szCs w:val="27"/>
      <w:lang w:eastAsia="es-ES"/>
    </w:rPr>
  </w:style>
  <w:style w:type="character" w:customStyle="1" w:styleId="field--department-affiliation">
    <w:name w:val="field--department-affiliation"/>
    <w:basedOn w:val="Fuentedeprrafopredeter"/>
    <w:rsid w:val="00DD2CBE"/>
  </w:style>
  <w:style w:type="character" w:customStyle="1" w:styleId="field--title6">
    <w:name w:val="field--title6"/>
    <w:basedOn w:val="Fuentedeprrafopredeter"/>
    <w:rsid w:val="00DD2CBE"/>
  </w:style>
  <w:style w:type="character" w:styleId="nfasis">
    <w:name w:val="Emphasis"/>
    <w:basedOn w:val="Fuentedeprrafopredeter"/>
    <w:uiPriority w:val="20"/>
    <w:qFormat/>
    <w:rsid w:val="00AE42EE"/>
    <w:rPr>
      <w:i/>
      <w:iCs/>
    </w:rPr>
  </w:style>
  <w:style w:type="character" w:customStyle="1" w:styleId="Ttulo1Car">
    <w:name w:val="Título 1 Car"/>
    <w:basedOn w:val="Fuentedeprrafopredeter"/>
    <w:uiPriority w:val="9"/>
    <w:rsid w:val="00217224"/>
    <w:rPr>
      <w:rFonts w:asciiTheme="majorHAnsi" w:eastAsiaTheme="majorEastAsia" w:hAnsiTheme="majorHAnsi" w:cstheme="majorBidi"/>
      <w:color w:val="2E74B5" w:themeColor="accent1" w:themeShade="BF"/>
      <w:sz w:val="32"/>
      <w:szCs w:val="32"/>
    </w:rPr>
  </w:style>
  <w:style w:type="paragraph" w:customStyle="1" w:styleId="Autora">
    <w:name w:val="Autoría"/>
    <w:basedOn w:val="Normal"/>
    <w:rsid w:val="00217224"/>
    <w:pPr>
      <w:spacing w:before="240" w:after="240"/>
      <w:jc w:val="both"/>
    </w:pPr>
    <w:rPr>
      <w:rFonts w:ascii="Arial" w:eastAsia="Times New Roman" w:hAnsi="Arial" w:cs="Times New Roman"/>
      <w:b/>
      <w:sz w:val="20"/>
    </w:rPr>
  </w:style>
  <w:style w:type="paragraph" w:styleId="Textoindependiente">
    <w:name w:val="Body Text"/>
    <w:basedOn w:val="Normal"/>
    <w:link w:val="TextoindependienteCar"/>
    <w:uiPriority w:val="1"/>
    <w:qFormat/>
    <w:rsid w:val="00D06BE2"/>
    <w:pPr>
      <w:widowControl w:val="0"/>
      <w:autoSpaceDE w:val="0"/>
      <w:autoSpaceDN w:val="0"/>
      <w:spacing w:after="0" w:line="240" w:lineRule="auto"/>
    </w:pPr>
    <w:rPr>
      <w:rFonts w:ascii="Cambria" w:eastAsia="Cambria" w:hAnsi="Cambria" w:cs="Cambria"/>
      <w:sz w:val="24"/>
      <w:szCs w:val="24"/>
      <w:lang w:eastAsia="en-US"/>
    </w:rPr>
  </w:style>
  <w:style w:type="character" w:customStyle="1" w:styleId="TextoindependienteCar">
    <w:name w:val="Texto independiente Car"/>
    <w:basedOn w:val="Fuentedeprrafopredeter"/>
    <w:link w:val="Textoindependiente"/>
    <w:uiPriority w:val="1"/>
    <w:rsid w:val="00D06BE2"/>
    <w:rPr>
      <w:rFonts w:ascii="Cambria" w:eastAsia="Cambria" w:hAnsi="Cambria" w:cs="Cambria"/>
      <w:sz w:val="24"/>
      <w:szCs w:val="24"/>
      <w:lang w:eastAsia="en-US"/>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cs="Arial"/>
      <w:sz w:val="20"/>
      <w:szCs w:val="20"/>
    </w:rPr>
  </w:style>
  <w:style w:type="character" w:styleId="Refdecomentario">
    <w:name w:val="annotation reference"/>
    <w:basedOn w:val="Fuentedeprrafopredeter"/>
    <w:uiPriority w:val="99"/>
    <w:semiHidden/>
    <w:unhideWhenUsed/>
    <w:rPr>
      <w:sz w:val="16"/>
      <w:szCs w:val="1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3" Type="http://schemas.openxmlformats.org/officeDocument/2006/relationships/hyperlink" Target="https://www.cba.gov.ar/wp-content/uploads/2024/07/Decreto-66-24.pdf" TargetMode="External"/><Relationship Id="rId2" Type="http://schemas.openxmlformats.org/officeDocument/2006/relationships/hyperlink" Target="https://www.cba.gov.ar/wp-content/uploads/2024/07/Decreto-66-24.pdf" TargetMode="External"/><Relationship Id="rId1" Type="http://schemas.openxmlformats.org/officeDocument/2006/relationships/hyperlink" Target="https://www.igualdadycalidadcba.gov.ar/SIPEC-CBA/SFI/DGPEyPE/doc/RES(M)52-2026.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2iVYZC+bzlwSG0hqYdgS5XRugw==">CgMxLjAyDmguOGd3eHhjYmJ3aWdtMg5oLnk3ZXpzaG1jdnNhZzIIaC5namRneHM4AHIhMXRSS2RRaGEya192d2J5aGx0ZDAyenpYbGhzQk93SDU0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4078</Words>
  <Characters>22433</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jm.valle</dc:creator>
  <cp:lastModifiedBy>Marisa Alvarez</cp:lastModifiedBy>
  <cp:revision>3</cp:revision>
  <dcterms:created xsi:type="dcterms:W3CDTF">2026-07-07T18:10:00Z</dcterms:created>
  <dcterms:modified xsi:type="dcterms:W3CDTF">2026-07-07T18:15:00Z</dcterms:modified>
</cp:coreProperties>
</file>