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9B3" w:rsidRDefault="00733BDD">
      <w:pPr>
        <w:pStyle w:val="Ttulo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BFBFBF"/>
        <w:spacing w:before="480" w:after="120" w:line="240" w:lineRule="auto"/>
        <w:ind w:left="400"/>
        <w:jc w:val="center"/>
        <w:rPr>
          <w:rFonts w:ascii="Times New Roman" w:eastAsia="Times New Roman" w:hAnsi="Times New Roman" w:cs="Times New Roman"/>
          <w:b/>
          <w:bCs/>
          <w:color w:val="0E233D"/>
          <w:sz w:val="42"/>
          <w:szCs w:val="42"/>
        </w:rPr>
      </w:pPr>
      <w:bookmarkStart w:id="0" w:name="_heading=h.8gwxxcbbwigm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E233D"/>
          <w:sz w:val="42"/>
          <w:szCs w:val="42"/>
        </w:rPr>
        <w:t>VI COLOQUIO DE INVESTIGACIÓN EDUCATIVA EN ARGENTINA</w:t>
      </w:r>
    </w:p>
    <w:p w:rsidR="00F309B3" w:rsidRDefault="00733BDD">
      <w:pPr>
        <w:pStyle w:val="Ttulo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BFBFBF"/>
        <w:spacing w:before="480" w:after="120" w:line="240" w:lineRule="auto"/>
        <w:ind w:left="400"/>
        <w:jc w:val="center"/>
        <w:rPr>
          <w:rFonts w:ascii="Times New Roman" w:eastAsia="Times New Roman" w:hAnsi="Times New Roman" w:cs="Times New Roman"/>
          <w:b/>
          <w:bCs/>
          <w:color w:val="404040"/>
          <w:sz w:val="42"/>
          <w:szCs w:val="42"/>
        </w:rPr>
      </w:pPr>
      <w:bookmarkStart w:id="1" w:name="_heading=h.y7ezshmcvsag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404040"/>
          <w:sz w:val="42"/>
          <w:szCs w:val="42"/>
        </w:rPr>
        <w:t xml:space="preserve"> Desafíos para la investigación educativa en escenarios de crisis. Construyendo comunidades y futuros posibles</w:t>
      </w:r>
    </w:p>
    <w:p w:rsidR="00F309B3" w:rsidRDefault="00F309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3B3838"/>
          <w:sz w:val="2"/>
          <w:szCs w:val="2"/>
        </w:rPr>
      </w:pP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Resumen Ampliado para Sesiones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GTs</w:t>
      </w:r>
      <w:proofErr w:type="spellEnd"/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gjdgxs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Área temática:</w:t>
      </w:r>
      <w:r>
        <w:rPr>
          <w:rFonts w:ascii="Times New Roman" w:eastAsia="Times New Roman" w:hAnsi="Times New Roman" w:cs="Times New Roman"/>
          <w:sz w:val="24"/>
          <w:szCs w:val="24"/>
        </w:rPr>
        <w:t> GT Usos de información estadística y acceso a datos públicos</w:t>
      </w:r>
    </w:p>
    <w:p w:rsidR="00F309B3" w:rsidRDefault="00F309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Título del trabajo: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Pruebas Escolares Bonaerenses. Enseñanza y evaluación para la mejora de los aprendizajes </w:t>
      </w:r>
    </w:p>
    <w:p w:rsidR="00F309B3" w:rsidRDefault="00F309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3B383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Torres, Mirta </w:t>
      </w:r>
      <w:r>
        <w:rPr>
          <w:rFonts w:ascii="Times New Roman" w:eastAsia="Times New Roman" w:hAnsi="Times New Roman" w:cs="Times New Roman"/>
          <w:sz w:val="24"/>
          <w:szCs w:val="24"/>
        </w:rPr>
        <w:t>- Dirección Provincial de Educación Primaria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DGCyE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provincia de Buenos Aires) -</w:t>
      </w:r>
      <w:r>
        <w:rPr>
          <w:rFonts w:ascii="Times New Roman" w:eastAsia="Times New Roman" w:hAnsi="Times New Roman" w:cs="Times New Roman"/>
          <w:color w:val="3B3838"/>
          <w:sz w:val="24"/>
          <w:szCs w:val="24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mirtatorres5@gmail.com</w:t>
        </w:r>
      </w:hyperlink>
      <w:r>
        <w:rPr>
          <w:rFonts w:ascii="Times New Roman" w:eastAsia="Times New Roman" w:hAnsi="Times New Roman" w:cs="Times New Roman"/>
          <w:color w:val="3B3838"/>
          <w:sz w:val="24"/>
          <w:szCs w:val="24"/>
        </w:rPr>
        <w:t xml:space="preserve">  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3B383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Born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Diego </w:t>
      </w:r>
      <w:r>
        <w:rPr>
          <w:rFonts w:ascii="Times New Roman" w:eastAsia="Times New Roman" w:hAnsi="Times New Roman" w:cs="Times New Roman"/>
          <w:sz w:val="24"/>
          <w:szCs w:val="24"/>
        </w:rPr>
        <w:t>- Subsecretaría de Planeamiento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DGCyE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provincia de Buenos Aires) -</w:t>
      </w:r>
      <w:r>
        <w:rPr>
          <w:rFonts w:ascii="Times New Roman" w:eastAsia="Times New Roman" w:hAnsi="Times New Roman" w:cs="Times New Roman"/>
          <w:color w:val="3B3838"/>
          <w:sz w:val="24"/>
          <w:szCs w:val="24"/>
        </w:rPr>
        <w:t xml:space="preserve"> </w:t>
      </w: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diegoborn@abc.gob.ar</w:t>
        </w:r>
      </w:hyperlink>
      <w:r>
        <w:rPr>
          <w:rFonts w:ascii="Times New Roman" w:eastAsia="Times New Roman" w:hAnsi="Times New Roman" w:cs="Times New Roman"/>
          <w:color w:val="3B3838"/>
          <w:sz w:val="24"/>
          <w:szCs w:val="24"/>
        </w:rPr>
        <w:t xml:space="preserve"> </w:t>
      </w:r>
    </w:p>
    <w:p w:rsidR="00F309B3" w:rsidRDefault="00F309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Palabras clave: </w:t>
      </w:r>
      <w:r>
        <w:rPr>
          <w:rFonts w:ascii="Times New Roman" w:eastAsia="Times New Roman" w:hAnsi="Times New Roman" w:cs="Times New Roman"/>
          <w:sz w:val="24"/>
          <w:szCs w:val="24"/>
        </w:rPr>
        <w:t>enseñanza y evaluación, aprendizajes, nivel Primario, provincia de Buenos Aires.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F309B3" w:rsidRDefault="00F309B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Introducción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F309B3" w:rsidRDefault="00733BD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Desde 2020, la Dirección General de Cultura y Educación de la provincia de Buenos Aires vi</w:t>
      </w:r>
      <w:r>
        <w:rPr>
          <w:rFonts w:ascii="Times New Roman" w:eastAsia="Times New Roman" w:hAnsi="Times New Roman" w:cs="Times New Roman"/>
          <w:sz w:val="24"/>
          <w:szCs w:val="24"/>
        </w:rPr>
        <w:t>ene implementando un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amplio conjunto de políticas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orientadas a fortalecer las condiciones de enseñanza y garantizar el derecho a la educación de niñas y niños. Más allá de las políticas enfocadas en la mejora de las condiciones de enseñanza y aprendizaje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través de la construcción, ampliación y refacción de edificios escolares, y la dotación de recursos materiales) y en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revinculación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continuidad pedagógica como prioridades del tiempo pandémico (con programas específicos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revinculación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universaliza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ción de los Equipos de Orientación Escolar y creación de Centros Socioeducativos y Comunitarios), en 2022 la Dirección Provincial de Educación Primaria (DPEP) inició un programa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intensificación de la enseñanza </w:t>
      </w:r>
      <w:r>
        <w:rPr>
          <w:rFonts w:ascii="Times New Roman" w:eastAsia="Times New Roman" w:hAnsi="Times New Roman" w:cs="Times New Roman"/>
          <w:sz w:val="24"/>
          <w:szCs w:val="24"/>
        </w:rPr>
        <w:t>que perdura hasta hoy, en un escenario marc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ado por la profundización de las desigualdades educativas en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pospandemia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(DPEI-DI, 2026). Se trata de iniciativas que marcan una impronta de acción estatal jurisdiccional muy definida en términos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universalidad e integralidad de las políticas educati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 partir de la articulación de dispositivos de evaluación, propuestas curriculares, formación docente, provisión de materiales y ampliación del tiempo escolar, con énfasis en el seguimiento de las trayectorias educativas (DPEI-DI, 2026). </w:t>
      </w:r>
    </w:p>
    <w:p w:rsidR="00F309B3" w:rsidRDefault="00733BD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este marc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o, las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Pruebas Escolares Bonaerenses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(PEB) se presentan como programa diseñado para fortalecer la enseñanza y los aprendizajes en las áreas de Matemática y Prácticas del Lenguaje. Se crearon en 2022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2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y, en 2026 -con cinco años de existencia-, se consolidan como una de las políticas centrales de la DPEP, en articulación con la Subsecretaría de Planeamiento, a través de la Dirección Provincial de Evaluación e Investigación.</w:t>
      </w:r>
    </w:p>
    <w:p w:rsidR="00F309B3" w:rsidRDefault="00733BD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 presentación se centra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la descripción de las PEB, así como en el acceso a sus resultados y sus usos en materia de política pedagógica. </w:t>
      </w:r>
    </w:p>
    <w:p w:rsidR="00F309B3" w:rsidRDefault="00F309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Acerca de las PEB </w:t>
      </w:r>
    </w:p>
    <w:p w:rsidR="00F309B3" w:rsidRDefault="00733BD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PEB se caracterizan por orientarse a 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propósito formativo</w:t>
      </w:r>
      <w:r>
        <w:rPr>
          <w:rFonts w:ascii="Times New Roman" w:eastAsia="Times New Roman" w:hAnsi="Times New Roman" w:cs="Times New Roman"/>
          <w:sz w:val="24"/>
          <w:szCs w:val="24"/>
        </w:rPr>
        <w:t>, a diferencia de las evaluaciones estandarizadas nacionales (Aprender) e internacionales (como ERCE), con fines  diagnóstico-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sumativos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309B3" w:rsidRDefault="00F309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733BD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implementación se estructura en un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ciclo de 9 momentos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 conectan las decisiones del nivel central (NC) con el t</w:t>
      </w:r>
      <w:r>
        <w:rPr>
          <w:rFonts w:ascii="Times New Roman" w:eastAsia="Times New Roman" w:hAnsi="Times New Roman" w:cs="Times New Roman"/>
          <w:sz w:val="24"/>
          <w:szCs w:val="24"/>
        </w:rPr>
        <w:t>rabajo de enseñanza en las aulas (EA; DPEI-DE, 2024):</w:t>
      </w:r>
    </w:p>
    <w:p w:rsidR="00F309B3" w:rsidRDefault="00F309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733BD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Selección de contenidos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(NC). Se identifican los saberes prioritarios a ser trabajados en el marco del dispositivo de las PEB de acuerdo al área y año de estudio.</w:t>
      </w:r>
    </w:p>
    <w:p w:rsidR="00F309B3" w:rsidRDefault="00733BD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Diseño de materiales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(NC). Se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señan secuencias didácticas, recursos para el portal “Continuemos Estudiando” y se seleccionan libros a 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distribuídos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las escuelas (más de 8 millones distribuidos).</w:t>
      </w:r>
    </w:p>
    <w:p w:rsidR="00F309B3" w:rsidRDefault="00733BD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Encuentros de formación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(NC-EA). Se trata de instancias de formación e intercambio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 inspectoras e inspectores, equipos directivos y docentes para trabajar en relación con la enseñanza.</w:t>
      </w:r>
    </w:p>
    <w:p w:rsidR="00F309B3" w:rsidRDefault="00733BD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Desarrollo de la enseñanza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(EA). Las maestras y los maestros enseñan los contenidos previstos en las PEB durante uno o dos meses previos a la prueb</w:t>
      </w:r>
      <w:r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F309B3" w:rsidRDefault="00733BD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Realización de la prueba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(NC-EA). Se distribuyen los instrumentos de evaluación en todas las escuelas primarias de la provincia (10-11 actividades de respuesta abierta en papel) y se realizan las pruebas en lapsos de fechas estipulados. </w:t>
      </w:r>
    </w:p>
    <w:p w:rsidR="00F309B3" w:rsidRDefault="00733BD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Correcció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 a cargo de maestras y maestros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(EA-NC). Tarea realizada con orientaciones o claves de corrección aportadas desde el nivel central.</w:t>
      </w:r>
    </w:p>
    <w:p w:rsidR="00F309B3" w:rsidRDefault="00733BD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Sistematización y carga de resultados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(EA-NC). Los resultados se trabajan a nivel de la escuela y se cargan para su proc</w:t>
      </w:r>
      <w:r>
        <w:rPr>
          <w:rFonts w:ascii="Times New Roman" w:eastAsia="Times New Roman" w:hAnsi="Times New Roman" w:cs="Times New Roman"/>
          <w:sz w:val="24"/>
          <w:szCs w:val="24"/>
        </w:rPr>
        <w:t>esamiento a cargo de la Dirección de Evaluación (Dirección Provincial de Evaluación e Investigación, Subsecretaría de Planeamiento).</w:t>
      </w:r>
    </w:p>
    <w:p w:rsidR="00F309B3" w:rsidRDefault="00733BD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8.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Análisis de resultados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(NC). Elaboración de presentaciones e informes de resultados a nivel provincial y, a la vez, elab</w:t>
      </w:r>
      <w:r>
        <w:rPr>
          <w:rFonts w:ascii="Times New Roman" w:eastAsia="Times New Roman" w:hAnsi="Times New Roman" w:cs="Times New Roman"/>
          <w:sz w:val="24"/>
          <w:szCs w:val="24"/>
        </w:rPr>
        <w:t>oración de reportes por Región Educativa y Distrito (con aperturas por sector de gestión) y por escuela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3"/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09B3" w:rsidRDefault="00733BD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Distribución de reportes e inicio del ciclo siguiente </w:t>
      </w:r>
      <w:r>
        <w:rPr>
          <w:rFonts w:ascii="Times New Roman" w:eastAsia="Times New Roman" w:hAnsi="Times New Roman" w:cs="Times New Roman"/>
          <w:sz w:val="24"/>
          <w:szCs w:val="24"/>
        </w:rPr>
        <w:t>(NC-EA). El análisis de los resultados se vuelve un insumo para el diseño del siguiente ciclo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la PEB. </w:t>
      </w:r>
    </w:p>
    <w:p w:rsidR="00F309B3" w:rsidRDefault="00F309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PEB se implementan desde los inicios de manera fija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 término de cada ciclo, en 3° y 6°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Los Cuadros 1 y 2 muestran los contenidos evaluados en 2025 en cada área. 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F309B3" w:rsidRDefault="00733BD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5gu5kktxpndt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Cuadro 1. Contenidos de Matemática evaluados en las PEB de 2025</w:t>
      </w:r>
    </w:p>
    <w:tbl>
      <w:tblPr>
        <w:tblStyle w:val="a"/>
        <w:tblW w:w="8020" w:type="dxa"/>
        <w:tblInd w:w="-85" w:type="dxa"/>
        <w:tblLayout w:type="fixed"/>
        <w:tblLook w:val="0400" w:firstRow="0" w:lastRow="0" w:firstColumn="0" w:lastColumn="0" w:noHBand="0" w:noVBand="1"/>
      </w:tblPr>
      <w:tblGrid>
        <w:gridCol w:w="1145"/>
        <w:gridCol w:w="1145"/>
        <w:gridCol w:w="409"/>
        <w:gridCol w:w="5321"/>
      </w:tblGrid>
      <w:tr w:rsidR="00F309B3" w:rsidRPr="00FB43CB">
        <w:trPr>
          <w:trHeight w:val="315"/>
        </w:trPr>
        <w:tc>
          <w:tcPr>
            <w:tcW w:w="8020" w:type="dxa"/>
            <w:gridSpan w:val="4"/>
            <w:tcBorders>
              <w:top w:val="single" w:sz="8" w:space="0" w:color="00AEC3"/>
              <w:left w:val="single" w:sz="8" w:space="0" w:color="00AEC3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3° año - 11 actividades</w:t>
            </w:r>
          </w:p>
        </w:tc>
      </w:tr>
      <w:tr w:rsidR="00F309B3" w:rsidRPr="00FB43CB">
        <w:trPr>
          <w:trHeight w:val="52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single" w:sz="4" w:space="0" w:color="C1E4F5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Numeración</w:t>
            </w: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single" w:sz="4" w:space="0" w:color="C1E4F5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F309B3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309B3" w:rsidRPr="00FB43CB">
        <w:trPr>
          <w:trHeight w:val="525"/>
        </w:trPr>
        <w:tc>
          <w:tcPr>
            <w:tcW w:w="2699" w:type="dxa"/>
            <w:gridSpan w:val="3"/>
            <w:tcBorders>
              <w:top w:val="single" w:sz="4" w:space="0" w:color="C1E4F5"/>
              <w:left w:val="single" w:sz="8" w:space="0" w:color="00AEC3"/>
              <w:bottom w:val="single" w:sz="4" w:space="0" w:color="FFFFFF"/>
              <w:right w:val="nil"/>
            </w:tcBorders>
            <w:shd w:val="clear" w:color="auto" w:fill="C1E4F5"/>
            <w:vAlign w:val="center"/>
          </w:tcPr>
          <w:p w:rsidR="00F309B3" w:rsidRPr="00FB43CB" w:rsidRDefault="00F309B3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321" w:type="dxa"/>
            <w:tcBorders>
              <w:top w:val="single" w:sz="4" w:space="0" w:color="C1E4F5"/>
              <w:left w:val="nil"/>
              <w:bottom w:val="single" w:sz="4" w:space="0" w:color="FFFFFF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Valor posicional. Composición y descomposición de números</w:t>
            </w:r>
          </w:p>
        </w:tc>
      </w:tr>
      <w:tr w:rsidR="00F309B3" w:rsidRPr="00FB43CB">
        <w:trPr>
          <w:trHeight w:val="525"/>
        </w:trPr>
        <w:tc>
          <w:tcPr>
            <w:tcW w:w="8020" w:type="dxa"/>
            <w:gridSpan w:val="4"/>
            <w:tcBorders>
              <w:top w:val="single" w:sz="4" w:space="0" w:color="FFFFFF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Operaciones con números naturales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ind w:firstLine="1600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75" w:type="dxa"/>
            <w:gridSpan w:val="3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Cálculo mental con suma, resta, multiplicación y división 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Cálculo mental exacto. Suma, resta, multiplicación y división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Cálculo mental aproximado. Suma y resta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 xml:space="preserve">Cálculo mental aproximado. Multiplicación y división 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ind w:firstLine="1600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75" w:type="dxa"/>
            <w:gridSpan w:val="3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Diferentes sentidos de la suma, resta, multiplicación y división </w:t>
            </w:r>
          </w:p>
        </w:tc>
      </w:tr>
      <w:tr w:rsidR="00F309B3" w:rsidRPr="00FB43CB">
        <w:trPr>
          <w:trHeight w:val="315"/>
        </w:trPr>
        <w:tc>
          <w:tcPr>
            <w:tcW w:w="8020" w:type="dxa"/>
            <w:gridSpan w:val="4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Suma y resta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Problema de dos pasos. Suma y resta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ind w:firstLine="1600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ind w:firstLine="1600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730" w:type="dxa"/>
            <w:gridSpan w:val="2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Multiplicación y división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Problema de series proporcionales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Análisis del resto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Problema de partición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Combinatoria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single" w:sz="4" w:space="0" w:color="FFFFFF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single" w:sz="4" w:space="0" w:color="FFFFFF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Problema de organización rectangular</w:t>
            </w:r>
          </w:p>
        </w:tc>
      </w:tr>
      <w:tr w:rsidR="00F309B3" w:rsidRPr="00FB43CB">
        <w:trPr>
          <w:trHeight w:val="555"/>
        </w:trPr>
        <w:tc>
          <w:tcPr>
            <w:tcW w:w="8020" w:type="dxa"/>
            <w:gridSpan w:val="4"/>
            <w:tcBorders>
              <w:top w:val="single" w:sz="4" w:space="0" w:color="FFFFFF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 xml:space="preserve"> Geometría</w:t>
            </w:r>
          </w:p>
        </w:tc>
      </w:tr>
      <w:tr w:rsidR="00F309B3" w:rsidRPr="00FB43CB">
        <w:trPr>
          <w:trHeight w:val="55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single" w:sz="8" w:space="0" w:color="00AEC3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single" w:sz="8" w:space="0" w:color="00AEC3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Figuras geométricas</w:t>
            </w:r>
          </w:p>
        </w:tc>
      </w:tr>
      <w:tr w:rsidR="00F309B3" w:rsidRPr="00FB43CB">
        <w:trPr>
          <w:trHeight w:val="315"/>
        </w:trPr>
        <w:tc>
          <w:tcPr>
            <w:tcW w:w="8020" w:type="dxa"/>
            <w:gridSpan w:val="4"/>
            <w:tcBorders>
              <w:top w:val="single" w:sz="8" w:space="0" w:color="00AEC3"/>
              <w:left w:val="single" w:sz="8" w:space="0" w:color="00AEC3"/>
              <w:bottom w:val="single" w:sz="8" w:space="0" w:color="00AEC3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6° año - 11 actividades</w:t>
            </w:r>
          </w:p>
        </w:tc>
      </w:tr>
      <w:tr w:rsidR="00F309B3" w:rsidRPr="00FB43CB">
        <w:trPr>
          <w:trHeight w:val="315"/>
        </w:trPr>
        <w:tc>
          <w:tcPr>
            <w:tcW w:w="8020" w:type="dxa"/>
            <w:gridSpan w:val="4"/>
            <w:tcBorders>
              <w:top w:val="single" w:sz="8" w:space="0" w:color="00AEC3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 xml:space="preserve">Numeración 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 xml:space="preserve">Valor posicional. Composición y descomposición de números </w:t>
            </w:r>
          </w:p>
        </w:tc>
      </w:tr>
      <w:tr w:rsidR="00F309B3" w:rsidRPr="00FB43CB">
        <w:trPr>
          <w:trHeight w:val="315"/>
        </w:trPr>
        <w:tc>
          <w:tcPr>
            <w:tcW w:w="8020" w:type="dxa"/>
            <w:gridSpan w:val="4"/>
            <w:tcBorders>
              <w:top w:val="nil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Operaciones con números naturales: multiplicación y división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ind w:firstLine="1600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75" w:type="dxa"/>
            <w:gridSpan w:val="3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Cálculo mental con multiplicación y división 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Cálculo mental exacto 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Cálculo mental aproximado 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F309B3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Cálculos mentales a partir de otros cálculos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ind w:firstLine="1600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75" w:type="dxa"/>
            <w:gridSpan w:val="3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Diferentes sentidos de la multiplicación y división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Análisis del resto </w:t>
            </w:r>
          </w:p>
        </w:tc>
      </w:tr>
      <w:tr w:rsidR="00F309B3" w:rsidRPr="00FB43CB">
        <w:trPr>
          <w:trHeight w:val="315"/>
        </w:trPr>
        <w:tc>
          <w:tcPr>
            <w:tcW w:w="8020" w:type="dxa"/>
            <w:gridSpan w:val="4"/>
            <w:tcBorders>
              <w:top w:val="nil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Fracciones y decimales</w:t>
            </w: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ind w:firstLine="1600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75" w:type="dxa"/>
            <w:gridSpan w:val="3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Fracciones</w:t>
            </w:r>
          </w:p>
        </w:tc>
      </w:tr>
      <w:tr w:rsidR="00F309B3" w:rsidRPr="00FB43CB">
        <w:trPr>
          <w:trHeight w:val="384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Relación entre fracciones y división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Proporcionalidad con fracciones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ind w:firstLine="1600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75" w:type="dxa"/>
            <w:gridSpan w:val="3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Decimales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lastRenderedPageBreak/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Decimales. Suma y comparación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F309B3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Cálculo mental con decimales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75" w:type="dxa"/>
            <w:gridSpan w:val="3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Fracciones y decimales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Orden de fracciones y decimales </w:t>
            </w:r>
          </w:p>
        </w:tc>
      </w:tr>
      <w:tr w:rsidR="00F309B3" w:rsidRPr="00FB43CB">
        <w:trPr>
          <w:trHeight w:val="315"/>
        </w:trPr>
        <w:tc>
          <w:tcPr>
            <w:tcW w:w="8020" w:type="dxa"/>
            <w:gridSpan w:val="4"/>
            <w:tcBorders>
              <w:top w:val="nil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 xml:space="preserve"> Geometría</w:t>
            </w:r>
          </w:p>
        </w:tc>
      </w:tr>
      <w:tr w:rsidR="00F309B3" w:rsidRPr="00FB43CB">
        <w:trPr>
          <w:trHeight w:val="315"/>
        </w:trPr>
        <w:tc>
          <w:tcPr>
            <w:tcW w:w="2699" w:type="dxa"/>
            <w:gridSpan w:val="3"/>
            <w:tcBorders>
              <w:top w:val="nil"/>
              <w:left w:val="single" w:sz="8" w:space="0" w:color="00AEC3"/>
              <w:bottom w:val="single" w:sz="8" w:space="0" w:color="00AEC3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5321" w:type="dxa"/>
            <w:tcBorders>
              <w:top w:val="nil"/>
              <w:left w:val="nil"/>
              <w:bottom w:val="single" w:sz="8" w:space="0" w:color="00AEC3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Triángulos. Problema deductivo </w:t>
            </w:r>
          </w:p>
        </w:tc>
      </w:tr>
    </w:tbl>
    <w:p w:rsidR="00F309B3" w:rsidRPr="00FB43CB" w:rsidRDefault="00F309B3">
      <w:pPr>
        <w:keepLines/>
        <w:spacing w:before="120" w:after="120" w:line="240" w:lineRule="auto"/>
        <w:rPr>
          <w:rFonts w:ascii="Times New Roman" w:eastAsia="Times New Roman" w:hAnsi="Times New Roman" w:cs="Times New Roman"/>
        </w:rPr>
      </w:pPr>
    </w:p>
    <w:p w:rsidR="00F309B3" w:rsidRPr="00FB43CB" w:rsidRDefault="00733BDD">
      <w:pPr>
        <w:keepLines/>
        <w:spacing w:before="120" w:after="120" w:line="240" w:lineRule="auto"/>
        <w:rPr>
          <w:rFonts w:ascii="Times New Roman" w:eastAsia="Times New Roman" w:hAnsi="Times New Roman" w:cs="Times New Roman"/>
        </w:rPr>
      </w:pPr>
      <w:bookmarkStart w:id="4" w:name="_heading=h.h1m9j11qna2x" w:colFirst="0" w:colLast="0"/>
      <w:bookmarkEnd w:id="4"/>
      <w:r w:rsidRPr="00FB43CB">
        <w:rPr>
          <w:rFonts w:ascii="Times New Roman" w:eastAsia="Times New Roman" w:hAnsi="Times New Roman" w:cs="Times New Roman"/>
          <w:b/>
          <w:bCs/>
        </w:rPr>
        <w:t>Cuadro 2. Contenidos de Prácticas del Lenguaje evaluados en las PEB de 2025</w:t>
      </w:r>
    </w:p>
    <w:tbl>
      <w:tblPr>
        <w:tblStyle w:val="a0"/>
        <w:tblW w:w="7953" w:type="dxa"/>
        <w:tblInd w:w="-85" w:type="dxa"/>
        <w:tblLayout w:type="fixed"/>
        <w:tblLook w:val="0400" w:firstRow="0" w:lastRow="0" w:firstColumn="0" w:lastColumn="0" w:noHBand="0" w:noVBand="1"/>
      </w:tblPr>
      <w:tblGrid>
        <w:gridCol w:w="1145"/>
        <w:gridCol w:w="6808"/>
      </w:tblGrid>
      <w:tr w:rsidR="00F309B3" w:rsidRPr="00FB43CB">
        <w:trPr>
          <w:trHeight w:val="315"/>
        </w:trPr>
        <w:tc>
          <w:tcPr>
            <w:tcW w:w="7953" w:type="dxa"/>
            <w:gridSpan w:val="2"/>
            <w:tcBorders>
              <w:top w:val="single" w:sz="8" w:space="0" w:color="00AEC3"/>
              <w:left w:val="single" w:sz="8" w:space="0" w:color="00AEC3"/>
              <w:bottom w:val="single" w:sz="8" w:space="0" w:color="00AEC3"/>
              <w:right w:val="single" w:sz="8" w:space="0" w:color="00AEC3"/>
            </w:tcBorders>
            <w:shd w:val="clear" w:color="auto" w:fill="92CDDC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5" w:name="_heading=h.flpfui11xl3x" w:colFirst="0" w:colLast="0"/>
            <w:bookmarkEnd w:id="5"/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3° año - 10 ítems</w:t>
            </w:r>
          </w:p>
        </w:tc>
      </w:tr>
      <w:tr w:rsidR="00F309B3" w:rsidRPr="00FB43CB">
        <w:trPr>
          <w:trHeight w:val="315"/>
        </w:trPr>
        <w:tc>
          <w:tcPr>
            <w:tcW w:w="7953" w:type="dxa"/>
            <w:gridSpan w:val="2"/>
            <w:tcBorders>
              <w:top w:val="single" w:sz="8" w:space="0" w:color="00AEC3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Lectura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 xml:space="preserve">Localización de información explícita, ubicada en un fragmento del texto 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Localización de información explícita, ubicada en un fragmento del texto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F309B3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Localización de información explícita, ubicada en distintos fragmentos del texto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Inferencia</w:t>
            </w:r>
          </w:p>
        </w:tc>
      </w:tr>
      <w:tr w:rsidR="00F309B3" w:rsidRPr="00FB43CB">
        <w:trPr>
          <w:trHeight w:val="315"/>
        </w:trPr>
        <w:tc>
          <w:tcPr>
            <w:tcW w:w="7953" w:type="dxa"/>
            <w:gridSpan w:val="2"/>
            <w:tcBorders>
              <w:top w:val="nil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Escritura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ind w:firstLine="1600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Autonomía en la escritura. Sistema de escritura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Contenido y organización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Cohesión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Selección léxica</w:t>
            </w:r>
          </w:p>
        </w:tc>
      </w:tr>
      <w:tr w:rsidR="00F309B3" w:rsidRPr="00FB43CB">
        <w:trPr>
          <w:trHeight w:val="315"/>
        </w:trPr>
        <w:tc>
          <w:tcPr>
            <w:tcW w:w="7953" w:type="dxa"/>
            <w:gridSpan w:val="2"/>
            <w:tcBorders>
              <w:top w:val="nil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 xml:space="preserve">Reflexión sobre el lenguaje 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Ortografía:  uso de la R/RR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ind w:firstLine="1600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Uso de comas en enumeración</w:t>
            </w:r>
          </w:p>
        </w:tc>
      </w:tr>
      <w:tr w:rsidR="00F309B3" w:rsidRPr="00FB43CB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ind w:firstLine="1600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309B3" w:rsidRPr="00FB43CB">
        <w:trPr>
          <w:trHeight w:val="315"/>
        </w:trPr>
        <w:tc>
          <w:tcPr>
            <w:tcW w:w="7953" w:type="dxa"/>
            <w:gridSpan w:val="2"/>
            <w:tcBorders>
              <w:top w:val="nil"/>
              <w:left w:val="single" w:sz="8" w:space="0" w:color="00AEC3"/>
              <w:bottom w:val="single" w:sz="8" w:space="0" w:color="00AEC3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 xml:space="preserve">Cuento utilizado: “El hijo del elefante” de </w:t>
            </w:r>
            <w:proofErr w:type="spellStart"/>
            <w:r w:rsidRPr="00FB43CB">
              <w:rPr>
                <w:rFonts w:ascii="Times New Roman" w:eastAsia="Times New Roman" w:hAnsi="Times New Roman" w:cs="Times New Roman"/>
              </w:rPr>
              <w:t>Rudyard</w:t>
            </w:r>
            <w:proofErr w:type="spellEnd"/>
            <w:r w:rsidRPr="00FB43C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B43CB">
              <w:rPr>
                <w:rFonts w:ascii="Times New Roman" w:eastAsia="Times New Roman" w:hAnsi="Times New Roman" w:cs="Times New Roman"/>
              </w:rPr>
              <w:t>Kipling</w:t>
            </w:r>
            <w:proofErr w:type="spellEnd"/>
          </w:p>
        </w:tc>
      </w:tr>
      <w:tr w:rsidR="00F309B3">
        <w:trPr>
          <w:trHeight w:val="315"/>
        </w:trPr>
        <w:tc>
          <w:tcPr>
            <w:tcW w:w="7953" w:type="dxa"/>
            <w:gridSpan w:val="2"/>
            <w:tcBorders>
              <w:top w:val="single" w:sz="8" w:space="0" w:color="00AEC3"/>
              <w:left w:val="single" w:sz="8" w:space="0" w:color="00AEC3"/>
              <w:bottom w:val="single" w:sz="8" w:space="0" w:color="00AEC3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6° año - 11 ítems</w:t>
            </w:r>
          </w:p>
        </w:tc>
      </w:tr>
      <w:tr w:rsidR="00F309B3">
        <w:trPr>
          <w:trHeight w:val="315"/>
        </w:trPr>
        <w:tc>
          <w:tcPr>
            <w:tcW w:w="7953" w:type="dxa"/>
            <w:gridSpan w:val="2"/>
            <w:tcBorders>
              <w:top w:val="single" w:sz="8" w:space="0" w:color="00AEC3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Lectura</w:t>
            </w:r>
          </w:p>
        </w:tc>
      </w:tr>
      <w:tr w:rsidR="00F309B3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F309B3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Localización de información explícita ubicada en un fragmento del texto</w:t>
            </w:r>
          </w:p>
        </w:tc>
      </w:tr>
      <w:tr w:rsidR="00F309B3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F309B3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Localización de información explícita ubicada en un fragmento del texto</w:t>
            </w:r>
          </w:p>
        </w:tc>
      </w:tr>
      <w:tr w:rsidR="00F309B3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Inferencia</w:t>
            </w:r>
          </w:p>
        </w:tc>
      </w:tr>
      <w:tr w:rsidR="00F309B3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Establecimiento de relaciones intertextuales</w:t>
            </w:r>
          </w:p>
        </w:tc>
      </w:tr>
      <w:tr w:rsidR="00F309B3">
        <w:trPr>
          <w:trHeight w:val="315"/>
        </w:trPr>
        <w:tc>
          <w:tcPr>
            <w:tcW w:w="7953" w:type="dxa"/>
            <w:gridSpan w:val="2"/>
            <w:tcBorders>
              <w:top w:val="nil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>Escritura</w:t>
            </w:r>
          </w:p>
        </w:tc>
      </w:tr>
      <w:tr w:rsidR="00F309B3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Contenido y organización</w:t>
            </w:r>
          </w:p>
        </w:tc>
      </w:tr>
      <w:tr w:rsidR="00F309B3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Voz narrativa</w:t>
            </w:r>
          </w:p>
        </w:tc>
      </w:tr>
      <w:tr w:rsidR="00F309B3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Cohesión</w:t>
            </w:r>
          </w:p>
        </w:tc>
      </w:tr>
      <w:tr w:rsidR="00F309B3">
        <w:trPr>
          <w:trHeight w:val="315"/>
        </w:trPr>
        <w:tc>
          <w:tcPr>
            <w:tcW w:w="7953" w:type="dxa"/>
            <w:gridSpan w:val="2"/>
            <w:tcBorders>
              <w:top w:val="nil"/>
              <w:left w:val="single" w:sz="8" w:space="0" w:color="00AEC3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3CB">
              <w:rPr>
                <w:rFonts w:ascii="Times New Roman" w:eastAsia="Times New Roman" w:hAnsi="Times New Roman" w:cs="Times New Roman"/>
                <w:b/>
                <w:bCs/>
              </w:rPr>
              <w:t xml:space="preserve">Reflexión sobre el lenguaje </w:t>
            </w:r>
          </w:p>
        </w:tc>
      </w:tr>
      <w:tr w:rsidR="00F309B3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Puntuación</w:t>
            </w:r>
          </w:p>
        </w:tc>
      </w:tr>
      <w:tr w:rsidR="00F309B3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Reconocimiento de voz narrativa</w:t>
            </w:r>
          </w:p>
        </w:tc>
      </w:tr>
      <w:tr w:rsidR="00F309B3">
        <w:trPr>
          <w:trHeight w:val="315"/>
        </w:trPr>
        <w:tc>
          <w:tcPr>
            <w:tcW w:w="1145" w:type="dxa"/>
            <w:tcBorders>
              <w:top w:val="nil"/>
              <w:left w:val="single" w:sz="8" w:space="0" w:color="00AEC3"/>
              <w:bottom w:val="nil"/>
              <w:right w:val="nil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6808" w:type="dxa"/>
            <w:tcBorders>
              <w:top w:val="nil"/>
              <w:left w:val="nil"/>
              <w:bottom w:val="nil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309B3">
        <w:trPr>
          <w:trHeight w:val="315"/>
        </w:trPr>
        <w:tc>
          <w:tcPr>
            <w:tcW w:w="7953" w:type="dxa"/>
            <w:gridSpan w:val="2"/>
            <w:tcBorders>
              <w:top w:val="nil"/>
              <w:left w:val="single" w:sz="8" w:space="0" w:color="00AEC3"/>
              <w:bottom w:val="single" w:sz="8" w:space="0" w:color="00AEC3"/>
              <w:right w:val="single" w:sz="8" w:space="0" w:color="00AEC3"/>
            </w:tcBorders>
            <w:shd w:val="clear" w:color="auto" w:fill="C1E4F5"/>
            <w:vAlign w:val="center"/>
          </w:tcPr>
          <w:p w:rsidR="00F309B3" w:rsidRPr="00FB43CB" w:rsidRDefault="00733BDD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B43CB">
              <w:rPr>
                <w:rFonts w:ascii="Times New Roman" w:eastAsia="Times New Roman" w:hAnsi="Times New Roman" w:cs="Times New Roman"/>
              </w:rPr>
              <w:lastRenderedPageBreak/>
              <w:t xml:space="preserve">Cuento utilizado: “El hilo se corta por lo más delgado” de Juan Sebastián </w:t>
            </w:r>
            <w:proofErr w:type="spellStart"/>
            <w:r w:rsidRPr="00FB43CB">
              <w:rPr>
                <w:rFonts w:ascii="Times New Roman" w:eastAsia="Times New Roman" w:hAnsi="Times New Roman" w:cs="Times New Roman"/>
              </w:rPr>
              <w:t>Ronchetti</w:t>
            </w:r>
            <w:proofErr w:type="spellEnd"/>
          </w:p>
        </w:tc>
      </w:tr>
    </w:tbl>
    <w:p w:rsidR="00F309B3" w:rsidRDefault="00F309B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2024 comenzaron a implementarse las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Pruebas de escritura y lectura en la Unidad Pedagógica (UP) - 1° y 2° año </w:t>
      </w:r>
      <w:r>
        <w:rPr>
          <w:rFonts w:ascii="Times New Roman" w:eastAsia="Times New Roman" w:hAnsi="Times New Roman" w:cs="Times New Roman"/>
          <w:sz w:val="24"/>
          <w:szCs w:val="24"/>
        </w:rPr>
        <w:t>–conocidas también como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sondeos</w:t>
      </w:r>
      <w:r>
        <w:rPr>
          <w:rFonts w:ascii="Times New Roman" w:eastAsia="Times New Roman" w:hAnsi="Times New Roman" w:cs="Times New Roman"/>
          <w:sz w:val="24"/>
          <w:szCs w:val="24"/>
        </w:rPr>
        <w:t>– en las que participan alrededor de 600.000 estudiantes. El término sondeo se utilizó en un principio para conocer los saberes de niñas y niños en ma</w:t>
      </w:r>
      <w:r>
        <w:rPr>
          <w:rFonts w:ascii="Times New Roman" w:eastAsia="Times New Roman" w:hAnsi="Times New Roman" w:cs="Times New Roman"/>
          <w:sz w:val="24"/>
          <w:szCs w:val="24"/>
        </w:rPr>
        <w:t>teria de escritura al comenzar el 1° año de estudio. Esta denominación perduró luego en el lenguaje coloquial con tres tomas en 1° año (inicio, mitad y al final del año lectivo) y con dos en 2° grado (inicio y final de ciclo; DI, 2026). Su objetivo es cont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 con un diagnóstico claro respecto de la situación de las y los estudiantes 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aspectos básicos de su alfabetización</w:t>
      </w:r>
      <w:r>
        <w:rPr>
          <w:rFonts w:ascii="Times New Roman" w:eastAsia="Times New Roman" w:hAnsi="Times New Roman" w:cs="Times New Roman"/>
          <w:sz w:val="24"/>
          <w:szCs w:val="24"/>
        </w:rPr>
        <w:t>. Estas pruebas tienen una lógica de “valor agregado” ya que apuntan a conocer avances en la escritura del propio nombre y de otras palabr</w:t>
      </w:r>
      <w:r>
        <w:rPr>
          <w:rFonts w:ascii="Times New Roman" w:eastAsia="Times New Roman" w:hAnsi="Times New Roman" w:cs="Times New Roman"/>
          <w:sz w:val="24"/>
          <w:szCs w:val="24"/>
        </w:rPr>
        <w:t>as como los nombres de los animales. La escala de corrección permite al equipo docente y directivo de la escuela tener un panorama claro de la situación de alfabetización de las y los estudiantes de la UP a lo largo del ciclo lectivo, y desarrollar interve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nciones específicas cuando sea necesario. A nivel central, ofrece un panorama de problemas y desafíos para la enseñanza y la formación docente (DI, 2026). 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Cuadro 3 resume las ediciones y años de estudio alcanzados por las PEB. </w:t>
      </w:r>
    </w:p>
    <w:p w:rsidR="00F309B3" w:rsidRDefault="00F309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Cuadro 3. Ediciones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Pruebas Escolares Bonaerenses en el Nivel Primario </w:t>
      </w:r>
    </w:p>
    <w:tbl>
      <w:tblPr>
        <w:tblStyle w:val="a1"/>
        <w:tblW w:w="9885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705"/>
        <w:gridCol w:w="645"/>
        <w:gridCol w:w="660"/>
        <w:gridCol w:w="675"/>
        <w:gridCol w:w="765"/>
        <w:gridCol w:w="705"/>
        <w:gridCol w:w="720"/>
        <w:gridCol w:w="765"/>
        <w:gridCol w:w="705"/>
        <w:gridCol w:w="720"/>
        <w:gridCol w:w="720"/>
        <w:gridCol w:w="720"/>
        <w:gridCol w:w="720"/>
      </w:tblGrid>
      <w:tr w:rsidR="00F309B3">
        <w:trPr>
          <w:trHeight w:val="570"/>
          <w:tblHeader/>
        </w:trPr>
        <w:tc>
          <w:tcPr>
            <w:tcW w:w="66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Año estudio</w:t>
            </w:r>
          </w:p>
        </w:tc>
        <w:tc>
          <w:tcPr>
            <w:tcW w:w="135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2022</w:t>
            </w:r>
          </w:p>
        </w:tc>
        <w:tc>
          <w:tcPr>
            <w:tcW w:w="133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2023</w:t>
            </w:r>
          </w:p>
        </w:tc>
        <w:tc>
          <w:tcPr>
            <w:tcW w:w="219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2024</w:t>
            </w:r>
          </w:p>
        </w:tc>
        <w:tc>
          <w:tcPr>
            <w:tcW w:w="219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2025</w:t>
            </w:r>
          </w:p>
        </w:tc>
        <w:tc>
          <w:tcPr>
            <w:tcW w:w="216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2026</w:t>
            </w:r>
          </w:p>
        </w:tc>
      </w:tr>
      <w:tr w:rsidR="00F309B3">
        <w:trPr>
          <w:trHeight w:val="402"/>
          <w:tblHeader/>
        </w:trPr>
        <w:tc>
          <w:tcPr>
            <w:tcW w:w="660" w:type="dxa"/>
            <w:vMerge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F309B3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Jun-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645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Oct-Nov</w:t>
            </w:r>
          </w:p>
        </w:tc>
        <w:tc>
          <w:tcPr>
            <w:tcW w:w="660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Jun-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675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Oct-Nov</w:t>
            </w:r>
          </w:p>
        </w:tc>
        <w:tc>
          <w:tcPr>
            <w:tcW w:w="765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Abr-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705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Jun-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720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Oct-Nov</w:t>
            </w:r>
          </w:p>
        </w:tc>
        <w:tc>
          <w:tcPr>
            <w:tcW w:w="765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Abr-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705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Jun-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720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Oct-Nov</w:t>
            </w:r>
          </w:p>
        </w:tc>
        <w:tc>
          <w:tcPr>
            <w:tcW w:w="720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Abr</w:t>
            </w:r>
          </w:p>
        </w:tc>
        <w:tc>
          <w:tcPr>
            <w:tcW w:w="720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Jun</w:t>
            </w:r>
          </w:p>
        </w:tc>
        <w:tc>
          <w:tcPr>
            <w:tcW w:w="720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single" w:sz="4" w:space="0" w:color="FFFFFF"/>
            </w:tcBorders>
            <w:shd w:val="clear" w:color="auto" w:fill="00AE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Oct</w:t>
            </w:r>
          </w:p>
        </w:tc>
      </w:tr>
      <w:tr w:rsidR="00F309B3">
        <w:trPr>
          <w:trHeight w:val="366"/>
          <w:tblHeader/>
        </w:trPr>
        <w:tc>
          <w:tcPr>
            <w:tcW w:w="66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1º</w:t>
            </w: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309B3">
        <w:trPr>
          <w:trHeight w:val="366"/>
          <w:tblHeader/>
        </w:trPr>
        <w:tc>
          <w:tcPr>
            <w:tcW w:w="66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F309B3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</w:tr>
      <w:tr w:rsidR="00F309B3">
        <w:trPr>
          <w:trHeight w:val="315"/>
          <w:tblHeader/>
        </w:trPr>
        <w:tc>
          <w:tcPr>
            <w:tcW w:w="66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2º</w:t>
            </w: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309B3">
        <w:trPr>
          <w:trHeight w:val="315"/>
          <w:tblHeader/>
        </w:trPr>
        <w:tc>
          <w:tcPr>
            <w:tcW w:w="66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F309B3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</w:tr>
      <w:tr w:rsidR="00F309B3">
        <w:trPr>
          <w:trHeight w:val="315"/>
          <w:tblHeader/>
        </w:trPr>
        <w:tc>
          <w:tcPr>
            <w:tcW w:w="66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3º</w:t>
            </w: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</w:tr>
      <w:tr w:rsidR="00F309B3">
        <w:trPr>
          <w:trHeight w:val="315"/>
          <w:tblHeader/>
        </w:trPr>
        <w:tc>
          <w:tcPr>
            <w:tcW w:w="66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F309B3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</w:tr>
      <w:tr w:rsidR="00F309B3">
        <w:trPr>
          <w:trHeight w:val="315"/>
          <w:tblHeader/>
        </w:trPr>
        <w:tc>
          <w:tcPr>
            <w:tcW w:w="66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4º</w:t>
            </w: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</w:tr>
      <w:tr w:rsidR="00F309B3">
        <w:trPr>
          <w:trHeight w:val="315"/>
          <w:tblHeader/>
        </w:trPr>
        <w:tc>
          <w:tcPr>
            <w:tcW w:w="66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F309B3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309B3">
        <w:trPr>
          <w:trHeight w:val="315"/>
        </w:trPr>
        <w:tc>
          <w:tcPr>
            <w:tcW w:w="66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5º</w:t>
            </w: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309B3">
        <w:trPr>
          <w:trHeight w:val="315"/>
        </w:trPr>
        <w:tc>
          <w:tcPr>
            <w:tcW w:w="66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F309B3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309B3">
        <w:trPr>
          <w:trHeight w:val="315"/>
        </w:trPr>
        <w:tc>
          <w:tcPr>
            <w:tcW w:w="66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6º</w:t>
            </w: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1F8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</w:tc>
      </w:tr>
      <w:tr w:rsidR="00F309B3">
        <w:trPr>
          <w:trHeight w:val="315"/>
        </w:trPr>
        <w:tc>
          <w:tcPr>
            <w:tcW w:w="66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309B3" w:rsidRDefault="00F309B3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6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6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6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F309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1596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09B3" w:rsidRDefault="00733BD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PdL</w:t>
            </w:r>
            <w:proofErr w:type="spellEnd"/>
          </w:p>
        </w:tc>
      </w:tr>
    </w:tbl>
    <w:p w:rsidR="00F309B3" w:rsidRDefault="00F3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F309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F309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8B1D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Son pilares del programa de las PEB</w:t>
      </w:r>
      <w:r w:rsidR="00733B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finalidad formativa y pedagógica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actuando como orientadoras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retroalimentadoras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los procesos de enseñanza, 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b) la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universalidad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con alcance a la totalidad de estudiantes que cursan la Unidad Pedagógica (1° y 2° año de estudio) y la finalización de cada ciclo y el nivel (3° y 6°); 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c) 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carácter cíclico del dispositivo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para la mejora a largo plazo, con instancias consecutivas que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abarcan desde la selección de contenidos prioritarios, la formación docente, el diseño de materiales didácticos, hasta la realización de las pruebas y el análisis de sus resultados. 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d) la posibilidad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dificultad incremental </w:t>
      </w:r>
      <w:r>
        <w:rPr>
          <w:rFonts w:ascii="Times New Roman" w:eastAsia="Times New Roman" w:hAnsi="Times New Roman" w:cs="Times New Roman"/>
          <w:sz w:val="24"/>
          <w:szCs w:val="24"/>
        </w:rPr>
        <w:t>entre ciclos consecutivos 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las PEB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4"/>
      </w:r>
    </w:p>
    <w:p w:rsidR="00F309B3" w:rsidRDefault="00F309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733BD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Por último, en clave comparativa con las pruebas estandarizadas tradicionales, es posible identificar características particulares de las PEB (Cuadro 4). </w:t>
      </w:r>
    </w:p>
    <w:p w:rsidR="008B1DC6" w:rsidRDefault="00733BD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B1DC6" w:rsidRDefault="008B1DC6" w:rsidP="008B1DC6">
      <w:r>
        <w:br w:type="page"/>
      </w:r>
    </w:p>
    <w:p w:rsidR="00F309B3" w:rsidRDefault="00733BD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Cuadro 4. Características contrastantes entre los modelos evaluativos Aprender y PEB</w:t>
      </w:r>
    </w:p>
    <w:tbl>
      <w:tblPr>
        <w:tblStyle w:val="a2"/>
        <w:tblW w:w="8925" w:type="dxa"/>
        <w:tblInd w:w="20" w:type="dxa"/>
        <w:tblBorders>
          <w:top w:val="single" w:sz="9" w:space="0" w:color="000000"/>
          <w:left w:val="single" w:sz="9" w:space="0" w:color="000000"/>
          <w:bottom w:val="single" w:sz="9" w:space="0" w:color="000000"/>
          <w:right w:val="single" w:sz="9" w:space="0" w:color="000000"/>
          <w:insideH w:val="single" w:sz="9" w:space="0" w:color="000000"/>
          <w:insideV w:val="single" w:sz="9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1"/>
        <w:gridCol w:w="3592"/>
        <w:gridCol w:w="3592"/>
      </w:tblGrid>
      <w:tr w:rsidR="00F309B3">
        <w:trPr>
          <w:trHeight w:val="553"/>
        </w:trPr>
        <w:tc>
          <w:tcPr>
            <w:tcW w:w="17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F309B3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9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Aprender </w:t>
            </w:r>
          </w:p>
        </w:tc>
        <w:tc>
          <w:tcPr>
            <w:tcW w:w="359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Pruebas Escolares Bonaerenses (PEB)</w:t>
            </w:r>
          </w:p>
        </w:tc>
      </w:tr>
      <w:tr w:rsidR="00F309B3">
        <w:trPr>
          <w:trHeight w:val="777"/>
        </w:trPr>
        <w:tc>
          <w:tcPr>
            <w:tcW w:w="17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Objetivo a corto plazo</w:t>
            </w:r>
          </w:p>
        </w:tc>
        <w:tc>
          <w:tcPr>
            <w:tcW w:w="359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Medir los niveles de desempeño de las y los estudiantes.</w:t>
            </w:r>
          </w:p>
        </w:tc>
        <w:tc>
          <w:tcPr>
            <w:tcW w:w="359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Orientar la enseñanza de contenidos sustantivos en cada año de estudio.</w:t>
            </w:r>
          </w:p>
        </w:tc>
      </w:tr>
      <w:tr w:rsidR="00F309B3">
        <w:trPr>
          <w:trHeight w:val="1881"/>
        </w:trPr>
        <w:tc>
          <w:tcPr>
            <w:tcW w:w="17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Implementación</w:t>
            </w:r>
          </w:p>
        </w:tc>
        <w:tc>
          <w:tcPr>
            <w:tcW w:w="359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cargo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aplicadoras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/es externas/os (búsqueda de condiciones estrictamente “controladas”).</w:t>
            </w:r>
          </w:p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Análisis externo.</w:t>
            </w:r>
          </w:p>
        </w:tc>
        <w:tc>
          <w:tcPr>
            <w:tcW w:w="359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cargo de maestras y maestros de las y los estudiantes, en las instancias de: enseñanza, realización de las pruebas (con flexibilidad de tiempos</w:t>
            </w:r>
            <w:r>
              <w:rPr>
                <w:rFonts w:ascii="Times New Roman" w:eastAsia="Times New Roman" w:hAnsi="Times New Roman" w:cs="Times New Roman"/>
              </w:rPr>
              <w:t xml:space="preserve"> y condiciones), corrección y análisis de resultados. </w:t>
            </w:r>
          </w:p>
        </w:tc>
      </w:tr>
      <w:tr w:rsidR="00F309B3">
        <w:trPr>
          <w:trHeight w:val="1672"/>
        </w:trPr>
        <w:tc>
          <w:tcPr>
            <w:tcW w:w="17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Contenidos</w:t>
            </w:r>
          </w:p>
        </w:tc>
        <w:tc>
          <w:tcPr>
            <w:tcW w:w="359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Basados en los Núcleos de Aprendizaje Prioritarios (NAP).</w:t>
            </w:r>
          </w:p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Consulta a las jurisdicciones sobre su inclusión en los Diseños Curriculares.</w:t>
            </w:r>
          </w:p>
        </w:tc>
        <w:tc>
          <w:tcPr>
            <w:tcW w:w="359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Selección estratégica año a año por parte de la DPEP,</w:t>
            </w:r>
            <w:r>
              <w:rPr>
                <w:rFonts w:ascii="Times New Roman" w:eastAsia="Times New Roman" w:hAnsi="Times New Roman" w:cs="Times New Roman"/>
              </w:rPr>
              <w:t xml:space="preserve"> en función de resultados previos de las PEB y con posibilidades de incorporación de contenidos. </w:t>
            </w:r>
          </w:p>
        </w:tc>
      </w:tr>
      <w:tr w:rsidR="00F309B3">
        <w:trPr>
          <w:trHeight w:val="2430"/>
        </w:trPr>
        <w:tc>
          <w:tcPr>
            <w:tcW w:w="17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Resultados</w:t>
            </w:r>
          </w:p>
        </w:tc>
        <w:tc>
          <w:tcPr>
            <w:tcW w:w="359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Lecturas generales de niveles de desempeño.</w:t>
            </w:r>
          </w:p>
          <w:p w:rsidR="00F309B3" w:rsidRDefault="00733BDD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Discusión pública pero escasa gravitación en las aulas (los reportes por escuela llegan un año más tarde). </w:t>
            </w:r>
          </w:p>
        </w:tc>
        <w:tc>
          <w:tcPr>
            <w:tcW w:w="359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F309B3" w:rsidRDefault="00733B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Lectura de resultados con aperturas por dimensiones y contenidos.                       </w:t>
            </w:r>
          </w:p>
          <w:p w:rsidR="00F309B3" w:rsidRDefault="00733B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Reportes por Regiones Educativas, Distritos y escuelas. Uso</w:t>
            </w:r>
            <w:r>
              <w:rPr>
                <w:rFonts w:ascii="Times New Roman" w:eastAsia="Times New Roman" w:hAnsi="Times New Roman" w:cs="Times New Roman"/>
              </w:rPr>
              <w:t xml:space="preserve"> directo de resultados en cada institución, previo y posterior al procesamiento desde el nivel central.</w:t>
            </w:r>
          </w:p>
        </w:tc>
      </w:tr>
    </w:tbl>
    <w:p w:rsidR="00F309B3" w:rsidRDefault="00F309B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DC6" w:rsidRDefault="008B1DC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DC6" w:rsidRDefault="008B1DC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DC6" w:rsidRDefault="008B1DC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309B3" w:rsidRDefault="00733BDD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bookmarkStart w:id="6" w:name="_heading=h.glfor4mnl5qe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 xml:space="preserve">2. Índice de Respuesta a Actividades (IRA) </w:t>
      </w:r>
    </w:p>
    <w:p w:rsidR="00F309B3" w:rsidRDefault="00733BD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respuestas brindadas por las y los estudiantes son clasificadas considerando 4 categorías: a) respuest</w:t>
      </w:r>
      <w:r>
        <w:rPr>
          <w:rFonts w:ascii="Times New Roman" w:eastAsia="Times New Roman" w:hAnsi="Times New Roman" w:cs="Times New Roman"/>
          <w:sz w:val="24"/>
          <w:szCs w:val="24"/>
        </w:rPr>
        <w:t>as correctas (C; completas y satisfactorias), b) respuestas parcialmente correctas (PC; incompletas o con errores menores), c) incorrectas (I; resoluciones erróneas), d) sin respuesta (SR; sin resolución). Al respecto, es importante señalar que desde el 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vel central se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proporciona una descripción detallada de cada categoría de respuesta, según el punto o aspecto evaluado, de modo de orientar y uniformar los criterios de corrección. </w:t>
      </w:r>
    </w:p>
    <w:p w:rsidR="00F309B3" w:rsidRDefault="00733BD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nivel central, se calcula adicionalmente el Índice de Respuestas a Actividades (IRA) que, sobre la base de la ponderación de las respuestas brindadas (C=100 puntos; PC=50 puntos; I o SR= 0 puntos), aporta una medida sintética de las correcciones, con 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posibilidades de cálculo: </w:t>
      </w:r>
    </w:p>
    <w:p w:rsidR="00F309B3" w:rsidRDefault="00733B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13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componente de la prueba (relevamiento censal por sección): por actividad/ ejercicio/ aspecto/ dimensión/ totalidad de la prueba. Ello permite identificar los contenidos o aspectos de la prueba que requieren de una intensific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ación de la enseñanza (mayor atención o ampliación de estrategias pedagógicas). </w:t>
      </w:r>
    </w:p>
    <w:p w:rsidR="00F309B3" w:rsidRDefault="00733B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113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Por estudiante (relevamiento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muestral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de modo de poder calcular el porcentaje de estudiantes que alcanza cada nivel del IRA. 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continuación se presentan los resultados de l</w:t>
      </w:r>
      <w:r>
        <w:rPr>
          <w:rFonts w:ascii="Times New Roman" w:eastAsia="Times New Roman" w:hAnsi="Times New Roman" w:cs="Times New Roman"/>
          <w:sz w:val="24"/>
          <w:szCs w:val="24"/>
        </w:rPr>
        <w:t>as PEB 2025 para 3°y  6°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5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309B3" w:rsidRDefault="00F309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:rsidR="00F309B3" w:rsidRDefault="00733BDD">
      <w:pPr>
        <w:pStyle w:val="Ttulo1"/>
        <w:spacing w:before="97" w:after="160" w:line="250" w:lineRule="auto"/>
        <w:ind w:right="42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heading=h.ydz1hxmz21kw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2.1 Matemática - 3° y 6°</w:t>
      </w:r>
    </w:p>
    <w:p w:rsidR="00F309B3" w:rsidRDefault="00733BD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2025, </w:t>
      </w:r>
      <w:r>
        <w:rPr>
          <w:rFonts w:ascii="Times New Roman" w:eastAsia="Times New Roman" w:hAnsi="Times New Roman" w:cs="Times New Roman"/>
          <w:sz w:val="24"/>
          <w:szCs w:val="24"/>
        </w:rPr>
        <w:t>se registró una marcada solidez en los contenidos vinculados a Numeración, dimensión que alcanzó los niveles más altos de desempeño en ambos años evaluados. En 3° año, se identificó un buen desempeño en el eje de Geometría (figuras geométricas) y en proble</w:t>
      </w:r>
      <w:r>
        <w:rPr>
          <w:rFonts w:ascii="Times New Roman" w:eastAsia="Times New Roman" w:hAnsi="Times New Roman" w:cs="Times New Roman"/>
          <w:sz w:val="24"/>
          <w:szCs w:val="24"/>
        </w:rPr>
        <w:t>mas de suma y resta de dos pasos (Gráfico 1). En 6° año, el eje de Numeración se destacó con un IRA de 83,7, mientras que en las dimensiones de Fracciones y Decimales se observaron desempeños más moderados, situándose el IRA en torno a los 63,9 y 61,7 punt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os respectivamente (Gráfico 2). </w:t>
      </w:r>
    </w:p>
    <w:p w:rsidR="00F309B3" w:rsidRDefault="00733BD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IRA alcanzó 68,7 puntos en 3° y 66,7 en 6°. Esto significa que del total de respuestas brindadas, aproximadamente 2 de cada 3 resultaron satisfactorias. </w:t>
      </w:r>
    </w:p>
    <w:p w:rsidR="00F309B3" w:rsidRDefault="00733BD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 vistas a 2026, persiste el desafío de reducir la ausencia de 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espuesta a algunas actividades. Se refuerza la necesidad de hacer hincapié con las y los docentes en la implementación de la prueba en dos jornadas (no en una única, dada su extensión) y en la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necesidad de trabajar con las y los estudiantes la importancia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enfrentarse a los problemas de manera exploratoria, aun cuando el enunciado les resulte difícil en una primera lectura. </w:t>
      </w:r>
    </w:p>
    <w:p w:rsidR="00F309B3" w:rsidRDefault="00733BD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 Prácticas del Lenguaje - 3° y 6°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 igual que en las ediciones anteriores, las PEB de Prácticas del Lenguaje se estructuraron en torno a tres dimensiones principales: lectura, escritura y reflexión sobre el lenguaje. En la PEB de 3°, en 2025 se trabajó sobre “El Gato con Botas”. Se trata </w:t>
      </w:r>
      <w:r>
        <w:rPr>
          <w:rFonts w:ascii="Times New Roman" w:eastAsia="Times New Roman" w:hAnsi="Times New Roman" w:cs="Times New Roman"/>
          <w:sz w:val="24"/>
          <w:szCs w:val="24"/>
        </w:rPr>
        <w:t>del mismo título propuesto en la PEB de octubre de 2022. Al regreso de la pandemia, las niñas y los niños pudieron principalmente localizar información en el texto leído. En 2024, en cambio, predominaron -con buenos resultados- las preguntas de interpretac</w:t>
      </w:r>
      <w:r>
        <w:rPr>
          <w:rFonts w:ascii="Times New Roman" w:eastAsia="Times New Roman" w:hAnsi="Times New Roman" w:cs="Times New Roman"/>
          <w:sz w:val="24"/>
          <w:szCs w:val="24"/>
        </w:rPr>
        <w:t>ión (¿Cuál es la intención del cocodrilo?, ¿Por qué lo llamarán de esa manera?), que apelan al establecimiento de relaciones entre distintas situaciones del texto e, incluso, a la necesidad de inferir para dar respuesta (Gráfico 3)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Respecto a la PEB de 6</w:t>
      </w:r>
      <w:r>
        <w:rPr>
          <w:rFonts w:ascii="Times New Roman" w:eastAsia="Times New Roman" w:hAnsi="Times New Roman" w:cs="Times New Roman"/>
          <w:sz w:val="24"/>
          <w:szCs w:val="24"/>
        </w:rPr>
        <w:t>° de 2025, se propuso la lectura de “El hilo se corta por lo más delgado” un texto narrativo que significó un mayor desafío para las y los estudiantes respecto de años anteriores. En él, la voz narrativa se sostiene pero el relato revela historias dentro d</w:t>
      </w:r>
      <w:r>
        <w:rPr>
          <w:rFonts w:ascii="Times New Roman" w:eastAsia="Times New Roman" w:hAnsi="Times New Roman" w:cs="Times New Roman"/>
          <w:sz w:val="24"/>
          <w:szCs w:val="24"/>
        </w:rPr>
        <w:t>e otras historias que el/la lector/a debe desentrañar (Gráfico 4)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IRA globales alcanzaron los 74,5 puntos para 3° año y 73,2 para 6°, lo que representa una estabilidad en el desempeño general al finalizar ambos ciclos del nivel primario. Lectura fue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 dimensión con mejor desempeño en ambos años de estudio, reflejando un buen dominio en la comprensión y localización de información en un texto; le siguieron reflexión sobre el lenguaje y escritura. Reflexión sobre el lenguaje se mantuvo en niveles inte</w:t>
      </w:r>
      <w:r>
        <w:rPr>
          <w:rFonts w:ascii="Times New Roman" w:eastAsia="Times New Roman" w:hAnsi="Times New Roman" w:cs="Times New Roman"/>
          <w:sz w:val="24"/>
          <w:szCs w:val="24"/>
        </w:rPr>
        <w:t>rmedios de resolución, incluyendo actividades centradas en ortografía, puntuación y reconocimiento de voz narrativa, según el año de estudio.  Es en Escritura donde persisten los mayores desafíos en Prácticas del Lenguaje, especialmente en cohesión y selec</w:t>
      </w:r>
      <w:r>
        <w:rPr>
          <w:rFonts w:ascii="Times New Roman" w:eastAsia="Times New Roman" w:hAnsi="Times New Roman" w:cs="Times New Roman"/>
          <w:sz w:val="24"/>
          <w:szCs w:val="24"/>
        </w:rPr>
        <w:t>ción léxica.</w:t>
      </w:r>
    </w:p>
    <w:p w:rsidR="00F309B3" w:rsidRDefault="00733BD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3°, se observó que cerca del 85% de las y los estudiantes se hallan alfabetizadas/os, aunque hay una proporción que presenta aún algún grado de escrituras no completas, por la falta de alguna consonante en la mayoría de los casos –escritura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cuasi-alfabéticas-, y muy pocos con escrituras que requieren que la escuela ofrezca instancias de intervención intensiva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antes de su ingreso en el segundo ciclo –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período extendido de la enseñanza-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y/o durante los primeros meses de cuarto año. La mayoría </w:t>
      </w:r>
      <w:r>
        <w:rPr>
          <w:rFonts w:ascii="Times New Roman" w:eastAsia="Times New Roman" w:hAnsi="Times New Roman" w:cs="Times New Roman"/>
          <w:sz w:val="24"/>
          <w:szCs w:val="24"/>
        </w:rPr>
        <w:t>- el 87% -  escribe de manera autónoma.</w:t>
      </w:r>
    </w:p>
    <w:p w:rsidR="00F309B3" w:rsidRDefault="00F309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F309B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F309B3" w:rsidSect="00FB43CB">
          <w:headerReference w:type="default" r:id="rId11"/>
          <w:footerReference w:type="default" r:id="rId12"/>
          <w:pgSz w:w="11907" w:h="16500" w:code="9"/>
          <w:pgMar w:top="1418" w:right="1418" w:bottom="1418" w:left="1418" w:header="709" w:footer="709" w:gutter="0"/>
          <w:pgNumType w:start="0"/>
          <w:cols w:space="720"/>
          <w:titlePg/>
        </w:sectPr>
      </w:pPr>
    </w:p>
    <w:p w:rsidR="00F309B3" w:rsidRDefault="00F3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F3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bookmarkStart w:id="8" w:name="_heading=h.rdo25gw5opdl" w:colFirst="0" w:colLast="0" w:displacedByCustomXml="next"/>
    <w:bookmarkEnd w:id="8" w:displacedByCustomXml="next"/>
    <w:sdt>
      <w:sdtPr>
        <w:rPr>
          <w:b w:val="0"/>
          <w:bCs w:val="0"/>
          <w:sz w:val="22"/>
          <w:szCs w:val="22"/>
        </w:rPr>
        <w:tag w:val="goog_rdk_0"/>
        <w:id w:val="-1283064257"/>
        <w:lock w:val="contentLocked"/>
      </w:sdtPr>
      <w:sdtEndPr/>
      <w:sdtContent>
        <w:tbl>
          <w:tblPr>
            <w:tblStyle w:val="a3"/>
            <w:tblW w:w="15465" w:type="dxa"/>
            <w:tblInd w:w="-102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7890"/>
            <w:gridCol w:w="7575"/>
          </w:tblGrid>
          <w:tr w:rsidR="00F309B3">
            <w:tc>
              <w:tcPr>
                <w:tcW w:w="7890" w:type="dxa"/>
                <w:tcBorders>
                  <w:top w:val="dotted" w:sz="8" w:space="0" w:color="92CDDC"/>
                  <w:left w:val="dotted" w:sz="8" w:space="0" w:color="92CDDC"/>
                  <w:bottom w:val="dotted" w:sz="8" w:space="0" w:color="92CDDC"/>
                  <w:right w:val="dotted" w:sz="8" w:space="0" w:color="92CDDC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309B3" w:rsidRDefault="00733BDD">
                <w:pPr>
                  <w:pStyle w:val="Ttulo4"/>
                  <w:spacing w:before="0"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Gráfico 1. PEB Matemática - 3° - Año 2025. Distribución de respuestas y valores de IRA </w:t>
                </w:r>
              </w:p>
              <w:p w:rsidR="00F309B3" w:rsidRDefault="00733BDD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sz w:val="24"/>
                    <w:szCs w:val="24"/>
                    <w:lang w:val="es-ES"/>
                  </w:rPr>
                  <w:drawing>
                    <wp:inline distT="114300" distB="114300" distL="114300" distR="114300">
                      <wp:extent cx="5080257" cy="2450827"/>
                      <wp:effectExtent l="0" t="0" r="0" b="0"/>
                      <wp:docPr id="1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80257" cy="2450827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F309B3" w:rsidRDefault="00F309B3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:rsidR="00F309B3" w:rsidRDefault="00F309B3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7575" w:type="dxa"/>
                <w:tcBorders>
                  <w:top w:val="dotted" w:sz="8" w:space="0" w:color="92CDDC"/>
                  <w:left w:val="dotted" w:sz="8" w:space="0" w:color="92CDDC"/>
                  <w:bottom w:val="dotted" w:sz="8" w:space="0" w:color="92CDDC"/>
                  <w:right w:val="dotted" w:sz="8" w:space="0" w:color="92CDDC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309B3" w:rsidRDefault="00733BDD">
                <w:pPr>
                  <w:pStyle w:val="Ttulo4"/>
                  <w:spacing w:before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Gráfico 2. PEB Matemática - 6° - Año 2025. Distribución de respuestas y valores de IRA</w:t>
                </w:r>
              </w:p>
              <w:p w:rsidR="00F309B3" w:rsidRDefault="00733BDD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sz w:val="24"/>
                    <w:szCs w:val="24"/>
                    <w:lang w:val="es-ES"/>
                  </w:rPr>
                  <w:drawing>
                    <wp:inline distT="19050" distB="19050" distL="19050" distR="19050">
                      <wp:extent cx="4580438" cy="2565418"/>
                      <wp:effectExtent l="0" t="0" r="0" b="0"/>
                      <wp:docPr id="2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80438" cy="2565418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</w:sdtContent>
    </w:sdt>
    <w:p w:rsidR="00F309B3" w:rsidRDefault="00733BD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Fuente: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DGCyE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,SSE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-DPEP y SSP-DPEI. Pruebas Escolares Bonaerenses.</w:t>
      </w:r>
    </w:p>
    <w:p w:rsidR="00F309B3" w:rsidRDefault="00F3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F3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bookmarkStart w:id="9" w:name="_heading=h.29utb2sg6pjg" w:colFirst="0" w:colLast="0" w:displacedByCustomXml="next"/>
    <w:bookmarkEnd w:id="9" w:displacedByCustomXml="next"/>
    <w:sdt>
      <w:sdtPr>
        <w:rPr>
          <w:b w:val="0"/>
          <w:bCs w:val="0"/>
          <w:sz w:val="22"/>
          <w:szCs w:val="22"/>
        </w:rPr>
        <w:tag w:val="goog_rdk_1"/>
        <w:id w:val="-464413747"/>
        <w:lock w:val="contentLocked"/>
      </w:sdtPr>
      <w:sdtEndPr/>
      <w:sdtContent>
        <w:tbl>
          <w:tblPr>
            <w:tblStyle w:val="a4"/>
            <w:tblW w:w="15465" w:type="dxa"/>
            <w:tblInd w:w="-102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7890"/>
            <w:gridCol w:w="7575"/>
          </w:tblGrid>
          <w:tr w:rsidR="00F309B3">
            <w:tc>
              <w:tcPr>
                <w:tcW w:w="7890" w:type="dxa"/>
                <w:tcBorders>
                  <w:top w:val="dotted" w:sz="8" w:space="0" w:color="92CDDC"/>
                  <w:left w:val="dotted" w:sz="8" w:space="0" w:color="92CDDC"/>
                  <w:bottom w:val="dotted" w:sz="8" w:space="0" w:color="92CDDC"/>
                  <w:right w:val="dotted" w:sz="8" w:space="0" w:color="92CDDC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309B3" w:rsidRDefault="00733BDD">
                <w:pPr>
                  <w:pStyle w:val="Ttulo4"/>
                  <w:spacing w:before="0"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Gráfico 3. PEB Prácticas del Lenguaje - 3° - Año 2025. Distribución de respuestas y valores de IRA </w:t>
                </w:r>
              </w:p>
              <w:p w:rsidR="00F309B3" w:rsidRDefault="00733BDD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sz w:val="24"/>
                    <w:szCs w:val="24"/>
                    <w:lang w:val="es-ES"/>
                  </w:rPr>
                  <w:drawing>
                    <wp:inline distT="114300" distB="114300" distL="114300" distR="114300">
                      <wp:extent cx="5073968" cy="2378422"/>
                      <wp:effectExtent l="0" t="0" r="0" b="0"/>
                      <wp:docPr id="5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73968" cy="2378422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575" w:type="dxa"/>
                <w:tcBorders>
                  <w:top w:val="dotted" w:sz="8" w:space="0" w:color="92CDDC"/>
                  <w:left w:val="dotted" w:sz="8" w:space="0" w:color="92CDDC"/>
                  <w:bottom w:val="dotted" w:sz="8" w:space="0" w:color="92CDDC"/>
                  <w:right w:val="dotted" w:sz="8" w:space="0" w:color="92CDDC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F309B3" w:rsidRDefault="00733BDD">
                <w:pPr>
                  <w:pStyle w:val="Ttulo4"/>
                  <w:spacing w:before="0" w:line="240" w:lineRule="auto"/>
                  <w:rPr>
                    <w:rFonts w:ascii="Times New Roman" w:eastAsia="Times New Roman" w:hAnsi="Times New Roman" w:cs="Times New Roman"/>
                  </w:rPr>
                </w:pPr>
                <w:bookmarkStart w:id="10" w:name="_heading=h.5iepuhg9ih1z" w:colFirst="0" w:colLast="0"/>
                <w:bookmarkEnd w:id="10"/>
                <w:r>
                  <w:rPr>
                    <w:rFonts w:ascii="Times New Roman" w:eastAsia="Times New Roman" w:hAnsi="Times New Roman" w:cs="Times New Roman"/>
                  </w:rPr>
                  <w:t>Gráfico 4. PEB Prácticas del Lenguaje - 6° - Año 2025. Distribución de respuestas y valores de IRA</w:t>
                </w:r>
              </w:p>
              <w:p w:rsidR="00F309B3" w:rsidRDefault="00733BDD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sz w:val="18"/>
                    <w:szCs w:val="18"/>
                    <w:lang w:val="es-ES"/>
                  </w:rPr>
                  <w:drawing>
                    <wp:inline distT="114300" distB="114300" distL="114300" distR="114300">
                      <wp:extent cx="4756765" cy="2286347"/>
                      <wp:effectExtent l="0" t="0" r="0" b="0"/>
                      <wp:docPr id="4" name="image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56765" cy="2286347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</w:sdtContent>
    </w:sdt>
    <w:p w:rsidR="00F309B3" w:rsidRDefault="00733BD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F309B3">
          <w:pgSz w:w="16838" w:h="11906" w:orient="landscape"/>
          <w:pgMar w:top="1417" w:right="1700" w:bottom="1417" w:left="1700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Fuente: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DGCyE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,SSE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-DPEP y SSP-DPEI. </w:t>
      </w:r>
      <w:r>
        <w:rPr>
          <w:rFonts w:ascii="Times New Roman" w:eastAsia="Times New Roman" w:hAnsi="Times New Roman" w:cs="Times New Roman"/>
          <w:sz w:val="20"/>
          <w:szCs w:val="20"/>
        </w:rPr>
        <w:t>Pruebas Escolares Bonaerenses.</w:t>
      </w:r>
    </w:p>
    <w:p w:rsidR="00F309B3" w:rsidRDefault="00733BDD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</w:pPr>
      <w:bookmarkStart w:id="11" w:name="_heading=h.ymfp36h2f34h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2.3. Reportes de resultados </w:t>
      </w:r>
    </w:p>
    <w:p w:rsidR="00F309B3" w:rsidRDefault="00733BD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Desde el nivel central, se solicita a las escuelas que sistematicen los resultados de las pruebas en planillas a ser utilizadas por la propia institución, en instancias de reflexión colectiva para la mejora de la enseñanza y, a la vez, para facilitar la ca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rga de los resultados obtenidos para cada actividad (relevamiento censal) y para cada estudiante (relevamiento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muestral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los cuales son procesados por la Dirección de Evaluación y analizados de manera conjunta con la DPEP.  </w:t>
      </w:r>
    </w:p>
    <w:p w:rsidR="00F309B3" w:rsidRDefault="00733BD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un lado, se elaboran prese</w:t>
      </w:r>
      <w:r>
        <w:rPr>
          <w:rFonts w:ascii="Times New Roman" w:eastAsia="Times New Roman" w:hAnsi="Times New Roman" w:cs="Times New Roman"/>
          <w:sz w:val="24"/>
          <w:szCs w:val="24"/>
        </w:rPr>
        <w:t>ntaciones e informes con los resultados provinciales de las PEB, los cuales son trabajados en nuevos encuentros de la DPEP con equipos de inspección, directivos y docentes a lo largo del año, de modo de brindar orientaciones para el fortalecimiento de la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nseñanza. </w:t>
      </w:r>
    </w:p>
    <w:p w:rsidR="00F309B3" w:rsidRDefault="00733BD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la vez, en el mes de febrero se distribuyen reportes con resultados por Regiones Educativas, Distritos (con aperturas por sector de gestión) y por escuela, de modo de ofrecer estos insumos para el trabajo en las jornadas institucionales previas al inicio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las clases y orientar las decisiones pedagógicas con vistas al ciclo lectivo 2026. La confección de los reportes se halla a cargo de la Dirección de Recursos Didácticos y Tecnológicos para la Enseñanza, y los resultados se integran con información de 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tras fuentes disponibles en la Subsecretaría de Planeamiento. </w:t>
      </w:r>
    </w:p>
    <w:p w:rsidR="00F309B3" w:rsidRDefault="00733BD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ese modo, se cierra el ciclo de las PEB y se da comienzo a uno nuevo. Es así como enseñanza, evaluación e información se conjugan para fortalecer los aprendizajes de niñas y niños bonaerense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 </w:t>
      </w:r>
    </w:p>
    <w:p w:rsidR="00F309B3" w:rsidRDefault="00F309B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F309B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9B3" w:rsidRDefault="00F309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14"/>
          <w:szCs w:val="14"/>
        </w:rPr>
      </w:pP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Referencias bibliográficas</w:t>
      </w:r>
    </w:p>
    <w:p w:rsidR="00F309B3" w:rsidRDefault="00733BDD">
      <w:pPr>
        <w:spacing w:before="200" w:after="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Dirección General de Cultura y Educación de la provincia de Buenos Aires. (2026).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Alfabetización y enseñanza de la Matemática en el Nivel Primario de la provincia de Buenos Aires. Políticas en clave de derechos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(Informe Fi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nal Investigación Educativa Federal 2025). Subsecretaría de Planeamiento; Dirección Provincial de Evaluación e Investigación; Dirección de Investigación. 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Dirección Provincial de Educación Primaria y Dirección de Evaluación. (2025)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¿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Qué son las Pruebas Es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colares Bonaerenses? Evaluación formativa para la mejora de la enseñanza y de los aprendizajes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Dirección General de Cultura y Educación. </w:t>
      </w:r>
    </w:p>
    <w:p w:rsidR="00F309B3" w:rsidRDefault="00733BDD">
      <w:p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Larripa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S. (2010).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Sistemas jurisdiccionales de evaluación educativa en la Argentina: los casos de la Ciudad de Buen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os Aires y la provincia de Buenos Aires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(1992-2007) [Tesis de doctorado, Universidad de San Andrés]. Repositorio Digital San Andrés. http://hdl.handle.net/10908/10986 </w:t>
      </w:r>
      <w:bookmarkStart w:id="12" w:name="_GoBack"/>
      <w:bookmarkEnd w:id="12"/>
    </w:p>
    <w:sectPr w:rsidR="00F309B3">
      <w:pgSz w:w="11906" w:h="16838"/>
      <w:pgMar w:top="1417" w:right="1700" w:bottom="1417" w:left="17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BDD" w:rsidRDefault="00733BDD">
      <w:pPr>
        <w:spacing w:after="0" w:line="240" w:lineRule="auto"/>
      </w:pPr>
      <w:r>
        <w:separator/>
      </w:r>
    </w:p>
  </w:endnote>
  <w:endnote w:type="continuationSeparator" w:id="0">
    <w:p w:rsidR="00733BDD" w:rsidRDefault="00733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2286B4C-F9C4-41B2-B819-CA1122D3E203}"/>
    <w:embedBold r:id="rId2" w:fontKey="{6D309207-89AF-457B-B614-E508360D08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19008E0-2F31-4693-B998-3E8616BED54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D8CA27E3-9238-4FF1-819A-623FAABDAB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643CBA3-09DD-4CF1-8AD1-66B92105569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06988906"/>
      <w:docPartObj>
        <w:docPartGallery w:val="Page Numbers (Bottom of Page)"/>
        <w:docPartUnique/>
      </w:docPartObj>
    </w:sdtPr>
    <w:sdtContent>
      <w:p w:rsidR="00DB3F0E" w:rsidRDefault="00DB3F0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B3F0E">
          <w:rPr>
            <w:noProof/>
            <w:lang w:val="es-ES"/>
          </w:rPr>
          <w:t>1</w:t>
        </w:r>
        <w:r>
          <w:fldChar w:fldCharType="end"/>
        </w:r>
      </w:p>
    </w:sdtContent>
  </w:sdt>
  <w:p w:rsidR="00F309B3" w:rsidRDefault="00F309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BDD" w:rsidRDefault="00733BDD">
      <w:pPr>
        <w:spacing w:after="0" w:line="240" w:lineRule="auto"/>
      </w:pPr>
      <w:r>
        <w:separator/>
      </w:r>
    </w:p>
  </w:footnote>
  <w:footnote w:type="continuationSeparator" w:id="0">
    <w:p w:rsidR="00733BDD" w:rsidRDefault="00733BDD">
      <w:pPr>
        <w:spacing w:after="0" w:line="240" w:lineRule="auto"/>
      </w:pPr>
      <w:r>
        <w:continuationSeparator/>
      </w:r>
    </w:p>
  </w:footnote>
  <w:footnote w:id="1">
    <w:p w:rsidR="00F309B3" w:rsidRPr="00CE713F" w:rsidRDefault="00733BD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 w:rsidRPr="00CE713F">
        <w:rPr>
          <w:rFonts w:ascii="Times New Roman" w:eastAsia="Times New Roman" w:hAnsi="Times New Roman" w:cs="Times New Roman"/>
        </w:rPr>
        <w:t>Con la colaboración de Rosario Austral (Dirección Provincial de Evaluación e Investigación, SSP-</w:t>
      </w:r>
      <w:proofErr w:type="spellStart"/>
      <w:r w:rsidRPr="00CE713F">
        <w:rPr>
          <w:rFonts w:ascii="Times New Roman" w:eastAsia="Times New Roman" w:hAnsi="Times New Roman" w:cs="Times New Roman"/>
        </w:rPr>
        <w:t>DGCyE</w:t>
      </w:r>
      <w:proofErr w:type="spellEnd"/>
      <w:r w:rsidRPr="00CE713F">
        <w:rPr>
          <w:rFonts w:ascii="Times New Roman" w:eastAsia="Times New Roman" w:hAnsi="Times New Roman" w:cs="Times New Roman"/>
        </w:rPr>
        <w:t xml:space="preserve">) </w:t>
      </w:r>
      <w:r w:rsidRPr="00CE713F">
        <w:rPr>
          <w:rFonts w:ascii="Times New Roman" w:eastAsia="Times New Roman" w:hAnsi="Times New Roman" w:cs="Times New Roman"/>
          <w:color w:val="3B3838"/>
        </w:rPr>
        <w:t xml:space="preserve">y Silvina </w:t>
      </w:r>
      <w:r w:rsidRPr="00CE713F">
        <w:rPr>
          <w:rFonts w:ascii="Times New Roman" w:eastAsia="Times New Roman" w:hAnsi="Times New Roman" w:cs="Times New Roman"/>
        </w:rPr>
        <w:t xml:space="preserve">De </w:t>
      </w:r>
      <w:proofErr w:type="spellStart"/>
      <w:r w:rsidRPr="00CE713F">
        <w:rPr>
          <w:rFonts w:ascii="Times New Roman" w:eastAsia="Times New Roman" w:hAnsi="Times New Roman" w:cs="Times New Roman"/>
        </w:rPr>
        <w:t>Lellis</w:t>
      </w:r>
      <w:proofErr w:type="spellEnd"/>
      <w:r w:rsidRPr="00CE713F">
        <w:rPr>
          <w:rFonts w:ascii="Times New Roman" w:eastAsia="Times New Roman" w:hAnsi="Times New Roman" w:cs="Times New Roman"/>
        </w:rPr>
        <w:t xml:space="preserve"> (Dirección de Evaluación, DPEI-SSP-</w:t>
      </w:r>
      <w:proofErr w:type="spellStart"/>
      <w:r w:rsidRPr="00CE713F">
        <w:rPr>
          <w:rFonts w:ascii="Times New Roman" w:eastAsia="Times New Roman" w:hAnsi="Times New Roman" w:cs="Times New Roman"/>
        </w:rPr>
        <w:t>DGCyE</w:t>
      </w:r>
      <w:proofErr w:type="spellEnd"/>
      <w:r w:rsidRPr="00CE713F">
        <w:rPr>
          <w:rFonts w:ascii="Times New Roman" w:eastAsia="Times New Roman" w:hAnsi="Times New Roman" w:cs="Times New Roman"/>
        </w:rPr>
        <w:t>).</w:t>
      </w:r>
      <w:r w:rsidRPr="00CE713F">
        <w:rPr>
          <w:rFonts w:ascii="Times New Roman" w:eastAsia="Times New Roman" w:hAnsi="Times New Roman" w:cs="Times New Roman"/>
          <w:color w:val="3B3838"/>
        </w:rPr>
        <w:t xml:space="preserve">  </w:t>
      </w:r>
    </w:p>
  </w:footnote>
  <w:footnote w:id="2">
    <w:p w:rsidR="00F309B3" w:rsidRPr="00CE713F" w:rsidRDefault="00733BDD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E713F">
        <w:rPr>
          <w:rFonts w:ascii="Times New Roman" w:hAnsi="Times New Roman" w:cs="Times New Roman"/>
          <w:vertAlign w:val="superscript"/>
        </w:rPr>
        <w:footnoteRef/>
      </w:r>
      <w:r w:rsidRPr="00CE713F">
        <w:rPr>
          <w:rFonts w:ascii="Times New Roman" w:hAnsi="Times New Roman" w:cs="Times New Roman"/>
          <w:sz w:val="20"/>
          <w:szCs w:val="20"/>
        </w:rPr>
        <w:t xml:space="preserve"> </w:t>
      </w:r>
      <w:r w:rsidRPr="00CE713F">
        <w:rPr>
          <w:rFonts w:ascii="Times New Roman" w:eastAsia="Times New Roman" w:hAnsi="Times New Roman" w:cs="Times New Roman"/>
        </w:rPr>
        <w:t>La jurisdicción cuenta con una tradición de evaluación que se remonta a fines de la dé</w:t>
      </w:r>
      <w:r w:rsidRPr="00CE713F">
        <w:rPr>
          <w:rFonts w:ascii="Times New Roman" w:eastAsia="Times New Roman" w:hAnsi="Times New Roman" w:cs="Times New Roman"/>
        </w:rPr>
        <w:t>cada del ´90 con el Sistema de Medición y Evaluación de la Calidad Educativa (SIMECE), el cual -paralelamente a los Operativos Nacionales de Evaluación (ONE)-, buscaba brindar a las escuelas información que otras instancias de evaluación externa no garanti</w:t>
      </w:r>
      <w:r w:rsidRPr="00CE713F">
        <w:rPr>
          <w:rFonts w:ascii="Times New Roman" w:eastAsia="Times New Roman" w:hAnsi="Times New Roman" w:cs="Times New Roman"/>
        </w:rPr>
        <w:t>zaban, a partir del desarrollo de un modelo evaluativo que permitiera apreciar y mejorar el trabajo en las escuelas (</w:t>
      </w:r>
      <w:proofErr w:type="spellStart"/>
      <w:r w:rsidRPr="00CE713F">
        <w:rPr>
          <w:rFonts w:ascii="Times New Roman" w:eastAsia="Times New Roman" w:hAnsi="Times New Roman" w:cs="Times New Roman"/>
        </w:rPr>
        <w:t>Larripa</w:t>
      </w:r>
      <w:proofErr w:type="spellEnd"/>
      <w:r w:rsidRPr="00CE713F">
        <w:rPr>
          <w:rFonts w:ascii="Times New Roman" w:eastAsia="Times New Roman" w:hAnsi="Times New Roman" w:cs="Times New Roman"/>
        </w:rPr>
        <w:t xml:space="preserve">, 2010). </w:t>
      </w:r>
    </w:p>
  </w:footnote>
  <w:footnote w:id="3">
    <w:p w:rsidR="00F309B3" w:rsidRDefault="00733BD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</w:rPr>
        <w:t>La Dirección de Recursos Didácticos y Tecnológicos para la Enseñanza (SSP) elabora todos estos reportes para su distribu</w:t>
      </w:r>
      <w:r>
        <w:rPr>
          <w:rFonts w:ascii="Times New Roman" w:eastAsia="Times New Roman" w:hAnsi="Times New Roman" w:cs="Times New Roman"/>
        </w:rPr>
        <w:t xml:space="preserve">ción en todo el sistema educativo, con los resguardos necesarios de confidencialidad. </w:t>
      </w:r>
    </w:p>
  </w:footnote>
  <w:footnote w:id="4">
    <w:p w:rsidR="00F309B3" w:rsidRDefault="00733BDD" w:rsidP="00CE713F">
      <w:pPr>
        <w:spacing w:after="0" w:line="240" w:lineRule="auto"/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</w:rPr>
        <w:t>Vale destacar que desde el comienzo de las PEB, los contenidos evaluados en Matemática se fueron ampliando. En 2022 sólo abarcaban los contenidos prioritarios definido</w:t>
      </w:r>
      <w:r>
        <w:rPr>
          <w:rFonts w:ascii="Times New Roman" w:eastAsia="Times New Roman" w:hAnsi="Times New Roman" w:cs="Times New Roman"/>
        </w:rPr>
        <w:t xml:space="preserve">s para la pandemia y </w:t>
      </w:r>
      <w:proofErr w:type="spellStart"/>
      <w:r>
        <w:rPr>
          <w:rFonts w:ascii="Times New Roman" w:eastAsia="Times New Roman" w:hAnsi="Times New Roman" w:cs="Times New Roman"/>
        </w:rPr>
        <w:t>pospandemia</w:t>
      </w:r>
      <w:proofErr w:type="spellEnd"/>
      <w:r>
        <w:rPr>
          <w:rFonts w:ascii="Times New Roman" w:eastAsia="Times New Roman" w:hAnsi="Times New Roman" w:cs="Times New Roman"/>
        </w:rPr>
        <w:t xml:space="preserve"> (y dentro de ellos se seleccionaron aquellos del eje aritmético). Actualmente, las PEB de 3° año abarcan contenidos vinculados a la numeración, las operaciones con números naturales (cálculos mentales y diferentes sentidos </w:t>
      </w:r>
      <w:r>
        <w:rPr>
          <w:rFonts w:ascii="Times New Roman" w:eastAsia="Times New Roman" w:hAnsi="Times New Roman" w:cs="Times New Roman"/>
        </w:rPr>
        <w:t>de la suma, resta, división y multiplicación) y geometría. Otra característica a señalar es que no se evalúan técnicas ni memorización, ya que siempre se trata de problemas que admiten varias formas de resolución, y los carteles con información verbal o vo</w:t>
      </w:r>
      <w:r>
        <w:rPr>
          <w:rFonts w:ascii="Times New Roman" w:eastAsia="Times New Roman" w:hAnsi="Times New Roman" w:cs="Times New Roman"/>
        </w:rPr>
        <w:t xml:space="preserve">cabulario específico se presenta disponible durante la toma de pruebas, al igual que en el resto de las clases. </w:t>
      </w:r>
    </w:p>
  </w:footnote>
  <w:footnote w:id="5">
    <w:p w:rsidR="00F309B3" w:rsidRDefault="00733B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Por razones de espacio, se obvian los correspondientes a 1° y 2°, los cuales serán publicados prontamente.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09B3" w:rsidRDefault="00733BDD">
    <w:pPr>
      <w:tabs>
        <w:tab w:val="left" w:pos="2400"/>
        <w:tab w:val="right" w:pos="14004"/>
      </w:tabs>
      <w:spacing w:after="0" w:line="240" w:lineRule="auto"/>
      <w:jc w:val="center"/>
      <w:rPr>
        <w:rFonts w:ascii="Times New Roman" w:eastAsia="Times New Roman" w:hAnsi="Times New Roman" w:cs="Times New Roman"/>
        <w:sz w:val="18"/>
        <w:szCs w:val="18"/>
      </w:rPr>
    </w:pPr>
    <w:r>
      <w:rPr>
        <w:noProof/>
        <w:color w:val="000000"/>
        <w:sz w:val="20"/>
        <w:szCs w:val="20"/>
        <w:lang w:val="es-ES"/>
      </w:rPr>
      <w:drawing>
        <wp:inline distT="0" distB="0" distL="0" distR="0" wp14:anchorId="7DDCB084" wp14:editId="166CC13A">
          <wp:extent cx="1305317" cy="868020"/>
          <wp:effectExtent l="0" t="0" r="0" b="0"/>
          <wp:docPr id="3" name="image2.png" descr="LOGO DE LA SOCIEDAD ARGENTINA DE INVESTIGACIÓN EN EDUCACIÓ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 DE LA SOCIEDAD ARGENTINA DE INVESTIGACIÓN EN EDUCACIÓ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5317" cy="8680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309B3" w:rsidRDefault="00F309B3">
    <w:pPr>
      <w:tabs>
        <w:tab w:val="left" w:pos="2400"/>
        <w:tab w:val="right" w:pos="14004"/>
      </w:tabs>
      <w:spacing w:after="0" w:line="240" w:lineRule="auto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B53C88"/>
    <w:multiLevelType w:val="multilevel"/>
    <w:tmpl w:val="D814FB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309B3"/>
    <w:rsid w:val="00733BDD"/>
    <w:rsid w:val="008B1DC6"/>
    <w:rsid w:val="00CE713F"/>
    <w:rsid w:val="00DB3F0E"/>
    <w:rsid w:val="00F309B3"/>
    <w:rsid w:val="00FB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AR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sz w:val="27"/>
      <w:szCs w:val="27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E71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713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B3F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F0E"/>
  </w:style>
  <w:style w:type="paragraph" w:styleId="Piedepgina">
    <w:name w:val="footer"/>
    <w:basedOn w:val="Normal"/>
    <w:link w:val="PiedepginaCar"/>
    <w:uiPriority w:val="99"/>
    <w:unhideWhenUsed/>
    <w:rsid w:val="00DB3F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F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AR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sz w:val="27"/>
      <w:szCs w:val="27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E71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713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B3F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F0E"/>
  </w:style>
  <w:style w:type="paragraph" w:styleId="Piedepgina">
    <w:name w:val="footer"/>
    <w:basedOn w:val="Normal"/>
    <w:link w:val="PiedepginaCar"/>
    <w:uiPriority w:val="99"/>
    <w:unhideWhenUsed/>
    <w:rsid w:val="00DB3F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hyperlink" Target="mailto:diegoborn@abc.gob.ar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mirtatorres5@gmail.com" TargetMode="Externa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iOFp77RAOKdLDWrCnWk4rMAGQw==">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3028</Words>
  <Characters>16656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Educacion</dc:creator>
  <cp:lastModifiedBy>Educacion</cp:lastModifiedBy>
  <cp:revision>5</cp:revision>
  <dcterms:created xsi:type="dcterms:W3CDTF">2026-06-23T16:03:00Z</dcterms:created>
  <dcterms:modified xsi:type="dcterms:W3CDTF">2026-06-23T16:06:00Z</dcterms:modified>
</cp:coreProperties>
</file>