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GT 1 Usos de información estadística y acceso a datos públicos</w:t>
      </w:r>
    </w:p>
    <w:p>
      <w:r>
        <w:rPr>
          <w:b/>
        </w:rPr>
        <w:t>Sesión 1 Ejes para la discusión</w:t>
      </w:r>
    </w:p>
    <w:p>
      <w:r>
        <w:t>Moderación a cargo de Lilia V. Toranzos</w:t>
      </w:r>
    </w:p>
    <w:p>
      <w:pPr>
        <w:pStyle w:val="Heading1"/>
      </w:pPr>
      <w:r>
        <w:t>Trabajos presentados</w:t>
      </w:r>
    </w:p>
    <w:p>
      <w:pPr>
        <w:pStyle w:val="ListBullet"/>
        <w:spacing w:after="80"/>
      </w:pPr>
      <w:r>
        <w:rPr>
          <w:b/>
        </w:rPr>
        <w:t xml:space="preserve">Nancy Montes: </w:t>
      </w:r>
      <w:r>
        <w:t>Acerca de los usos de las evaluaciones estandarizadas: discusiones a partir de un estudio regional comparado.</w:t>
      </w:r>
    </w:p>
    <w:p>
      <w:pPr>
        <w:pStyle w:val="ListBullet"/>
        <w:spacing w:after="80"/>
      </w:pPr>
      <w:r>
        <w:rPr>
          <w:b/>
        </w:rPr>
        <w:t xml:space="preserve">Daniel Pinkasz: </w:t>
      </w:r>
      <w:r>
        <w:t>Evaluaciones estandarizadas en Argentina: usos y debates. Entre la consolidación y la crítica.</w:t>
      </w:r>
    </w:p>
    <w:p>
      <w:pPr>
        <w:pStyle w:val="ListBullet"/>
        <w:spacing w:after="80"/>
      </w:pPr>
      <w:r>
        <w:rPr>
          <w:b/>
        </w:rPr>
        <w:t xml:space="preserve">Gabriela Brandan Zehnder, María José Llanos Pozzi y Marisa Álvarez: </w:t>
      </w:r>
      <w:r>
        <w:t>Entre los resultados estandarizados y los sistemas nominales: usos, tensiones y mediaciones de la información educativa para el planeamiento y la gestión de políticas.</w:t>
      </w:r>
    </w:p>
    <w:p>
      <w:pPr>
        <w:pStyle w:val="ListBullet"/>
        <w:spacing w:after="80"/>
      </w:pPr>
      <w:r>
        <w:rPr>
          <w:b/>
        </w:rPr>
        <w:t xml:space="preserve">Stella Escandell: </w:t>
      </w:r>
      <w:r>
        <w:t>Los Reportes Escuela APRENDER. Algunas consideraciones sobre el acceso a este artefacto, los apoyos para su uso y aspectos problemáticos en el levantamiento de información sobre su uso desde el dispositivo APRENDER.</w:t>
      </w:r>
    </w:p>
    <w:p>
      <w:pPr>
        <w:pStyle w:val="ListBullet"/>
        <w:spacing w:after="80"/>
      </w:pPr>
      <w:r>
        <w:rPr>
          <w:b/>
        </w:rPr>
        <w:t xml:space="preserve">Juan Suasnábar: </w:t>
      </w:r>
      <w:r>
        <w:t>Estandarizadas pero no cerradas: procesamiento de lenguaje natural y respuestas abiertas en evaluaciones educativas a gran escala.</w:t>
      </w:r>
    </w:p>
    <w:p>
      <w:pPr>
        <w:pStyle w:val="Heading1"/>
      </w:pPr>
      <w:r>
        <w:t>Dinámica propuesta para la presentación de trabajos</w:t>
      </w:r>
    </w:p>
    <w:p>
      <w:pPr>
        <w:pStyle w:val="ListBullet"/>
        <w:spacing w:after="80"/>
      </w:pPr>
      <w:r>
        <w:rPr>
          <w:b/>
        </w:rPr>
        <w:t xml:space="preserve">Primer bloque: </w:t>
      </w:r>
      <w:r>
        <w:t>Nancy Montes, Daniel Pinkasz, Gabriela Brandan Zehnder, María José Llanos Pozzi y Marisa Álvarez. Se dispondrá de 10 a 12 minutos por exposición y se reservarán 35 minutos para el intercambio con los asistentes.</w:t>
      </w:r>
    </w:p>
    <w:p>
      <w:pPr>
        <w:pStyle w:val="ListBullet"/>
        <w:spacing w:after="80"/>
      </w:pPr>
      <w:r>
        <w:rPr>
          <w:b/>
        </w:rPr>
        <w:t xml:space="preserve">Segundo bloque: </w:t>
      </w:r>
      <w:r>
        <w:t>Stella Escandell y Juan Suasnábar. Se dispondrá de 12 a 15 minutos por exposición y se reservarán 35 minutos para el intercambio con los asistentes.</w:t>
      </w:r>
    </w:p>
    <w:p>
      <w:pPr>
        <w:pStyle w:val="Heading1"/>
      </w:pPr>
      <w:r>
        <w:t>Ejes que organizan el intercambio</w:t>
      </w:r>
    </w:p>
    <w:p>
      <w:pPr>
        <w:pStyle w:val="Heading2"/>
      </w:pPr>
      <w:r>
        <w:t>Eje 1 Prescripción de la evidencia vs usos reales y tensión entre datos agregados y sistemas de información nominales</w:t>
      </w:r>
    </w:p>
    <w:p>
      <w:r>
        <w:rPr>
          <w:b/>
        </w:rPr>
        <w:t xml:space="preserve">Problema central: </w:t>
      </w:r>
      <w:r>
        <w:t>La brecha entre el modelo de políticas basadas en evidencia y los usos efectivos, ceremoniales o de planeamiento de las evaluaciones estandarizadas, sumada a la tensión entre dos regímenes de producción de información: los datos estandarizados agregados y los sistemas de información nominales, situados, oportunos y orientados al seguimiento individual de trayectorias.</w:t>
      </w:r>
    </w:p>
    <w:p>
      <w:pPr>
        <w:pStyle w:val="ListBullet"/>
        <w:spacing w:after="80"/>
      </w:pPr>
      <w:r>
        <w:rPr>
          <w:b/>
        </w:rPr>
        <w:t xml:space="preserve">Tensión entre datos estandarizados y sistemas nominales: </w:t>
      </w:r>
      <w:r>
        <w:t>Analizar cómo articular los diagnósticos de cohorte a gran escala con los datos de matrícula, asistencia y trayectoria real del SIGED. Discutir el riesgo de que la atención exclusiva en el caso individual diluya la mirada sobre los problemas estructurales y sistémicos de aprendizaje.</w:t>
      </w:r>
    </w:p>
    <w:p>
      <w:pPr>
        <w:pStyle w:val="ListBullet"/>
        <w:spacing w:after="80"/>
      </w:pPr>
      <w:r>
        <w:rPr>
          <w:b/>
        </w:rPr>
        <w:t xml:space="preserve">Usos promovidos vs usos efectivos y tipología de uso: </w:t>
      </w:r>
      <w:r>
        <w:t>Contrastar las tipologías de uso conceptual y simbólico o ceremonial con la necesidad de construir indicadores de gestión para monitorear políticas estratégicas.</w:t>
      </w:r>
    </w:p>
    <w:p>
      <w:pPr>
        <w:pStyle w:val="ListBullet"/>
        <w:spacing w:after="80"/>
      </w:pPr>
      <w:r>
        <w:rPr>
          <w:b/>
        </w:rPr>
        <w:t xml:space="preserve">Gobernanza, sostenibilidad e institucionalidad en escenarios de crisis: </w:t>
      </w:r>
      <w:r>
        <w:t>Analizar mecanismos institucionales y normativos, como las mesas federales y el CFE, para sostener la producción de información frente a la volatilidad de las gestiones, los equipos técnicos y la incidencia de agencias internacionales y actores no gubernamentales.</w:t>
      </w:r>
    </w:p>
    <w:p>
      <w:pPr>
        <w:pStyle w:val="Heading2"/>
      </w:pPr>
      <w:r>
        <w:t>Eje 2 Artefactos de información herramientas multiescala y mediaciones para la apropiación pedagógica</w:t>
      </w:r>
    </w:p>
    <w:p>
      <w:r>
        <w:rPr>
          <w:b/>
        </w:rPr>
        <w:t xml:space="preserve">Problema central: </w:t>
      </w:r>
      <w:r>
        <w:t>La necesidad de construir mediaciones institucionales y técnicas que traduzcan la información estadística y evaluativa en preguntas pedagógicas situadas, superando tanto las fallas de acceso a los reportes nacionales como la falta de acompañamiento técnico en las escuelas.</w:t>
      </w:r>
    </w:p>
    <w:p>
      <w:pPr>
        <w:pStyle w:val="ListBullet"/>
        <w:spacing w:after="80"/>
      </w:pPr>
      <w:r>
        <w:rPr>
          <w:b/>
        </w:rPr>
        <w:t xml:space="preserve">Dispositivos de devolución orientados por escala y destinatario: </w:t>
      </w:r>
      <w:r>
        <w:t>Analizar herramientas de interfaz según el nivel de decisión, las brechas de acceso a este tipo de información y la necesidad de apoyo técnico.</w:t>
      </w:r>
    </w:p>
    <w:p>
      <w:pPr>
        <w:pStyle w:val="ListBullet"/>
        <w:spacing w:after="80"/>
      </w:pPr>
      <w:r>
        <w:rPr>
          <w:b/>
        </w:rPr>
        <w:t xml:space="preserve">Traducción del dato en preguntas pedagógicas e institucionales: </w:t>
      </w:r>
      <w:r>
        <w:t>Discutir cómo transformar los reportes en secuencias de lectura que interpelen la dinámica escolar, en lugar de entregar meros consolidados de porcentajes de desempeño. Considerar la mediación de los supervisores y el desafío de favorecer el uso pedagógico y formativo de la información.</w:t>
      </w:r>
    </w:p>
    <w:p>
      <w:pPr>
        <w:pStyle w:val="ListBullet"/>
        <w:spacing w:after="80"/>
      </w:pPr>
      <w:r>
        <w:rPr>
          <w:b/>
        </w:rPr>
        <w:t xml:space="preserve">Temporalidad y oportunidad de la intervención: </w:t>
      </w:r>
      <w:r>
        <w:t>Considerar la ventaja de contar con señales tempranas de riesgo de abandono o inasistencia reiterada para intervenir antes de que las situaciones de fracaso escolar se consoliden.</w:t>
      </w:r>
    </w:p>
    <w:p>
      <w:pPr>
        <w:pStyle w:val="Heading2"/>
      </w:pPr>
      <w:r>
        <w:t>Eje 3 Sentidos político éticos responsabilidad pública y fronteras metodológicas</w:t>
      </w:r>
    </w:p>
    <w:p>
      <w:r>
        <w:rPr>
          <w:b/>
        </w:rPr>
        <w:t xml:space="preserve">Problema central: </w:t>
      </w:r>
      <w:r>
        <w:t>Los desafíos éticos y políticos vinculados al manejo de información pública, la sobreestimación de los resultados de evaluación, la articulación entre innovaciones tecnológicas y la responsabilidad sobre los datos nominales sensibles.</w:t>
      </w:r>
    </w:p>
    <w:p>
      <w:pPr>
        <w:pStyle w:val="ListBullet"/>
        <w:spacing w:after="80"/>
      </w:pPr>
      <w:r>
        <w:rPr>
          <w:b/>
        </w:rPr>
        <w:t xml:space="preserve">Lectura situada del aporte de las evaluaciones estandarizadas: </w:t>
      </w:r>
      <w:r>
        <w:t>Prevenir que las pruebas se conviertan en medidas autosuficientes de la calidad educativa y promover su interpretación cruzada con indicadores contextuales y pedagógicos.</w:t>
      </w:r>
    </w:p>
    <w:p>
      <w:pPr>
        <w:pStyle w:val="ListBullet"/>
        <w:spacing w:after="80"/>
      </w:pPr>
      <w:r>
        <w:rPr>
          <w:b/>
        </w:rPr>
        <w:t xml:space="preserve">Responsabilidad ético política en el manejo de datos nominales: </w:t>
      </w:r>
      <w:r>
        <w:t>Considerar los recaudos éticos, el acceso responsable y las condiciones de reserva necesarias para evitar la estigmatización o clasificación punitiva de estudiantes y escuelas.</w:t>
      </w:r>
    </w:p>
    <w:p>
      <w:pPr>
        <w:pStyle w:val="ListBullet"/>
        <w:spacing w:after="80"/>
      </w:pPr>
      <w:r>
        <w:rPr>
          <w:b/>
        </w:rPr>
        <w:t xml:space="preserve">Algoritmos y prevención de sesgos: </w:t>
      </w:r>
      <w:r>
        <w:t>Analizar las implicancias éticas del uso de modelos computacionales, la transparencia de la documentación técnica y la prevención de sesgos en registros lingüísticos heterogéneos.</w:t>
      </w:r>
    </w:p>
    <w:p>
      <w:pPr>
        <w:pStyle w:val="ListBullet"/>
        <w:spacing w:after="80"/>
      </w:pPr>
      <w:r>
        <w:rPr>
          <w:b/>
        </w:rPr>
        <w:t xml:space="preserve">Posibilidades y límites de las nuevas herramientas: </w:t>
      </w:r>
      <w:r>
        <w:t>Discutir de qué manera la innovación tecnológica puede complementar la interpretación pedagógica y contribuir a políticas orientadas al cumplimiento del derecho a la educación.</w:t>
      </w:r>
    </w:p>
    <w:sectPr w:rsidR="00FC693F" w:rsidRPr="0006063C" w:rsidSect="00034616">
      <w:pgSz w:w="12240" w:h="15840"/>
      <w:pgMar w:top="1080" w:right="1240" w:bottom="1080" w:left="1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