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bookmarkStart w:colFirst="0" w:colLast="0" w:name="_6njckc2x6qx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DOCUMENTO DE PATRONES ELEGIDOS (RF-049, RF-050, RF-051)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gzlp9sh5ukr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i w:val="1"/>
          <w:iCs w:val="1"/>
          <w:color w:val="1f1f1f"/>
          <w:sz w:val="22"/>
          <w:szCs w:val="22"/>
        </w:rPr>
      </w:pPr>
      <w:bookmarkStart w:colFirst="0" w:colLast="0" w:name="_3s3nqy6ln6y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2"/>
          <w:szCs w:val="22"/>
          <w:rtl w:val="0"/>
        </w:rPr>
        <w:t xml:space="preserve">3.1.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2"/>
          <w:szCs w:val="22"/>
          <w:rtl w:val="0"/>
        </w:rPr>
        <w:t xml:space="preserve"> Patrones Creacionales (RF-049)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3.464566929134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Singleton (Obligatorio)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Gestión global de la sesión del usuario y conexión a base de datos (simulada).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Varias partes del sistema (compras, perfil, administración) necesitan saber quién es el usuario logueado actualmente sin pasar el objeto por todos los métodos.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Se elige para garantizar un único punto de acceso a la instancia de la sesión actual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), evitando inconsistencias de datos y consumo innecesario de memoria.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3.464566929134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Factory Method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RF-040, RF-041 (Creación de diferentes tipos de eventos: Conciertos, Teatro, Conferencias).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Los eventos tienen atributos comunes pero comportamientos distintos según su categoría (ej. un teatro tiene asientos numerados fijos, una conferencia puede ser entrada general).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Centraliza la lógica de instanciación. Es mejor que el constructor simple porque permite al sistema ser extensible: si mañana se agrega "Eventos Virtuales", solo se añade una nueva fábrica sin alterar el código existente.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3.464566929134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Builder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Creación de la entidad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La clase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tiene demasiados atributos (id, nombre, descripción, fecha, lugar, aforo, zonas, precios, reglas). Crear un objeto con un constructor de 10 parámetros es propenso a errores.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Permite construir objetos complejos paso a paso y de manera legible. Facilita la creación de "plantillas" de eventos donde algunos campos son opcionales.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i w:val="1"/>
          <w:iCs w:val="1"/>
          <w:color w:val="1f1f1f"/>
          <w:sz w:val="22"/>
          <w:szCs w:val="22"/>
        </w:rPr>
      </w:pPr>
      <w:bookmarkStart w:colFirst="0" w:colLast="0" w:name="_sr6yxhlz098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2"/>
          <w:szCs w:val="22"/>
          <w:rtl w:val="0"/>
        </w:rPr>
        <w:t xml:space="preserve">3.2.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2"/>
          <w:szCs w:val="22"/>
          <w:rtl w:val="0"/>
        </w:rPr>
        <w:t xml:space="preserve">Patrones Estructurales (RF-050)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5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Decorator (Obligatorio)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RF-005 (Agregar servicios adicionales: VIP, Seguro, Merchandising, Parqueadero).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El precio final de una entrada es dinámico. No es eficiente crear clases como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EntradaConSeguroYVip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EntradaConParqueadero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etc. (explosión de clases).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Permite "envolver" la entrada básica con funcionalidades adicionales en tiempo de ejecución, sumando costos al total de forma flexible y modular.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5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Facade (Fachada)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Proceso de pago y confirmación de compra (RF-006, RF-007).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Realizar una compra implica interactuar con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(asientos),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Pasarela de Pago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Generación de Ticket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Para la interfaz, esto es muy complejo.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Se crea una clase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CompraFacade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que expone un solo método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finalizarCompra()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Esto simplifica la interacción del cliente con el subsistema y reduce el acoplamiento.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5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Proxy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Control de acceso y seguridad (RF-012, RF-013 - Flujo de Administrador).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Ciertas operaciones (crear eventos, liberar asientos bloqueados) solo deben ser ejecutadas por usuarios con el rol "Administrador".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Proxy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actúa como un intermediario que valida los permisos del usuario antes de delegar la acción al objeto real de gestión de eventos, protegiendo la integridad del sistema.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i w:val="1"/>
          <w:iCs w:val="1"/>
          <w:color w:val="1f1f1f"/>
          <w:sz w:val="22"/>
          <w:szCs w:val="22"/>
        </w:rPr>
      </w:pPr>
      <w:bookmarkStart w:colFirst="0" w:colLast="0" w:name="_cx8sd2cdnrf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2"/>
          <w:szCs w:val="22"/>
          <w:rtl w:val="0"/>
        </w:rPr>
        <w:t xml:space="preserve">3.3.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2"/>
          <w:szCs w:val="22"/>
          <w:rtl w:val="0"/>
        </w:rPr>
        <w:t xml:space="preserve">Patrones de Comportamiento (RF-051)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3.464566929134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Strategy (Obligatorio)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RF-006 (Simulación de diversos métodos de pago: Tarjeta, PSE, etc.).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El sistema debe procesar pagos de distintas formas, cada una con su propia lógica de validación.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Permite intercambiar el algoritmo de pago en tiempo de ejecución. Si el usuario elige "Tarjeta", se usa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PagoTarjetaStrategy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; si elige "PSE", se usa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PagoPSEStrategy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sin llenar el código de condicionales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interminables.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3.464566929134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State (Estado)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Ciclo de vida de Eventos y Compras (RF-035, RF-036).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Un evento tiene comportamientos prohibidos según su estado (ej. no se pueden vender entradas si el evento está "Pausado" o "Cancelado").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Elimina la lógica compleja de estados dentro de la clase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 Cada estado (Borrador, Publicado, Finalizado) es una clase que sabe qué acciones permite, haciendo el flujo transaccional mucho más robusto.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425.19685039370086" w:hanging="283.464566929134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Observer (Observador)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Requisito(s) que resuelve: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RF-009 (Notificaciones sobre cambios de estado del evento).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Problema en el contexto: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Cuando un administrador cancela un concierto, todos los usuarios que compraron entradas deben ser notificados automáticamente.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Justificación: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Establece una relación de uno a muchos. Los usuarios se suscriben a un evento y, ante cualquier cambio importante, el objeto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notifica a todos sus observadores de manera desacoplada.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0" w:firstLine="0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.19685039370086" w:hanging="285"/>
      </w:pPr>
      <w:rPr>
        <w:rFonts w:ascii="Arial" w:cs="Arial" w:eastAsia="Arial" w:hAnsi="Arial"/>
        <w:b w:val="1"/>
        <w:bCs w:val="1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.19685039370086" w:hanging="283.464566929134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