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B31C" w14:textId="77777777" w:rsidR="00262585" w:rsidRDefault="00000000">
      <w:pPr>
        <w:pStyle w:val="Title"/>
      </w:pPr>
      <w:r>
        <w:t>Correlated host movements can reshape spatio-temporal disease dynamics: modeling the contributions of space use to transmission risk using animal movement data</w:t>
      </w:r>
    </w:p>
    <w:p w14:paraId="53EAA31E" w14:textId="2DACE65F" w:rsidR="00576A3C" w:rsidRDefault="00000000" w:rsidP="00576A3C">
      <w:pPr>
        <w:pStyle w:val="Author"/>
      </w:pPr>
      <w:r>
        <w:t>Juan S. Vargas Soto, Lisa I. Muller, Dan Grove, Justin Kosiewska, Dailee Metts, and Mark Q. Wilber</w:t>
      </w:r>
    </w:p>
    <w:p w14:paraId="3DC3BB15" w14:textId="496E75E0" w:rsidR="00576A3C" w:rsidRPr="00576A3C" w:rsidRDefault="00576A3C" w:rsidP="00576A3C">
      <w:pPr>
        <w:pStyle w:val="BodyText"/>
      </w:pPr>
      <w:r w:rsidRPr="00576A3C">
        <w:rPr>
          <w:highlight w:val="yellow"/>
        </w:rPr>
        <w:t>TODO: Add Affiliations</w:t>
      </w:r>
    </w:p>
    <w:p w14:paraId="6192744C" w14:textId="77777777" w:rsidR="00262585" w:rsidRDefault="00000000">
      <w:pPr>
        <w:pStyle w:val="FirstParagraph"/>
      </w:pPr>
      <w:r>
        <w:rPr>
          <w:b/>
          <w:bCs/>
        </w:rPr>
        <w:t>Target Journal</w:t>
      </w:r>
      <w:r>
        <w:t>: Methods in Ecology and Evolution</w:t>
      </w:r>
    </w:p>
    <w:p w14:paraId="4A846472" w14:textId="77777777" w:rsidR="00262585" w:rsidRDefault="00000000">
      <w:pPr>
        <w:pStyle w:val="Heading1"/>
      </w:pPr>
      <w:bookmarkStart w:id="0" w:name="abstract"/>
      <w:r>
        <w:t>Abstract</w:t>
      </w:r>
    </w:p>
    <w:p w14:paraId="540E4546" w14:textId="77777777" w:rsidR="00262585" w:rsidRDefault="00000000">
      <w:pPr>
        <w:pStyle w:val="Heading1"/>
      </w:pPr>
      <w:bookmarkStart w:id="1" w:name="introduction"/>
      <w:bookmarkEnd w:id="0"/>
      <w:r>
        <w:t>Introduction</w:t>
      </w:r>
    </w:p>
    <w:p w14:paraId="428482CB" w14:textId="77777777" w:rsidR="00262585" w:rsidRDefault="00000000">
      <w:pPr>
        <w:pStyle w:val="FirstParagraph"/>
      </w:pPr>
      <w:r>
        <w:t xml:space="preserve">Individual movement is among the most critical factors that determine the dynamics of infectious disease in wildlife (Dougherty </w:t>
      </w:r>
      <w:r>
        <w:rPr>
          <w:i/>
          <w:iCs/>
        </w:rPr>
        <w:t>et al.</w:t>
      </w:r>
      <w:r>
        <w:t xml:space="preserve"> 2018; Manlove </w:t>
      </w:r>
      <w:r>
        <w:rPr>
          <w:i/>
          <w:iCs/>
        </w:rPr>
        <w:t>et al.</w:t>
      </w:r>
      <w:r>
        <w:t xml:space="preserve"> 2022). From an individual perspective, how an animal moves determines whether they encounter other individuals of the same species, other species, or parasites in the environment (Martinez-Garcia </w:t>
      </w:r>
      <w:r>
        <w:rPr>
          <w:i/>
          <w:iCs/>
        </w:rPr>
        <w:t>et al.</w:t>
      </w:r>
      <w:r>
        <w:t xml:space="preserve"> 2020; Das </w:t>
      </w:r>
      <w:r>
        <w:rPr>
          <w:i/>
          <w:iCs/>
        </w:rPr>
        <w:t>et al.</w:t>
      </w:r>
      <w:r>
        <w:t xml:space="preserve"> 2023). These encounters are a necessary component for the transmission of parasites and infectious diseases, and efforts have sought to identify where they could occur, how often, and how they could be influenced by environmental drivers (Titcomb </w:t>
      </w:r>
      <w:r>
        <w:rPr>
          <w:i/>
          <w:iCs/>
        </w:rPr>
        <w:t>et al.</w:t>
      </w:r>
      <w:r>
        <w:t xml:space="preserve"> 2021; Dougherty </w:t>
      </w:r>
      <w:r>
        <w:rPr>
          <w:i/>
          <w:iCs/>
        </w:rPr>
        <w:t>et al.</w:t>
      </w:r>
      <w:r>
        <w:t xml:space="preserve"> 2022). Being able to formally link environmental factors, animal movement, contact, and parasite transmission risk, could improve our ability to predict and prevent outbreaks and would represent a significant advancement for management of wildlife diseases. Nevertheless, understanding and extrapolating the relationships between these processes at an individual scale requires extremely detailed information about movement, combined with analytical frameworks that can translate this information into an epidemiological context.</w:t>
      </w:r>
    </w:p>
    <w:p w14:paraId="709A82F4" w14:textId="77777777" w:rsidR="00262585" w:rsidRDefault="00000000">
      <w:pPr>
        <w:pStyle w:val="BodyText"/>
      </w:pPr>
      <w:r>
        <w:t xml:space="preserve">Recent approaches developed at the interface of movement and disease ecology are able to leverage animal tracking data with high spatial and temporal resolution to gain insight into contact among individuals and disease transmission (Richardson &amp; Gorochowski 2015; Wilber </w:t>
      </w:r>
      <w:r>
        <w:rPr>
          <w:i/>
          <w:iCs/>
        </w:rPr>
        <w:t>et al.</w:t>
      </w:r>
      <w:r>
        <w:t xml:space="preserve"> 2022; Yang </w:t>
      </w:r>
      <w:r>
        <w:rPr>
          <w:i/>
          <w:iCs/>
        </w:rPr>
        <w:t>et al.</w:t>
      </w:r>
      <w:r>
        <w:t xml:space="preserve"> 2023). For example, movement-driven modeling of spatio-temporal infection risk (MoveSTIR) builds dynamic spatio-temporal contact networks from which we can estimate the risk of infection for different individuals across space and time (Wilber </w:t>
      </w:r>
      <w:r>
        <w:rPr>
          <w:i/>
          <w:iCs/>
        </w:rPr>
        <w:t>et al.</w:t>
      </w:r>
      <w:r>
        <w:t xml:space="preserve"> 2022). MoveSTIR provides a theoretical foundation to translate contacts observed or inferred from spatial data into the epidemiological currency of force of infection, which represents the risk of transmission experienced by a host per unit time. These studies have highlighted the importance of individual heterogeneity and temporal scale for disease dynamics, particularly how indirect contact—two individuals at the same </w:t>
      </w:r>
      <w:r>
        <w:lastRenderedPageBreak/>
        <w:t xml:space="preserve">place at different times—can significantly reshape contact and transmission networks (Richardson &amp; Gorochowski 2015; Yang </w:t>
      </w:r>
      <w:r>
        <w:rPr>
          <w:i/>
          <w:iCs/>
        </w:rPr>
        <w:t>et al.</w:t>
      </w:r>
      <w:r>
        <w:t xml:space="preserve"> 2023). These approaches are nonetheless based on occurrence, rather than range, distributions (in the terminology of Alston </w:t>
      </w:r>
      <w:r>
        <w:rPr>
          <w:i/>
          <w:iCs/>
        </w:rPr>
        <w:t>et al.</w:t>
      </w:r>
      <w:r>
        <w:t xml:space="preserve"> 2022) – meaning it only considers where animals were observed and not where they </w:t>
      </w:r>
      <w:r>
        <w:rPr>
          <w:i/>
          <w:iCs/>
        </w:rPr>
        <w:t>potentially</w:t>
      </w:r>
      <w:r>
        <w:t xml:space="preserve"> could have moved. This makes it difficult to systematically link observed encounters with underlying spatial covariates, and to predict how social or environmental changes affect contact and transmission.</w:t>
      </w:r>
    </w:p>
    <w:p w14:paraId="729EC957" w14:textId="77777777" w:rsidR="00262585" w:rsidRDefault="00000000">
      <w:pPr>
        <w:pStyle w:val="BodyText"/>
      </w:pPr>
      <w:r>
        <w:t xml:space="preserve">An alternative approach would be to use utilization distributions (UDs) to infer spatial and temporal contact and transmission probabilistically. An individual’s UD is defined as the probability—either transient or in the long-run (Tao </w:t>
      </w:r>
      <w:r>
        <w:rPr>
          <w:i/>
          <w:iCs/>
        </w:rPr>
        <w:t>et al.</w:t>
      </w:r>
      <w:r>
        <w:t xml:space="preserve"> 2016)—that it uses a particular area on a landscape (Worton 1989), and is perhaps the best representation of the long-term relationship between environment and use of space over different time scales Webber </w:t>
      </w:r>
      <w:r>
        <w:rPr>
          <w:i/>
          <w:iCs/>
        </w:rPr>
        <w:t>et al.</w:t>
      </w:r>
      <w:r>
        <w:t xml:space="preserve"> (2023). The high spatial and temporal resolution of modern tracking data serves to build UDs based on biologically realistic movement models (Kranstauber </w:t>
      </w:r>
      <w:r>
        <w:rPr>
          <w:i/>
          <w:iCs/>
        </w:rPr>
        <w:t>et al.</w:t>
      </w:r>
      <w:r>
        <w:t xml:space="preserve"> 2012; Fleming </w:t>
      </w:r>
      <w:r>
        <w:rPr>
          <w:i/>
          <w:iCs/>
        </w:rPr>
        <w:t>et al.</w:t>
      </w:r>
      <w:r>
        <w:t xml:space="preserve"> 2014), and to link them with underlying resources (Potts &amp; Börger 2023). Individually defined UDs can be combined to study pairwise interactions, for example to quantify the degree of overlap between home ranges (Winner </w:t>
      </w:r>
      <w:r>
        <w:rPr>
          <w:i/>
          <w:iCs/>
        </w:rPr>
        <w:t>et al.</w:t>
      </w:r>
      <w:r>
        <w:t xml:space="preserve"> 2018), or to estimate the expected location and rate of encounter between individuals (Noonan </w:t>
      </w:r>
      <w:r>
        <w:rPr>
          <w:i/>
          <w:iCs/>
        </w:rPr>
        <w:t>et al.</w:t>
      </w:r>
      <w:r>
        <w:t xml:space="preserve"> 2021), which could be used to infer contact and transmission (Godfrey </w:t>
      </w:r>
      <w:r>
        <w:rPr>
          <w:i/>
          <w:iCs/>
        </w:rPr>
        <w:t>et al.</w:t>
      </w:r>
      <w:r>
        <w:t xml:space="preserve"> 2010; Godfrey 2013; Noonan </w:t>
      </w:r>
      <w:r>
        <w:rPr>
          <w:i/>
          <w:iCs/>
        </w:rPr>
        <w:t>et al.</w:t>
      </w:r>
      <w:r>
        <w:t xml:space="preserve"> 2021). Moreover, because UDs can be directly linked to environmental drivers of movement (Signer </w:t>
      </w:r>
      <w:r>
        <w:rPr>
          <w:i/>
          <w:iCs/>
        </w:rPr>
        <w:t>et al.</w:t>
      </w:r>
      <w:r>
        <w:t xml:space="preserve"> 2017), they have the potential to predict contact and transmission in novel environments and can also be used for prospective analyses to understand how the effects of environmental and social perturbations cascade across scales, from individual movement to population and landscape-level disease transmission.</w:t>
      </w:r>
    </w:p>
    <w:p w14:paraId="509F14CD" w14:textId="77777777" w:rsidR="00262585" w:rsidRDefault="00000000">
      <w:pPr>
        <w:pStyle w:val="BodyText"/>
      </w:pPr>
      <w:r>
        <w:t xml:space="preserve">Current contact metrics based on UDs focus only on direct interaction, ignoring temporal dynamics that are especially relevant for epidemiological processes. The Conditional Distribution of Encounters (CDE) (Noonan </w:t>
      </w:r>
      <w:r>
        <w:rPr>
          <w:i/>
          <w:iCs/>
        </w:rPr>
        <w:t>et al.</w:t>
      </w:r>
      <w:r>
        <w:t xml:space="preserve"> 2021), for example, estimates the probability that two individuals will come into contact with each other at a given location, assuming that individuals move independently from each other. While a useful simplification, social interactions like territoriality or gregariousness can invalidate this assumption (Manlove </w:t>
      </w:r>
      <w:r>
        <w:rPr>
          <w:i/>
          <w:iCs/>
        </w:rPr>
        <w:t>et al.</w:t>
      </w:r>
      <w:r>
        <w:t xml:space="preserve"> 2018; Sah </w:t>
      </w:r>
      <w:r>
        <w:rPr>
          <w:i/>
          <w:iCs/>
        </w:rPr>
        <w:t>et al.</w:t>
      </w:r>
      <w:r>
        <w:t xml:space="preserve"> 2018). In these cases, temporal correlations in space use could increase or decrease the expected probability of encounter compared to an assumption of independent movement (Kjær </w:t>
      </w:r>
      <w:r>
        <w:rPr>
          <w:i/>
          <w:iCs/>
        </w:rPr>
        <w:t>et al.</w:t>
      </w:r>
      <w:r>
        <w:t xml:space="preserve"> 2008; Schauber </w:t>
      </w:r>
      <w:r>
        <w:rPr>
          <w:i/>
          <w:iCs/>
        </w:rPr>
        <w:t>et al.</w:t>
      </w:r>
      <w:r>
        <w:t xml:space="preserve"> 2015). Moreover, direct interactions do not necessarily equate to </w:t>
      </w:r>
      <w:r>
        <w:rPr>
          <w:i/>
          <w:iCs/>
        </w:rPr>
        <w:t>epidemiological contacts</w:t>
      </w:r>
      <w:r>
        <w:t xml:space="preserve">, which consist of contact formation, contact duration, pathogen acquisition, pathogen shedding, and pathogen decay. As some parasites can persist in the environment for months or years (e.g. anthrax, CWD), ignoring these processes could severely underestimate the risk of transmission (Richardson &amp; Gorochowski 2015; Wilber </w:t>
      </w:r>
      <w:r>
        <w:rPr>
          <w:i/>
          <w:iCs/>
        </w:rPr>
        <w:t>et al.</w:t>
      </w:r>
      <w:r>
        <w:t xml:space="preserve"> 2022; Yang </w:t>
      </w:r>
      <w:r>
        <w:rPr>
          <w:i/>
          <w:iCs/>
        </w:rPr>
        <w:t>et al.</w:t>
      </w:r>
      <w:r>
        <w:t xml:space="preserve"> 2023).</w:t>
      </w:r>
    </w:p>
    <w:p w14:paraId="01EDE29B" w14:textId="77777777" w:rsidR="00262585" w:rsidRDefault="00000000">
      <w:pPr>
        <w:pStyle w:val="BodyText"/>
      </w:pPr>
      <w:r>
        <w:t xml:space="preserve">In general, we lack a way to quantify the role of social interactions on spatio-temporal force of infection, which limits our ability to assess when ignoring correlated movements actually matters when assessing infection risk. One of our goals in this study is to ask: how much can correlated, social movements affect spatio-temporal infection risk for directly and indirectly transmitted pathogens? A large portion of epidemiological theory is built upon the assumption of independent host movements in the presence or absence of spatial </w:t>
      </w:r>
      <w:r>
        <w:lastRenderedPageBreak/>
        <w:t xml:space="preserve">heterogeneity, but there is very little theory that quantifies how correlated movements affect contact and transmission risk. In contrast, there is a large body of empirical work that empirically quantifies how correlated and social movements can reshape contact and transmission landscapes (Kjær </w:t>
      </w:r>
      <w:r>
        <w:rPr>
          <w:i/>
          <w:iCs/>
        </w:rPr>
        <w:t>et al.</w:t>
      </w:r>
      <w:r>
        <w:t xml:space="preserve"> 2008; Grear </w:t>
      </w:r>
      <w:r>
        <w:rPr>
          <w:i/>
          <w:iCs/>
        </w:rPr>
        <w:t>et al.</w:t>
      </w:r>
      <w:r>
        <w:t xml:space="preserve"> 2010; Schauber </w:t>
      </w:r>
      <w:r>
        <w:rPr>
          <w:i/>
          <w:iCs/>
        </w:rPr>
        <w:t>et al.</w:t>
      </w:r>
      <w:r>
        <w:t xml:space="preserve"> 2015; Webber </w:t>
      </w:r>
      <w:r>
        <w:rPr>
          <w:i/>
          <w:iCs/>
        </w:rPr>
        <w:t>et al.</w:t>
      </w:r>
      <w:r>
        <w:t xml:space="preserve"> 2023) [other citations from non-deer systems needed]. Bridging this gap from what we observe empirically to what we expect theoretically is a key missing link. While the previously developed MoveSTIR implicitly accounts for such correlations, it only applies for observed data. In contrast, the CDE provides a basis for estimating encounter probabilities across the landscape, but ignores correlations and temporal dynamics of indirect contact. Ultimately, an approach is needed that combines the range-distribution inference of UDs and CDEs (Noonan </w:t>
      </w:r>
      <w:r>
        <w:rPr>
          <w:i/>
          <w:iCs/>
        </w:rPr>
        <w:t>et al.</w:t>
      </w:r>
      <w:r>
        <w:t xml:space="preserve"> 2021; Alston </w:t>
      </w:r>
      <w:r>
        <w:rPr>
          <w:i/>
          <w:iCs/>
        </w:rPr>
        <w:t>et al.</w:t>
      </w:r>
      <w:r>
        <w:t xml:space="preserve"> 2022) with the epidemiological focus of MoveSTIR to link UDs to epidemiological dynamics.</w:t>
      </w:r>
    </w:p>
    <w:p w14:paraId="1E1AF787" w14:textId="77777777" w:rsidR="00262585" w:rsidRDefault="00000000">
      <w:pPr>
        <w:pStyle w:val="BodyText"/>
      </w:pPr>
      <w:r>
        <w:t>Here, we develop a model we refer to as Probabilistic MoveSTIR (PMoveSTIR) to estimate epidemiological contact and expected force of infection across space and time from UDs. Our approach provides probabilistic, spatio-temporal contact networks that can be used to predict out-of-sample transmission risk under independent movements. We first derive the most general PMoveSTIR model using transient UDs and then provide different modifications to consider heterogeneities in space and time. We show how PMoveSTIR encompasses other common assumptions such as mass action transmission and home range overlap transmission as special cases. Deriving analytical results and applying PMoveSTIR to simulated movement data, we demonstrate the sometimes sizable importance of non-independent movements on pairwise transmission risk, indicating that ignoring the social drivers of contact could severely bias epidemiological inference. However, our simulations show that this result primarily holds for directly transmitted parasites. For parasites that persist for long periods of time in the environment, non-independent host movements are largely inconsequential compared to spatial overlap for transmission risk. We demonstrate this result empirically using a dataset of white-tail deer movements and show that empirically observed correlated movements can increase potential force of infection by orders of magnitude for a hypothetical directly transmitted parasite but are relatively unimportant for a hypothetical parasite with long persistence times. Overall, PMoveSTIR is a critical next step for developing predictive models that link movement data to spatio-temporal infection dynamics on real landscapes.</w:t>
      </w:r>
    </w:p>
    <w:p w14:paraId="0B96B7C3" w14:textId="77777777" w:rsidR="00262585" w:rsidRDefault="00000000">
      <w:pPr>
        <w:pStyle w:val="Heading1"/>
      </w:pPr>
      <w:bookmarkStart w:id="2" w:name="methods"/>
      <w:bookmarkEnd w:id="1"/>
      <w:commentRangeStart w:id="3"/>
      <w:r>
        <w:t>Methods</w:t>
      </w:r>
      <w:commentRangeEnd w:id="3"/>
      <w:r w:rsidR="00A63D03">
        <w:rPr>
          <w:rStyle w:val="CommentReference"/>
          <w:rFonts w:asciiTheme="minorHAnsi" w:eastAsiaTheme="minorHAnsi" w:hAnsiTheme="minorHAnsi" w:cstheme="minorBidi"/>
          <w:b w:val="0"/>
          <w:bCs w:val="0"/>
          <w:color w:val="auto"/>
        </w:rPr>
        <w:commentReference w:id="3"/>
      </w:r>
    </w:p>
    <w:p w14:paraId="3014636C" w14:textId="77777777" w:rsidR="00262585" w:rsidRDefault="00000000">
      <w:pPr>
        <w:pStyle w:val="Heading2"/>
      </w:pPr>
      <w:bookmarkStart w:id="4" w:name="Xf34a305a319fa534c97ba86a4b91e20b7201c2a"/>
      <w:r>
        <w:t>Model development - Linking utilization distributions to transmission through PMoveSTIR</w:t>
      </w:r>
    </w:p>
    <w:p w14:paraId="1936E6D3" w14:textId="77777777" w:rsidR="00262585" w:rsidRDefault="00000000">
      <w:pPr>
        <w:pStyle w:val="FirstParagraph"/>
      </w:pPr>
      <w:r>
        <w:t xml:space="preserve">PMoveSTIR builds on the recently developed MoveSTIR model (Wilber </w:t>
      </w:r>
      <w:r>
        <w:rPr>
          <w:i/>
          <w:iCs/>
        </w:rPr>
        <w:t>et al.</w:t>
      </w:r>
      <w:r>
        <w:t xml:space="preserve"> 2022) and formally links host utilization distributions, direct and indirect contacts, correlated animal movements, and spatial estimates of force of infection (FOI). This an essential quantity in disease ecology that underlies our ability to predict the spread of disease across populations and landscapes. Essentially, we want to know, for two individuals </w:t>
      </w:r>
      <m:oMath>
        <m:r>
          <w:rPr>
            <w:rFonts w:ascii="Cambria Math" w:hAnsi="Cambria Math"/>
          </w:rPr>
          <m:t>i</m:t>
        </m:r>
      </m:oMath>
      <w:r>
        <w:t xml:space="preserve"> and </w:t>
      </w:r>
      <m:oMath>
        <m:r>
          <w:rPr>
            <w:rFonts w:ascii="Cambria Math" w:hAnsi="Cambria Math"/>
          </w:rPr>
          <m:t>j</m:t>
        </m:r>
      </m:oMath>
      <w:r>
        <w:t xml:space="preserve"> </w:t>
      </w:r>
      <w:r>
        <w:lastRenderedPageBreak/>
        <w:t xml:space="preserve">moving and interacting across a landscape, what is the FOI host </w:t>
      </w:r>
      <m:oMath>
        <m:r>
          <w:rPr>
            <w:rFonts w:ascii="Cambria Math" w:hAnsi="Cambria Math"/>
          </w:rPr>
          <m:t>i</m:t>
        </m:r>
      </m:oMath>
      <w:r>
        <w:t xml:space="preserve"> experiences from host </w:t>
      </w:r>
      <m:oMath>
        <m:r>
          <w:rPr>
            <w:rFonts w:ascii="Cambria Math" w:hAnsi="Cambria Math"/>
          </w:rPr>
          <m:t>j</m:t>
        </m:r>
      </m:oMath>
      <w:r>
        <w:t>, across space and time?</w:t>
      </w:r>
    </w:p>
    <w:p w14:paraId="6A41F628" w14:textId="77777777" w:rsidR="00262585" w:rsidRDefault="00000000">
      <w:pPr>
        <w:pStyle w:val="BodyText"/>
      </w:pPr>
      <w:r>
        <w:t xml:space="preserve">As in MoveSTIR, we assume that transmission happens by an infected host depositing pathogen into the environment and another host picking that pathogen up. Deposition and acquisition can represent a range of processes, from one individual coughing and another inhaling in a matter of seconds, to one host depositing parasite eggs or larvae in the environment and another individual consuming these days or weeks later. This fairly general assumption encompasses standard density-dependent transmission as a special case (Cortez &amp; Duffy 2021). Moreover, considering transmission through deposition and acquisition components clearly links direct transmission and indirect transmission along a continuum (Wilber </w:t>
      </w:r>
      <w:r>
        <w:rPr>
          <w:i/>
          <w:iCs/>
        </w:rPr>
        <w:t>et al.</w:t>
      </w:r>
      <w:r>
        <w:t xml:space="preserve"> 2022).</w:t>
      </w:r>
    </w:p>
    <w:p w14:paraId="7F8D3DA2" w14:textId="77777777" w:rsidR="00262585" w:rsidRDefault="00000000">
      <w:pPr>
        <w:pStyle w:val="BodyText"/>
      </w:pPr>
      <w:r>
        <w:t xml:space="preserve">In PMoveSTIR, we assume a “contact” can occur if both individuals visit a given location </w:t>
      </w:r>
      <m:oMath>
        <m:r>
          <w:rPr>
            <w:rFonts w:ascii="Cambria Math" w:hAnsi="Cambria Math"/>
          </w:rPr>
          <m:t>x</m:t>
        </m:r>
      </m:oMath>
      <w:r>
        <w:t xml:space="preserve">, which could be a habitat patch or a grid cell. For the results we discuss in the main text, we assume that locations </w:t>
      </w:r>
      <m:oMath>
        <m:r>
          <w:rPr>
            <w:rFonts w:ascii="Cambria Math" w:hAnsi="Cambria Math"/>
          </w:rPr>
          <m:t>x</m:t>
        </m:r>
      </m:oMath>
      <w:r>
        <w:t xml:space="preserve"> on the landscape do not overlap such that summing the areas of locations </w:t>
      </w:r>
      <m:oMath>
        <m:r>
          <w:rPr>
            <w:rFonts w:ascii="Cambria Math" w:hAnsi="Cambria Math"/>
          </w:rPr>
          <m:t>x</m:t>
        </m:r>
      </m:oMath>
      <w:r>
        <w:t xml:space="preserve"> equals some total area over which individuals can move (in Appendix 1 we provide a derivation when </w:t>
      </w:r>
      <m:oMath>
        <m:r>
          <w:rPr>
            <w:rFonts w:ascii="Cambria Math" w:hAnsi="Cambria Math"/>
          </w:rPr>
          <m:t>x</m:t>
        </m:r>
      </m:oMath>
      <w:r>
        <w:t xml:space="preserve"> is a point, not an area, on the landscape). Furthermore, we assume that the likelihood of contact is uniform within the location </w:t>
      </w:r>
      <m:oMath>
        <m:r>
          <w:rPr>
            <w:rFonts w:ascii="Cambria Math" w:hAnsi="Cambria Math"/>
          </w:rPr>
          <m:t>x</m:t>
        </m:r>
      </m:oMath>
      <w:r>
        <w:t xml:space="preserve">, consistent with a so-called top-hat encounter function (Gurarie &amp; Ovaskainen 2013; Wilber </w:t>
      </w:r>
      <w:r>
        <w:rPr>
          <w:i/>
          <w:iCs/>
        </w:rPr>
        <w:t>et al.</w:t>
      </w:r>
      <w:r>
        <w:t xml:space="preserve"> 2022).</w:t>
      </w:r>
    </w:p>
    <w:p w14:paraId="68827FA3" w14:textId="77777777" w:rsidR="00262585" w:rsidRDefault="00000000">
      <w:pPr>
        <w:pStyle w:val="BodyText"/>
      </w:pPr>
      <w:r>
        <w:t xml:space="preserve">Given these assumptions, we can define the pairwise force of infection felt by host </w:t>
      </w:r>
      <m:oMath>
        <m:r>
          <w:rPr>
            <w:rFonts w:ascii="Cambria Math" w:hAnsi="Cambria Math"/>
          </w:rPr>
          <m:t>i</m:t>
        </m:r>
      </m:oMath>
      <w:r>
        <w:t xml:space="preserve"> from host </w:t>
      </w:r>
      <m:oMath>
        <m:r>
          <w:rPr>
            <w:rFonts w:ascii="Cambria Math" w:hAnsi="Cambria Math"/>
          </w:rPr>
          <m:t>j</m:t>
        </m:r>
      </m:oMath>
      <w:r>
        <w:t xml:space="preserve"> in location </w:t>
      </w:r>
      <m:oMath>
        <m:r>
          <w:rPr>
            <w:rFonts w:ascii="Cambria Math" w:hAnsi="Cambria Math"/>
          </w:rPr>
          <m:t>x</m:t>
        </m:r>
      </m:oMath>
      <w:r>
        <w:t xml:space="preserve"> at time </w:t>
      </w:r>
      <m:oMath>
        <m:r>
          <w:rPr>
            <w:rFonts w:ascii="Cambria Math" w:hAnsi="Cambria Math"/>
          </w:rPr>
          <m:t>t</m:t>
        </m:r>
      </m:oMath>
      <w:r>
        <w:t xml:space="preserve"> as (Wilber </w:t>
      </w:r>
      <w:r>
        <w:rPr>
          <w:i/>
          <w:iCs/>
        </w:rPr>
        <w:t>et al.</w:t>
      </w:r>
      <w:r>
        <w:t xml:space="preserve"> 2022)</w:t>
      </w:r>
    </w:p>
    <w:p w14:paraId="71677FEE" w14:textId="77777777" w:rsidR="00262585"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r>
                <w:rPr>
                  <w:rFonts w:ascii="Cambria Math" w:hAnsi="Cambria Math"/>
                </w:rPr>
                <m:t>β</m:t>
              </m:r>
            </m:e>
          </m:nary>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I</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I</m:t>
              </m:r>
            </m:e>
          </m:d>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du</m:t>
          </m:r>
        </m:oMath>
      </m:oMathPara>
    </w:p>
    <w:p w14:paraId="31F100B0" w14:textId="77AEE014" w:rsidR="00220001" w:rsidRDefault="00220001">
      <w:pPr>
        <w:pStyle w:val="FirstParagraph"/>
      </w:pPr>
      <w:r>
        <w:t>(Equation 1)</w:t>
      </w:r>
    </w:p>
    <w:p w14:paraId="2AA3C6FF" w14:textId="4E3DBFB9" w:rsidR="00262585" w:rsidRDefault="00000000">
      <w:pPr>
        <w:pStyle w:val="FirstParagraph"/>
      </w:pPr>
      <w:r>
        <w:t xml:space="preserve">where </w:t>
      </w:r>
      <m:oMath>
        <m:r>
          <w:rPr>
            <w:rFonts w:ascii="Cambria Math" w:hAnsi="Cambria Math"/>
          </w:rPr>
          <m:t>λ</m:t>
        </m:r>
      </m:oMath>
      <w:r>
        <w:t xml:space="preserve"> is the pathogen deposition rate of host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oMath>
      <w:r>
        <w:t xml:space="preserve"> is an indicator variable that is one if host </w:t>
      </w:r>
      <m:oMath>
        <m:r>
          <w:rPr>
            <w:rFonts w:ascii="Cambria Math" w:hAnsi="Cambria Math"/>
          </w:rPr>
          <m:t>j</m:t>
        </m:r>
      </m:oMath>
      <w:r>
        <w:t xml:space="preserve"> is in location </w:t>
      </w:r>
      <m:oMath>
        <m:r>
          <w:rPr>
            <w:rFonts w:ascii="Cambria Math" w:hAnsi="Cambria Math"/>
          </w:rPr>
          <m:t>x</m:t>
        </m:r>
      </m:oMath>
      <w:r>
        <w:t xml:space="preserve"> at time </w:t>
      </w:r>
      <m:oMath>
        <m:r>
          <w:rPr>
            <w:rFonts w:ascii="Cambria Math" w:hAnsi="Cambria Math"/>
          </w:rPr>
          <m:t>u</m:t>
        </m:r>
      </m:oMath>
      <w:r>
        <w:t xml:space="preserve"> and zero otherwise,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I</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I</m:t>
            </m:r>
          </m:e>
        </m:d>
      </m:oMath>
      <w:r>
        <w:t xml:space="preserve"> is an indicator function that is one if host </w:t>
      </w:r>
      <m:oMath>
        <m:r>
          <w:rPr>
            <w:rFonts w:ascii="Cambria Math" w:hAnsi="Cambria Math"/>
          </w:rPr>
          <m:t>j</m:t>
        </m:r>
      </m:oMath>
      <w:r>
        <w:t xml:space="preserve"> is in an infected state at time </w:t>
      </w:r>
      <m:oMath>
        <m:r>
          <w:rPr>
            <w:rFonts w:ascii="Cambria Math" w:hAnsi="Cambria Math"/>
          </w:rPr>
          <m:t>u</m:t>
        </m:r>
      </m:oMath>
      <w:r>
        <w:t xml:space="preserve"> and zero otherwise, and </w:t>
      </w:r>
      <m:oMath>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oMath>
      <w:r>
        <w:t xml:space="preserve"> is the probability that any pathogen deposited at time </w:t>
      </w:r>
      <m:oMath>
        <m:r>
          <w:rPr>
            <w:rFonts w:ascii="Cambria Math" w:hAnsi="Cambria Math"/>
          </w:rPr>
          <m:t>u</m:t>
        </m:r>
        <m:r>
          <m:rPr>
            <m:sty m:val="p"/>
          </m:rPr>
          <w:rPr>
            <w:rFonts w:ascii="Cambria Math" w:hAnsi="Cambria Math"/>
          </w:rPr>
          <m:t>&lt;</m:t>
        </m:r>
        <m:r>
          <w:rPr>
            <w:rFonts w:ascii="Cambria Math" w:hAnsi="Cambria Math"/>
          </w:rPr>
          <m:t>t</m:t>
        </m:r>
      </m:oMath>
      <w:r>
        <w:t xml:space="preserve"> is still alive at time </w:t>
      </w:r>
      <m:oMath>
        <m:r>
          <w:rPr>
            <w:rFonts w:ascii="Cambria Math" w:hAnsi="Cambria Math"/>
          </w:rPr>
          <m:t>t</m:t>
        </m:r>
      </m:oMath>
      <w:r>
        <w:t xml:space="preserve"> (see Wilber </w:t>
      </w:r>
      <w:r>
        <w:rPr>
          <w:i/>
          <w:iCs/>
        </w:rPr>
        <w:t>et al.</w:t>
      </w:r>
      <w:r>
        <w:t xml:space="preserve"> 2022, for a full derivation). The term </w:t>
      </w:r>
      <m:oMath>
        <m:r>
          <w:rPr>
            <w:rFonts w:ascii="Cambria Math" w:hAnsi="Cambria Math"/>
          </w:rPr>
          <m:t>β</m:t>
        </m:r>
        <m:r>
          <m:rPr>
            <m:sty m:val="p"/>
          </m:rPr>
          <w:rPr>
            <w:rFonts w:ascii="Cambria Math" w:hAnsi="Cambria Math"/>
          </w:rPr>
          <m:t>'</m:t>
        </m:r>
      </m:oMath>
      <w:r>
        <w:t xml:space="preserve"> is the rate at which host </w:t>
      </w:r>
      <m:oMath>
        <m:r>
          <w:rPr>
            <w:rFonts w:ascii="Cambria Math" w:hAnsi="Cambria Math"/>
          </w:rPr>
          <m:t>i</m:t>
        </m:r>
      </m:oMath>
      <w:r>
        <w:t xml:space="preserve"> picks up pathogen within the location </w:t>
      </w:r>
      <m:oMath>
        <m:r>
          <w:rPr>
            <w:rFonts w:ascii="Cambria Math" w:hAnsi="Cambria Math"/>
          </w:rPr>
          <m:t>x</m:t>
        </m:r>
      </m:oMath>
      <w:r>
        <w:t xml:space="preserve"> and can be re-written as </w:t>
      </w:r>
      <m:oMath>
        <m:acc>
          <m:accPr>
            <m:chr m:val="̃"/>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where </w:t>
      </w:r>
      <m:oMath>
        <m:acc>
          <m:accPr>
            <m:chr m:val="̃"/>
            <m:ctrlPr>
              <w:rPr>
                <w:rFonts w:ascii="Cambria Math" w:hAnsi="Cambria Math"/>
              </w:rPr>
            </m:ctrlPr>
          </m:accPr>
          <m:e>
            <m:r>
              <w:rPr>
                <w:rFonts w:ascii="Cambria Math" w:hAnsi="Cambria Math"/>
              </w:rPr>
              <m:t>β</m:t>
            </m:r>
          </m:e>
        </m:acc>
      </m:oMath>
      <w:r>
        <w:t xml:space="preserve"> can be considered a “search efficiency” term, with units area/time (e.g., </w:t>
      </w:r>
      <m:oMath>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day</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gives the area of location </w:t>
      </w:r>
      <m:oMath>
        <m:r>
          <w:rPr>
            <w:rFonts w:ascii="Cambria Math" w:hAnsi="Cambria Math"/>
          </w:rPr>
          <m:t>x</m:t>
        </m:r>
      </m:oMath>
      <w:r>
        <w:t xml:space="preserve"> (e.g., 100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Therefore, the total acquisition rate scales with the area in which contact can occur; in larger areas, the acquiring host would have to search for longer to find a “packet” of pathogen, reducing the host’s total acquisition rate and the corresponding FOI. Moving forward, we assume that host </w:t>
      </w:r>
      <m:oMath>
        <m:r>
          <w:rPr>
            <w:rFonts w:ascii="Cambria Math" w:hAnsi="Cambria Math"/>
          </w:rPr>
          <m:t>j</m:t>
        </m:r>
      </m:oMath>
      <w:r>
        <w:t xml:space="preserve"> (the depositing host) is always infected. This is equivalent to building a contact network and also represents the structural form of FOI needed to compute pathogen invasion thresholds (Wilber </w:t>
      </w:r>
      <w:r>
        <w:rPr>
          <w:i/>
          <w:iCs/>
        </w:rPr>
        <w:t>et al.</w:t>
      </w:r>
      <w:r>
        <w:t xml:space="preserve"> 2022).</w:t>
      </w:r>
    </w:p>
    <w:p w14:paraId="6815EFF0" w14:textId="3A5C2CB4" w:rsidR="00262585" w:rsidRDefault="00000000">
      <w:pPr>
        <w:pStyle w:val="BodyText"/>
      </w:pPr>
      <w:r>
        <w:t xml:space="preserve">Considering probabilistic movements (i.e., we only know where an individual is with some probability at a given time), we can then re-write equation </w:t>
      </w:r>
      <w:r w:rsidR="00220001">
        <w:t>1</w:t>
      </w:r>
      <w:r>
        <w:t xml:space="preserve"> as</w:t>
      </w:r>
    </w:p>
    <w:p w14:paraId="2CA2B915" w14:textId="77777777" w:rsidR="00262585"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r>
                <w:rPr>
                  <w:rFonts w:ascii="Cambria Math" w:hAnsi="Cambria Math"/>
                </w:rPr>
                <m:t>β</m:t>
              </m:r>
            </m:e>
          </m:nary>
          <m:r>
            <m:rPr>
              <m:sty m:val="p"/>
            </m:rPr>
            <w:rPr>
              <w:rFonts w:ascii="Cambria Math" w:hAnsi="Cambria Math"/>
            </w:rPr>
            <m:t>'</m:t>
          </m:r>
          <m:r>
            <w:rPr>
              <w:rFonts w:ascii="Cambria Math" w:hAnsi="Cambria Math"/>
            </w:rPr>
            <m:t>λδ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du</m:t>
          </m:r>
        </m:oMath>
      </m:oMathPara>
    </w:p>
    <w:p w14:paraId="057635EC" w14:textId="5B92F4E0" w:rsidR="00220001" w:rsidRDefault="00220001">
      <w:pPr>
        <w:pStyle w:val="FirstParagraph"/>
      </w:pPr>
    </w:p>
    <w:p w14:paraId="71D80DE6" w14:textId="7B700988" w:rsidR="00220001" w:rsidRDefault="00220001">
      <w:pPr>
        <w:pStyle w:val="FirstParagraph"/>
      </w:pPr>
      <w:r>
        <w:t>(Equation 2)</w:t>
      </w:r>
    </w:p>
    <w:p w14:paraId="79A32DDF" w14:textId="2ADCC0AA" w:rsidR="00262585" w:rsidRDefault="00000000">
      <w:pPr>
        <w:pStyle w:val="FirstParagraph"/>
      </w:pPr>
      <w:r>
        <w:t xml:space="preserve">where </w:t>
      </w:r>
      <m:oMath>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oMath>
      <w:r>
        <w:t xml:space="preserve"> and </w:t>
      </w:r>
      <m:oMath>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oMath>
      <w:r>
        <w:t xml:space="preserve"> are random variables that specify </w:t>
      </w:r>
      <w:proofErr w:type="gramStart"/>
      <w:r>
        <w:t>whether or not</w:t>
      </w:r>
      <w:proofErr w:type="gramEnd"/>
      <w:r>
        <w:t xml:space="preserve"> (i.e., 0 or 1) host </w:t>
      </w:r>
      <m:oMath>
        <m:r>
          <w:rPr>
            <w:rFonts w:ascii="Cambria Math" w:hAnsi="Cambria Math"/>
          </w:rPr>
          <m:t>i</m:t>
        </m:r>
      </m:oMath>
      <w:r>
        <w:t xml:space="preserve"> or host </w:t>
      </w:r>
      <m:oMath>
        <m:r>
          <w:rPr>
            <w:rFonts w:ascii="Cambria Math" w:hAnsi="Cambria Math"/>
          </w:rPr>
          <m:t>j</m:t>
        </m:r>
      </m:oMath>
      <w:r>
        <w:t xml:space="preserve"> is in location </w:t>
      </w:r>
      <m:oMath>
        <m:r>
          <w:rPr>
            <w:rFonts w:ascii="Cambria Math" w:hAnsi="Cambria Math"/>
          </w:rPr>
          <m:t>x</m:t>
        </m:r>
      </m:oMath>
      <w:r>
        <w:t xml:space="preserve"> at time </w:t>
      </w:r>
      <m:oMath>
        <m:r>
          <w:rPr>
            <w:rFonts w:ascii="Cambria Math" w:hAnsi="Cambria Math"/>
          </w:rPr>
          <m:t>t</m:t>
        </m:r>
      </m:oMath>
      <w:r>
        <w:t xml:space="preserve">. This means that </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x</m:t>
            </m:r>
          </m:e>
        </m:d>
      </m:oMath>
      <w:r>
        <w:t xml:space="preserve"> is also a random variable, and we can express its expected value as</w:t>
      </w:r>
    </w:p>
    <w:p w14:paraId="137DAA56" w14:textId="538636C6" w:rsidR="00220001" w:rsidRDefault="00000000" w:rsidP="00220001">
      <w:pPr>
        <w:pStyle w:val="BodyText"/>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x</m:t>
                  </m:r>
                </m:e>
              </m:d>
            </m:e>
          </m:d>
          <m:box>
            <m:boxPr>
              <m:opEmu m:val="1"/>
              <m:ctrlPr>
                <w:rPr>
                  <w:rFonts w:ascii="Cambria Math" w:hAnsi="Cambria Math"/>
                </w:rPr>
              </m:ctrlPr>
            </m:boxPr>
            <m:e>
              <m:r>
                <m:rPr>
                  <m:sty m:val="p"/>
                </m:rPr>
                <w:rPr>
                  <w:rFonts w:ascii="Cambria Math" w:hAnsi="Cambria Math"/>
                </w:rPr>
                <m:t>:=</m:t>
              </m:r>
            </m:e>
          </m:box>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r>
                <w:rPr>
                  <w:rFonts w:ascii="Cambria Math" w:hAnsi="Cambria Math"/>
                </w:rPr>
                <m:t>β</m:t>
              </m:r>
            </m:e>
          </m:nary>
          <m:r>
            <m:rPr>
              <m:sty m:val="p"/>
            </m:rPr>
            <w:rPr>
              <w:rFonts w:ascii="Cambria Math" w:hAnsi="Cambria Math"/>
            </w:rPr>
            <m:t>'</m:t>
          </m:r>
          <m:r>
            <w:rPr>
              <w:rFonts w:ascii="Cambria Math" w:hAnsi="Cambria Math"/>
            </w:rPr>
            <m:t>λE</m:t>
          </m:r>
          <m:d>
            <m:dPr>
              <m:begChr m:val="["/>
              <m:endChr m:val="]"/>
              <m:ctrlPr>
                <w:rPr>
                  <w:rFonts w:ascii="Cambria Math" w:hAnsi="Cambria Math"/>
                </w:rPr>
              </m:ctrlPr>
            </m:dPr>
            <m:e>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e>
          </m:d>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du</m:t>
          </m:r>
          <m:r>
            <m:rPr>
              <m:sty m:val="p"/>
            </m:rPr>
            <w:rPr>
              <w:rFonts w:ascii="Cambria Math" w:hAnsi="Cambria Math"/>
            </w:rPr>
            <m:t>.</m:t>
          </m:r>
        </m:oMath>
      </m:oMathPara>
    </w:p>
    <w:p w14:paraId="40426697" w14:textId="420D39FB" w:rsidR="00220001" w:rsidRDefault="00220001">
      <w:pPr>
        <w:pStyle w:val="FirstParagraph"/>
      </w:pPr>
      <w:r>
        <w:t>(Equation 3)</w:t>
      </w:r>
    </w:p>
    <w:p w14:paraId="6A08F0B6" w14:textId="5EF03587" w:rsidR="00262585" w:rsidRDefault="00000000">
      <w:pPr>
        <w:pStyle w:val="FirstParagraph"/>
      </w:pPr>
      <w:r>
        <w:t xml:space="preserve">Interpreting this expectation, we are asking: if we simulated some movement process thousands of times, what is the probability that host </w:t>
      </w:r>
      <m:oMath>
        <m:r>
          <w:rPr>
            <w:rFonts w:ascii="Cambria Math" w:hAnsi="Cambria Math"/>
          </w:rPr>
          <m:t>i</m:t>
        </m:r>
      </m:oMath>
      <w:r>
        <w:t xml:space="preserve"> is in location </w:t>
      </w:r>
      <m:oMath>
        <m:r>
          <w:rPr>
            <w:rFonts w:ascii="Cambria Math" w:hAnsi="Cambria Math"/>
          </w:rPr>
          <m:t>x</m:t>
        </m:r>
      </m:oMath>
      <w:r>
        <w:t xml:space="preserve"> at time </w:t>
      </w:r>
      <m:oMath>
        <m:r>
          <w:rPr>
            <w:rFonts w:ascii="Cambria Math" w:hAnsi="Cambria Math"/>
          </w:rPr>
          <m:t>t</m:t>
        </m:r>
      </m:oMath>
      <w:r>
        <w:t xml:space="preserve"> and host </w:t>
      </w:r>
      <m:oMath>
        <m:r>
          <w:rPr>
            <w:rFonts w:ascii="Cambria Math" w:hAnsi="Cambria Math"/>
          </w:rPr>
          <m:t>j</m:t>
        </m:r>
      </m:oMath>
      <w:r>
        <w:t xml:space="preserve"> was in location </w:t>
      </w:r>
      <m:oMath>
        <m:r>
          <w:rPr>
            <w:rFonts w:ascii="Cambria Math" w:hAnsi="Cambria Math"/>
          </w:rPr>
          <m:t>x</m:t>
        </m:r>
      </m:oMath>
      <w:r>
        <w:t xml:space="preserve"> at a previous time </w:t>
      </w:r>
      <m:oMath>
        <m:r>
          <w:rPr>
            <w:rFonts w:ascii="Cambria Math" w:hAnsi="Cambria Math"/>
          </w:rPr>
          <m:t>u</m:t>
        </m:r>
      </m:oMath>
      <w:r>
        <w:t>?</w:t>
      </w:r>
    </w:p>
    <w:p w14:paraId="74077019" w14:textId="2DE33D92" w:rsidR="00262585" w:rsidRDefault="00000000">
      <w:pPr>
        <w:pStyle w:val="Heading3"/>
      </w:pPr>
      <w:bookmarkStart w:id="5" w:name="X3bc1f04d10421b72f5eb6b74a360d3d72ed9d9d"/>
      <w:r>
        <w:t xml:space="preserve">Linking equation </w:t>
      </w:r>
      <w:r w:rsidR="00576A3C">
        <w:t>3</w:t>
      </w:r>
      <w:r>
        <w:t xml:space="preserve"> to utilization distributions</w:t>
      </w:r>
    </w:p>
    <w:p w14:paraId="5C646432" w14:textId="4C928272" w:rsidR="00262585" w:rsidRDefault="00000000">
      <w:pPr>
        <w:pStyle w:val="FirstParagraph"/>
      </w:pPr>
      <w:r>
        <w:t xml:space="preserve">Note that for two random variables </w:t>
      </w:r>
      <m:oMath>
        <m:r>
          <w:rPr>
            <w:rFonts w:ascii="Cambria Math" w:hAnsi="Cambria Math"/>
          </w:rPr>
          <m:t>Y</m:t>
        </m:r>
      </m:oMath>
      <w:r>
        <w:t xml:space="preserve"> and </w:t>
      </w:r>
      <m:oMath>
        <m:r>
          <w:rPr>
            <w:rFonts w:ascii="Cambria Math" w:hAnsi="Cambria Math"/>
          </w:rPr>
          <m:t>Z</m:t>
        </m:r>
      </m:oMath>
      <w:r>
        <w:t xml:space="preserve">, </w:t>
      </w:r>
      <m:oMath>
        <m:r>
          <w:rPr>
            <w:rFonts w:ascii="Cambria Math" w:hAnsi="Cambria Math"/>
          </w:rPr>
          <m:t>E</m:t>
        </m:r>
        <m:d>
          <m:dPr>
            <m:begChr m:val="["/>
            <m:endChr m:val="]"/>
            <m:ctrlPr>
              <w:rPr>
                <w:rFonts w:ascii="Cambria Math" w:hAnsi="Cambria Math"/>
              </w:rPr>
            </m:ctrlPr>
          </m:dPr>
          <m:e>
            <m:r>
              <w:rPr>
                <w:rFonts w:ascii="Cambria Math" w:hAnsi="Cambria Math"/>
              </w:rPr>
              <m:t>YZ</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e>
        </m:d>
        <m:r>
          <w:rPr>
            <w:rFonts w:ascii="Cambria Math" w:hAnsi="Cambria Math"/>
          </w:rPr>
          <m:t>E</m:t>
        </m:r>
        <m:d>
          <m:dPr>
            <m:begChr m:val="["/>
            <m:endChr m:val="]"/>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Cov</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oMath>
      <w:r>
        <w:t xml:space="preserve">. We can therefore write </w:t>
      </w:r>
      <w:r w:rsidR="00220001">
        <w:t>Equation 3</w:t>
      </w:r>
      <w:r>
        <w:t xml:space="preserve"> as</w:t>
      </w:r>
    </w:p>
    <w:p w14:paraId="1264A869" w14:textId="77777777" w:rsidR="0026258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x</m:t>
                    </m:r>
                  </m:e>
                </m:d>
              </m:e>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f>
                      <m:fPr>
                        <m:ctrlPr>
                          <w:rPr>
                            <w:rFonts w:ascii="Cambria Math" w:hAnsi="Cambria Math"/>
                          </w:rPr>
                        </m:ctrlPr>
                      </m:fPr>
                      <m:num>
                        <m:acc>
                          <m:accPr>
                            <m:chr m:val="̃"/>
                            <m:ctrlPr>
                              <w:rPr>
                                <w:rFonts w:ascii="Cambria Math" w:hAnsi="Cambria Math"/>
                              </w:rPr>
                            </m:ctrlPr>
                          </m:accPr>
                          <m:e>
                            <m:r>
                              <w:rPr>
                                <w:rFonts w:ascii="Cambria Math" w:hAnsi="Cambria Math"/>
                              </w:rPr>
                              <m:t>β</m:t>
                            </m:r>
                          </m:e>
                        </m:acc>
                      </m:num>
                      <m:den>
                        <m:sSub>
                          <m:sSubPr>
                            <m:ctrlPr>
                              <w:rPr>
                                <w:rFonts w:ascii="Cambria Math" w:hAnsi="Cambria Math"/>
                              </w:rPr>
                            </m:ctrlPr>
                          </m:sSubPr>
                          <m:e>
                            <m:r>
                              <w:rPr>
                                <w:rFonts w:ascii="Cambria Math" w:hAnsi="Cambria Math"/>
                              </w:rPr>
                              <m:t>A</m:t>
                            </m:r>
                          </m:e>
                          <m:sub>
                            <m:r>
                              <w:rPr>
                                <w:rFonts w:ascii="Cambria Math" w:hAnsi="Cambria Math"/>
                              </w:rPr>
                              <m:t>x</m:t>
                            </m:r>
                          </m:sub>
                        </m:sSub>
                      </m:den>
                    </m:f>
                  </m:e>
                </m:nary>
                <m:r>
                  <w:rPr>
                    <w:rFonts w:ascii="Cambria Math" w:hAnsi="Cambria Math"/>
                  </w:rPr>
                  <m:t>λE</m:t>
                </m:r>
                <m:d>
                  <m:dPr>
                    <m:begChr m:val="["/>
                    <m:endChr m:val="]"/>
                    <m:ctrlPr>
                      <w:rPr>
                        <w:rFonts w:ascii="Cambria Math" w:hAnsi="Cambria Math"/>
                      </w:rPr>
                    </m:ctrlPr>
                  </m:dPr>
                  <m:e>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e>
                </m:d>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du</m:t>
                </m:r>
              </m:e>
            </m:mr>
            <m:mr>
              <m:e/>
              <m:e>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num>
                  <m:den>
                    <m:sSub>
                      <m:sSubPr>
                        <m:ctrlPr>
                          <w:rPr>
                            <w:rFonts w:ascii="Cambria Math" w:hAnsi="Cambria Math"/>
                          </w:rPr>
                        </m:ctrlPr>
                      </m:sSubPr>
                      <m:e>
                        <m:r>
                          <w:rPr>
                            <w:rFonts w:ascii="Cambria Math" w:hAnsi="Cambria Math"/>
                          </w:rPr>
                          <m:t>A</m:t>
                        </m:r>
                      </m:e>
                      <m:sub>
                        <m:r>
                          <w:rPr>
                            <w:rFonts w:ascii="Cambria Math" w:hAnsi="Cambria Math"/>
                          </w:rPr>
                          <m:t>x</m:t>
                        </m:r>
                      </m:sub>
                    </m:sSub>
                  </m:den>
                </m:f>
                <m:r>
                  <w:rPr>
                    <w:rFonts w:ascii="Cambria Math" w:hAnsi="Cambria Math"/>
                  </w:rPr>
                  <m:t>λ</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d>
                      <m:dPr>
                        <m:begChr m:val="["/>
                        <m:endChr m:val="]"/>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e>
                        </m:d>
                        <m:r>
                          <w:rPr>
                            <w:rFonts w:ascii="Cambria Math" w:hAnsi="Cambria Math"/>
                          </w:rPr>
                          <m:t>E</m:t>
                        </m:r>
                        <m:d>
                          <m:dPr>
                            <m:begChr m:val="["/>
                            <m:endChr m:val="]"/>
                            <m:ctrlPr>
                              <w:rPr>
                                <w:rFonts w:ascii="Cambria Math" w:hAnsi="Cambria Math"/>
                              </w:rPr>
                            </m:ctrlPr>
                          </m:dPr>
                          <m:e>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Cov</m:t>
                        </m:r>
                        <m:d>
                          <m:dPr>
                            <m:ctrlPr>
                              <w:rPr>
                                <w:rFonts w:ascii="Cambria Math" w:hAnsi="Cambria Math"/>
                              </w:rPr>
                            </m:ctrlPr>
                          </m:dPr>
                          <m:e>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e>
                        </m:d>
                      </m:e>
                    </m:d>
                  </m:e>
                </m:nary>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du</m:t>
                </m:r>
              </m:e>
            </m:mr>
            <m:mr>
              <m:e/>
              <m:e>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num>
                  <m:den>
                    <m:sSub>
                      <m:sSubPr>
                        <m:ctrlPr>
                          <w:rPr>
                            <w:rFonts w:ascii="Cambria Math" w:hAnsi="Cambria Math"/>
                          </w:rPr>
                        </m:ctrlPr>
                      </m:sSubPr>
                      <m:e>
                        <m:r>
                          <w:rPr>
                            <w:rFonts w:ascii="Cambria Math" w:hAnsi="Cambria Math"/>
                          </w:rPr>
                          <m:t>A</m:t>
                        </m:r>
                      </m:e>
                      <m:sub>
                        <m:r>
                          <w:rPr>
                            <w:rFonts w:ascii="Cambria Math" w:hAnsi="Cambria Math"/>
                          </w:rPr>
                          <m:t>x</m:t>
                        </m:r>
                      </m:sub>
                    </m:sSub>
                  </m:den>
                </m:f>
                <m:r>
                  <w:rPr>
                    <w:rFonts w:ascii="Cambria Math" w:hAnsi="Cambria Math"/>
                  </w:rPr>
                  <m:t>λ</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Cov</m:t>
                        </m:r>
                        <m:d>
                          <m:dPr>
                            <m:ctrlPr>
                              <w:rPr>
                                <w:rFonts w:ascii="Cambria Math" w:hAnsi="Cambria Math"/>
                              </w:rPr>
                            </m:ctrlPr>
                          </m:dPr>
                          <m:e>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δ</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m:t>
                                    </m:r>
                                  </m:e>
                                </m:d>
                              </m:sub>
                            </m:sSub>
                            <m:d>
                              <m:dPr>
                                <m:ctrlPr>
                                  <w:rPr>
                                    <w:rFonts w:ascii="Cambria Math" w:hAnsi="Cambria Math"/>
                                  </w:rPr>
                                </m:ctrlPr>
                              </m:dPr>
                              <m:e>
                                <m:r>
                                  <w:rPr>
                                    <w:rFonts w:ascii="Cambria Math" w:hAnsi="Cambria Math"/>
                                  </w:rPr>
                                  <m:t>x</m:t>
                                </m:r>
                              </m:e>
                            </m:d>
                          </m:e>
                        </m:d>
                      </m:e>
                    </m:d>
                  </m:e>
                </m:nary>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du</m:t>
                </m:r>
              </m:e>
            </m:mr>
            <m:mr>
              <m:e/>
              <m:e/>
            </m:mr>
          </m:m>
        </m:oMath>
      </m:oMathPara>
    </w:p>
    <w:p w14:paraId="7EA58189" w14:textId="3D77C403" w:rsidR="00220001" w:rsidRDefault="00220001">
      <w:pPr>
        <w:pStyle w:val="FirstParagraph"/>
      </w:pPr>
      <w:r>
        <w:t>(Equation 4)</w:t>
      </w:r>
    </w:p>
    <w:p w14:paraId="3A9D7A3E" w14:textId="0F6A5E04" w:rsidR="00262585" w:rsidRDefault="00000000">
      <w:pPr>
        <w:pStyle w:val="FirstParagraph"/>
      </w:pPr>
      <w:r>
        <w:t xml:space="preserve">where we use the fact that the expectation of an indicator variable is a probability (Grimmett &amp; Stirzaker 2001). The terms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e>
        </m:d>
      </m:oMath>
      <w:r>
        <w:t xml:space="preserve"> give the probabilities that host </w:t>
      </w:r>
      <m:oMath>
        <m:r>
          <w:rPr>
            <w:rFonts w:ascii="Cambria Math" w:hAnsi="Cambria Math"/>
          </w:rPr>
          <m:t>i</m:t>
        </m:r>
      </m:oMath>
      <w:r>
        <w:t xml:space="preserve"> and </w:t>
      </w:r>
      <m:oMath>
        <m:r>
          <w:rPr>
            <w:rFonts w:ascii="Cambria Math" w:hAnsi="Cambria Math"/>
          </w:rPr>
          <m:t>j</m:t>
        </m:r>
      </m:oMath>
      <w:r>
        <w:t xml:space="preserve"> are in location </w:t>
      </w:r>
      <m:oMath>
        <m:r>
          <w:rPr>
            <w:rFonts w:ascii="Cambria Math" w:hAnsi="Cambria Math"/>
          </w:rPr>
          <m:t>x</m:t>
        </m:r>
      </m:oMath>
      <w:r>
        <w:t xml:space="preserve"> at times </w:t>
      </w:r>
      <m:oMath>
        <m:r>
          <w:rPr>
            <w:rFonts w:ascii="Cambria Math" w:hAnsi="Cambria Math"/>
          </w:rPr>
          <m:t>t</m:t>
        </m:r>
      </m:oMath>
      <w:r>
        <w:t xml:space="preserve"> and </w:t>
      </w:r>
      <m:oMath>
        <m:r>
          <w:rPr>
            <w:rFonts w:ascii="Cambria Math" w:hAnsi="Cambria Math"/>
          </w:rPr>
          <m:t>u</m:t>
        </m:r>
      </m:oMath>
      <w:r>
        <w:t xml:space="preserve">, respectively, and can also be written as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x</m:t>
                </m:r>
              </m:sub>
            </m:sSub>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i</m:t>
                </m:r>
              </m:sub>
            </m:sSub>
          </m:e>
        </m:nary>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w:rPr>
            <w:rFonts w:ascii="Cambria Math" w:hAnsi="Cambria Math"/>
          </w:rPr>
          <m:t>ds</m:t>
        </m:r>
      </m:oMath>
      <w:r>
        <w:t xml:space="preserve"> where </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oMath>
      <w:r>
        <w:t xml:space="preserve"> is the probability density of host </w:t>
      </w:r>
      <m:oMath>
        <m:r>
          <w:rPr>
            <w:rFonts w:ascii="Cambria Math" w:hAnsi="Cambria Math"/>
          </w:rPr>
          <m:t>i</m:t>
        </m:r>
      </m:oMath>
      <w:r>
        <w:t xml:space="preserve"> using the point </w:t>
      </w:r>
      <m:oMath>
        <m:r>
          <w:rPr>
            <w:rFonts w:ascii="Cambria Math" w:hAnsi="Cambria Math"/>
          </w:rPr>
          <m:t>s</m:t>
        </m:r>
      </m:oMath>
      <w:r>
        <w:t xml:space="preserve"> at time </w:t>
      </w:r>
      <m:oMath>
        <m:r>
          <w:rPr>
            <w:rFonts w:ascii="Cambria Math" w:hAnsi="Cambria Math"/>
          </w:rPr>
          <m:t>t</m:t>
        </m:r>
      </m:oMath>
      <w:r>
        <w:t xml:space="preserve"> and the integral is over the area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(defined equivalently for host </w:t>
      </w:r>
      <m:oMath>
        <m:r>
          <w:rPr>
            <w:rFonts w:ascii="Cambria Math" w:hAnsi="Cambria Math"/>
          </w:rPr>
          <m:t>j</m:t>
        </m:r>
      </m:oMath>
      <w:r>
        <w:t xml:space="preserve">). Thus, we have obtained an equation that links the transient utilization distributions </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u</m:t>
            </m:r>
          </m:e>
        </m:d>
      </m:oMath>
      <w:r>
        <w:t xml:space="preserve"> with the spatio-temporal FOI.</w:t>
      </w:r>
    </w:p>
    <w:p w14:paraId="46677BE8" w14:textId="77777777" w:rsidR="00262585" w:rsidRDefault="00000000">
      <w:pPr>
        <w:pStyle w:val="Heading3"/>
      </w:pPr>
      <w:bookmarkStart w:id="6" w:name="X56c420969b1d6e601d98f391a7aa48187f50eaa"/>
      <w:bookmarkEnd w:id="5"/>
      <w:r>
        <w:lastRenderedPageBreak/>
        <w:t>Applying the PMoveSTIR framework under different degrees of spatial and temporal heterogeneity</w:t>
      </w:r>
    </w:p>
    <w:p w14:paraId="0B0955E4" w14:textId="5004BEEC" w:rsidR="00262585" w:rsidRDefault="00000000">
      <w:pPr>
        <w:pStyle w:val="FirstParagraph"/>
      </w:pPr>
      <w:r>
        <w:t xml:space="preserve">Equation </w:t>
      </w:r>
      <w:r w:rsidR="00220001">
        <w:t>4</w:t>
      </w:r>
      <w:r>
        <w:t xml:space="preserve"> is the most general formulation of PMoveSTIR, where utilization distributions and between-individual spatial covariance are time-varying and heterogeneous in space. For example, this could account for daily changes in habitat use and social interactions. The approach can be modified to consider different degrees of spatial and temporal heterogeneity. This allows us to link FOI to different metrics such as temporally varying utilization distributions, stationary utilization distributions, and home range overlap.</w:t>
      </w:r>
    </w:p>
    <w:p w14:paraId="0030C0CF" w14:textId="77777777" w:rsidR="00262585" w:rsidRDefault="00000000">
      <w:pPr>
        <w:pStyle w:val="BodyText"/>
      </w:pPr>
      <w:r>
        <w:t xml:space="preserve">Fig. </w:t>
      </w:r>
      <w:hyperlink w:anchor="fig:square">
        <w:r>
          <w:rPr>
            <w:rStyle w:val="Hyperlink"/>
          </w:rPr>
          <w:t>1</w:t>
        </w:r>
      </w:hyperlink>
      <w:r>
        <w:t xml:space="preserve"> shows the different scenarios that PMoveSTIR can consider. In the upper-left corner, we consider space use is uniform, but movement is non-stationary. In this case, it is not important where an individual is, just when. Considering this framing from an empirical point of view, proximity loggers deployed on individual hosts — a commonly used tool to measure among-animal contacts (Drewe </w:t>
      </w:r>
      <w:r>
        <w:rPr>
          <w:i/>
          <w:iCs/>
        </w:rPr>
        <w:t>et al.</w:t>
      </w:r>
      <w:r>
        <w:t xml:space="preserve"> 2012) — only tell us when contacts between individuals occur, but not where. Thus, we cannot make inference about spatial factors driving contacts, but can make inference on temporal processes. We consider this case in a future study.</w:t>
      </w:r>
    </w:p>
    <w:p w14:paraId="6961626B" w14:textId="77777777" w:rsidR="00262585" w:rsidRDefault="00000000">
      <w:pPr>
        <w:pStyle w:val="BodyText"/>
      </w:pPr>
      <w:r>
        <w:t xml:space="preserve">In the lower left-hand corner of Fig. </w:t>
      </w:r>
      <w:hyperlink w:anchor="fig:square">
        <w:r>
          <w:rPr>
            <w:rStyle w:val="Hyperlink"/>
          </w:rPr>
          <w:t>1</w:t>
        </w:r>
      </w:hyperlink>
      <w:r>
        <w:t xml:space="preserve">, we have the case where space use is uniform and time is stationary. For simplicity, we also assume that pathogen decay is exponentially distributed with a rate of decay </w:t>
      </w:r>
      <m:oMath>
        <m:r>
          <w:rPr>
            <w:rFonts w:ascii="Cambria Math" w:hAnsi="Cambria Math"/>
          </w:rPr>
          <m:t>ν</m:t>
        </m:r>
      </m:oMath>
      <w:r>
        <w:t xml:space="preserve"> such that </w:t>
      </w:r>
      <m:oMath>
        <m:r>
          <w:rPr>
            <w:rFonts w:ascii="Cambria Math" w:hAnsi="Cambria Math"/>
          </w:rPr>
          <m:t>S</m:t>
        </m:r>
        <m:d>
          <m:dPr>
            <m:ctrlPr>
              <w:rPr>
                <w:rFonts w:ascii="Cambria Math" w:hAnsi="Cambria Math"/>
              </w:rPr>
            </m:ctrlPr>
          </m:dPr>
          <m:e>
            <m:r>
              <w:rPr>
                <w:rFonts w:ascii="Cambria Math" w:hAnsi="Cambria Math"/>
              </w:rPr>
              <m:t>s</m:t>
            </m:r>
          </m:e>
        </m:d>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νs</m:t>
            </m:r>
          </m:e>
        </m:d>
      </m:oMath>
      <w:r>
        <w:t>. Given these assumptions, we can write the FOI equation as</w:t>
      </w:r>
    </w:p>
    <w:p w14:paraId="58099CEE" w14:textId="77777777" w:rsidR="00262585"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e>
                </m:d>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λ</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f>
                      <m:fPr>
                        <m:ctrlPr>
                          <w:rPr>
                            <w:rFonts w:ascii="Cambria Math" w:hAnsi="Cambria Math"/>
                          </w:rPr>
                        </m:ctrlPr>
                      </m:fPr>
                      <m:num>
                        <m:r>
                          <w:rPr>
                            <w:rFonts w:ascii="Cambria Math" w:hAnsi="Cambria Math"/>
                          </w:rPr>
                          <m:t>1</m:t>
                        </m:r>
                      </m:num>
                      <m:den>
                        <m:r>
                          <w:rPr>
                            <w:rFonts w:ascii="Cambria Math" w:hAnsi="Cambria Math"/>
                          </w:rPr>
                          <m:t>ν</m:t>
                        </m:r>
                      </m:den>
                    </m:f>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C</m:t>
                        </m:r>
                      </m:e>
                    </m:nary>
                    <m:r>
                      <w:rPr>
                        <w:rFonts w:ascii="Cambria Math" w:hAnsi="Cambria Math"/>
                      </w:rPr>
                      <m:t>ov</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νs</m:t>
                        </m:r>
                      </m:sup>
                    </m:sSup>
                    <m:r>
                      <w:rPr>
                        <w:rFonts w:ascii="Cambria Math" w:hAnsi="Cambria Math"/>
                      </w:rPr>
                      <m:t>ds</m:t>
                    </m:r>
                  </m:e>
                </m:d>
              </m:e>
            </m:mr>
          </m:m>
        </m:oMath>
      </m:oMathPara>
    </w:p>
    <w:p w14:paraId="1E9DE9B6" w14:textId="4FC5B193" w:rsidR="00220001" w:rsidRDefault="00220001">
      <w:pPr>
        <w:pStyle w:val="FirstParagraph"/>
      </w:pPr>
      <w:r>
        <w:t>(Equation 5)</w:t>
      </w:r>
    </w:p>
    <w:p w14:paraId="03D63A92" w14:textId="10761F5D" w:rsidR="00262585" w:rsidRDefault="00000000">
      <w:pPr>
        <w:pStyle w:val="FirstParagraph"/>
      </w:pPr>
      <w:r>
        <w:t xml:space="preserve">where the covariance in contact is constant across all areas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on the landscape (such that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oMath>
      <w:r>
        <w:t xml:space="preserve"> indicates the use of some arbitrary area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If hosts are moving independently (i.e., covariance is 0) we obtain </w:t>
      </w:r>
      <m:oMath>
        <m:f>
          <m:fPr>
            <m:ctrlPr>
              <w:rPr>
                <w:rFonts w:ascii="Cambria Math" w:hAnsi="Cambria Math"/>
              </w:rPr>
            </m:ctrlPr>
          </m:fPr>
          <m:num>
            <m:acc>
              <m:accPr>
                <m:chr m:val="̃"/>
                <m:ctrlPr>
                  <w:rPr>
                    <w:rFonts w:ascii="Cambria Math" w:hAnsi="Cambria Math"/>
                  </w:rPr>
                </m:ctrlPr>
              </m:accPr>
              <m:e>
                <m:r>
                  <w:rPr>
                    <w:rFonts w:ascii="Cambria Math" w:hAnsi="Cambria Math"/>
                  </w:rPr>
                  <m:t>β</m:t>
                </m:r>
              </m:e>
            </m:acc>
          </m:num>
          <m:den>
            <m:sSub>
              <m:sSubPr>
                <m:ctrlPr>
                  <w:rPr>
                    <w:rFonts w:ascii="Cambria Math" w:hAnsi="Cambria Math"/>
                  </w:rPr>
                </m:ctrlPr>
              </m:sSubPr>
              <m:e>
                <m:r>
                  <w:rPr>
                    <w:rFonts w:ascii="Cambria Math" w:hAnsi="Cambria Math"/>
                  </w:rPr>
                  <m:t>A</m:t>
                </m:r>
              </m:e>
              <m:sub>
                <m:r>
                  <w:rPr>
                    <w:rFonts w:ascii="Cambria Math" w:hAnsi="Cambria Math"/>
                  </w:rPr>
                  <m:t>x</m:t>
                </m:r>
              </m:sub>
            </m:sSub>
          </m:den>
        </m:f>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f>
          <m:fPr>
            <m:ctrlPr>
              <w:rPr>
                <w:rFonts w:ascii="Cambria Math" w:hAnsi="Cambria Math"/>
              </w:rPr>
            </m:ctrlPr>
          </m:fPr>
          <m:num>
            <m:r>
              <w:rPr>
                <w:rFonts w:ascii="Cambria Math" w:hAnsi="Cambria Math"/>
              </w:rPr>
              <m:t>λ</m:t>
            </m:r>
          </m:num>
          <m:den>
            <m:r>
              <w:rPr>
                <w:rFonts w:ascii="Cambria Math" w:hAnsi="Cambria Math"/>
              </w:rPr>
              <m:t>ν</m:t>
            </m:r>
          </m:den>
        </m:f>
      </m:oMath>
      <w:r>
        <w:t xml:space="preserve">. Given a gridded landscape with non-overlapping grids and </w:t>
      </w:r>
      <m:oMath>
        <m:r>
          <w:rPr>
            <w:rFonts w:ascii="Cambria Math" w:hAnsi="Cambria Math"/>
          </w:rPr>
          <m:t>x</m:t>
        </m:r>
      </m:oMath>
      <w:r>
        <w:t xml:space="preserve"> is a single grid cell, summing over all </w:t>
      </w:r>
      <m:oMath>
        <m:r>
          <w:rPr>
            <w:rFonts w:ascii="Cambria Math" w:hAnsi="Cambria Math"/>
          </w:rPr>
          <m:t>n</m:t>
        </m:r>
      </m:oMath>
      <w:r>
        <w:t xml:space="preserve"> areas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that comprise the landscape yields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num>
          <m:den>
            <m:sSub>
              <m:sSubPr>
                <m:ctrlPr>
                  <w:rPr>
                    <w:rFonts w:ascii="Cambria Math" w:hAnsi="Cambria Math"/>
                  </w:rPr>
                </m:ctrlPr>
              </m:sSubPr>
              <m:e>
                <m:r>
                  <w:rPr>
                    <w:rFonts w:ascii="Cambria Math" w:hAnsi="Cambria Math"/>
                  </w:rPr>
                  <m:t>A</m:t>
                </m:r>
              </m:e>
              <m:sub>
                <m:r>
                  <m:rPr>
                    <m:nor/>
                  </m:rPr>
                  <m:t>tot</m:t>
                </m:r>
              </m:sub>
            </m:sSub>
          </m:den>
        </m:f>
        <m:f>
          <m:fPr>
            <m:ctrlPr>
              <w:rPr>
                <w:rFonts w:ascii="Cambria Math" w:hAnsi="Cambria Math"/>
              </w:rPr>
            </m:ctrlPr>
          </m:fPr>
          <m:num>
            <m:r>
              <w:rPr>
                <w:rFonts w:ascii="Cambria Math" w:hAnsi="Cambria Math"/>
              </w:rPr>
              <m:t>λ</m:t>
            </m:r>
          </m:num>
          <m:den>
            <m:r>
              <w:rPr>
                <w:rFonts w:ascii="Cambria Math" w:hAnsi="Cambria Math"/>
              </w:rPr>
              <m:t>ν</m:t>
            </m:r>
          </m:den>
        </m:f>
      </m:oMath>
      <w:r>
        <w:t>, which is the standard mass action assumption of transmission (McCallum 2001).</w:t>
      </w:r>
    </w:p>
    <w:p w14:paraId="4C9199ED" w14:textId="77777777" w:rsidR="00262585" w:rsidRDefault="00000000">
      <w:pPr>
        <w:pStyle w:val="BodyText"/>
      </w:pPr>
      <w:r>
        <w:t xml:space="preserve">Finally, the lower-right corner represents the special case of statistical stationarity in movement (i.e., the mean location is constant through time, though the animal is still moving). Again assuming that pathogen survival in the environment follows </w:t>
      </w:r>
      <m:oMath>
        <m:r>
          <w:rPr>
            <w:rFonts w:ascii="Cambria Math" w:hAnsi="Cambria Math"/>
          </w:rPr>
          <m:t>S</m:t>
        </m:r>
        <m:d>
          <m:dPr>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m:t>
            </m:r>
            <m:d>
              <m:dPr>
                <m:ctrlPr>
                  <w:rPr>
                    <w:rFonts w:ascii="Cambria Math" w:hAnsi="Cambria Math"/>
                  </w:rPr>
                </m:ctrlPr>
              </m:dPr>
              <m:e>
                <m:r>
                  <w:rPr>
                    <w:rFonts w:ascii="Cambria Math" w:hAnsi="Cambria Math"/>
                  </w:rPr>
                  <m:t>s</m:t>
                </m:r>
              </m:e>
            </m:d>
          </m:sup>
        </m:sSup>
      </m:oMath>
      <w:r>
        <w:t xml:space="preserve">, where </w:t>
      </w:r>
      <m:oMath>
        <m:r>
          <w:rPr>
            <w:rFonts w:ascii="Cambria Math" w:hAnsi="Cambria Math"/>
          </w:rPr>
          <m:t>ν</m:t>
        </m:r>
      </m:oMath>
      <w:r>
        <w:t xml:space="preserve"> is a constant pathogen decay rate, we can simplify equation </w:t>
      </w:r>
      <w:hyperlink w:anchor="eq:foi_cov">
        <w:r>
          <w:rPr>
            <w:rStyle w:val="Hyperlink"/>
          </w:rPr>
          <w:t>[eq:foi_cov]</w:t>
        </w:r>
      </w:hyperlink>
      <w:r>
        <w:t xml:space="preserve"> to (derivation in Appendix 2)</w:t>
      </w:r>
    </w:p>
    <w:p w14:paraId="08CAFD5B" w14:textId="77777777" w:rsidR="00262585"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num>
                  <m:den>
                    <m:sSub>
                      <m:sSubPr>
                        <m:ctrlPr>
                          <w:rPr>
                            <w:rFonts w:ascii="Cambria Math" w:hAnsi="Cambria Math"/>
                          </w:rPr>
                        </m:ctrlPr>
                      </m:sSubPr>
                      <m:e>
                        <m:r>
                          <w:rPr>
                            <w:rFonts w:ascii="Cambria Math" w:hAnsi="Cambria Math"/>
                          </w:rPr>
                          <m:t>A</m:t>
                        </m:r>
                      </m:e>
                      <m:sub>
                        <m:r>
                          <w:rPr>
                            <w:rFonts w:ascii="Cambria Math" w:hAnsi="Cambria Math"/>
                          </w:rPr>
                          <m:t>x</m:t>
                        </m:r>
                      </m:sub>
                    </m:sSub>
                  </m:den>
                </m:f>
                <m:r>
                  <w:rPr>
                    <w:rFonts w:ascii="Cambria Math" w:hAnsi="Cambria Math"/>
                  </w:rPr>
                  <m:t>λ</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f>
                      <m:fPr>
                        <m:ctrlPr>
                          <w:rPr>
                            <w:rFonts w:ascii="Cambria Math" w:hAnsi="Cambria Math"/>
                          </w:rPr>
                        </m:ctrlPr>
                      </m:fPr>
                      <m:num>
                        <m:r>
                          <w:rPr>
                            <w:rFonts w:ascii="Cambria Math" w:hAnsi="Cambria Math"/>
                          </w:rPr>
                          <m:t>1</m:t>
                        </m:r>
                      </m:num>
                      <m:den>
                        <m:r>
                          <w:rPr>
                            <w:rFonts w:ascii="Cambria Math" w:hAnsi="Cambria Math"/>
                          </w:rPr>
                          <m:t>ν</m:t>
                        </m:r>
                      </m:den>
                    </m:f>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C</m:t>
                        </m:r>
                      </m:e>
                    </m:nary>
                    <m:r>
                      <w:rPr>
                        <w:rFonts w:ascii="Cambria Math" w:hAnsi="Cambria Math"/>
                      </w:rPr>
                      <m:t>ov</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r>
                              <w:rPr>
                                <w:rFonts w:ascii="Cambria Math" w:hAnsi="Cambria Math"/>
                              </w:rPr>
                              <m:t>x</m:t>
                            </m:r>
                          </m:sub>
                        </m:sSub>
                        <m:r>
                          <m:rPr>
                            <m:sty m:val="p"/>
                          </m:rPr>
                          <w:rPr>
                            <w:rFonts w:ascii="Cambria Math" w:hAnsi="Cambria Math"/>
                          </w:rPr>
                          <m:t>|</m:t>
                        </m:r>
                        <m:r>
                          <w:rPr>
                            <w:rFonts w:ascii="Cambria Math" w:hAnsi="Cambria Math"/>
                          </w:rPr>
                          <m:t>s</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νs</m:t>
                        </m:r>
                      </m:sup>
                    </m:sSup>
                    <m:r>
                      <w:rPr>
                        <w:rFonts w:ascii="Cambria Math" w:hAnsi="Cambria Math"/>
                      </w:rPr>
                      <m:t>ds</m:t>
                    </m:r>
                  </m:e>
                </m:d>
              </m:e>
            </m:mr>
          </m:m>
        </m:oMath>
      </m:oMathPara>
    </w:p>
    <w:p w14:paraId="47EA7F42" w14:textId="3137389E" w:rsidR="00220001" w:rsidRDefault="00220001">
      <w:pPr>
        <w:pStyle w:val="FirstParagraph"/>
      </w:pPr>
      <w:r>
        <w:t>(Equation 6)</w:t>
      </w:r>
    </w:p>
    <w:p w14:paraId="6E6640E1" w14:textId="6E3A26AC" w:rsidR="00262585" w:rsidRDefault="00000000">
      <w:pPr>
        <w:pStyle w:val="FirstParagraph"/>
      </w:pPr>
      <w:r>
        <w:lastRenderedPageBreak/>
        <w:t xml:space="preserve">The key insight here is that, given a stationarity assumption, the expected force of infection in location </w:t>
      </w:r>
      <m:oMath>
        <m:r>
          <w:rPr>
            <w:rFonts w:ascii="Cambria Math" w:hAnsi="Cambria Math"/>
          </w:rPr>
          <m:t>x</m:t>
        </m:r>
      </m:oMath>
      <w:r>
        <w:t xml:space="preserve"> depends on i) the marginal probabilities that host </w:t>
      </w:r>
      <m:oMath>
        <m:r>
          <w:rPr>
            <w:rFonts w:ascii="Cambria Math" w:hAnsi="Cambria Math"/>
          </w:rPr>
          <m:t>i</m:t>
        </m:r>
      </m:oMath>
      <w:r>
        <w:t xml:space="preserve"> and host </w:t>
      </w:r>
      <m:oMath>
        <m:r>
          <w:rPr>
            <w:rFonts w:ascii="Cambria Math" w:hAnsi="Cambria Math"/>
          </w:rPr>
          <m:t>j</m:t>
        </m:r>
      </m:oMath>
      <w:r>
        <w:t xml:space="preserve"> use location </w:t>
      </w:r>
      <m:oMath>
        <m:r>
          <w:rPr>
            <w:rFonts w:ascii="Cambria Math" w:hAnsi="Cambria Math"/>
          </w:rPr>
          <m:t>x</m:t>
        </m:r>
      </m:oMath>
      <w:r>
        <w:t xml:space="preserve"> (</w:t>
      </w:r>
      <w:proofErr w:type="gramStart"/>
      <w:r>
        <w:t>i.e.</w:t>
      </w:r>
      <w:proofErr w:type="gramEnd"/>
      <w:r>
        <w:t xml:space="preserve"> their UDs), and ii) the covariance in how host </w:t>
      </w:r>
      <m:oMath>
        <m:r>
          <w:rPr>
            <w:rFonts w:ascii="Cambria Math" w:hAnsi="Cambria Math"/>
          </w:rPr>
          <m:t>i</m:t>
        </m:r>
      </m:oMath>
      <w:r>
        <w:t xml:space="preserve"> and host </w:t>
      </w:r>
      <m:oMath>
        <m:r>
          <w:rPr>
            <w:rFonts w:ascii="Cambria Math" w:hAnsi="Cambria Math"/>
          </w:rPr>
          <m:t>j</m:t>
        </m:r>
      </m:oMath>
      <w:r>
        <w:t xml:space="preserve"> use location </w:t>
      </w:r>
      <m:oMath>
        <m:r>
          <w:rPr>
            <w:rFonts w:ascii="Cambria Math" w:hAnsi="Cambria Math"/>
          </w:rPr>
          <m:t>x</m:t>
        </m:r>
      </m:oMath>
      <w:r>
        <w:t xml:space="preserve">, integrated over different time lags </w:t>
      </w:r>
      <m:oMath>
        <m:r>
          <w:rPr>
            <w:rFonts w:ascii="Cambria Math" w:hAnsi="Cambria Math"/>
          </w:rPr>
          <m:t>τ</m:t>
        </m:r>
      </m:oMath>
      <w:r>
        <w:t xml:space="preserve">. To improve intuition, we can redefine </w:t>
      </w:r>
      <m:oMath>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r>
                  <w:rPr>
                    <w:rFonts w:ascii="Cambria Math" w:hAnsi="Cambria Math"/>
                  </w:rPr>
                  <m:t>x</m:t>
                </m:r>
              </m:sub>
            </m:sSub>
            <m:r>
              <m:rPr>
                <m:sty m:val="p"/>
              </m:rPr>
              <w:rPr>
                <w:rFonts w:ascii="Cambria Math" w:hAnsi="Cambria Math"/>
              </w:rPr>
              <m:t>|</m:t>
            </m:r>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σ</m:t>
            </m:r>
          </m:e>
          <m:sub>
            <m:r>
              <w:rPr>
                <w:rFonts w:ascii="Cambria Math" w:hAnsi="Cambria Math"/>
              </w:rPr>
              <m:t>j</m:t>
            </m:r>
          </m:sub>
        </m:sSub>
        <m:d>
          <m:dPr>
            <m:ctrlPr>
              <w:rPr>
                <w:rFonts w:ascii="Cambria Math" w:hAnsi="Cambria Math"/>
              </w:rPr>
            </m:ctrlPr>
          </m:dPr>
          <m:e>
            <m:r>
              <w:rPr>
                <w:rFonts w:ascii="Cambria Math" w:hAnsi="Cambria Math"/>
              </w:rPr>
              <m:t>x</m:t>
            </m:r>
          </m:e>
        </m:d>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r>
                  <w:rPr>
                    <w:rFonts w:ascii="Cambria Math" w:hAnsi="Cambria Math"/>
                  </w:rPr>
                  <m:t>x</m:t>
                </m:r>
              </m:sub>
            </m:sSub>
            <m:r>
              <m:rPr>
                <m:sty m:val="p"/>
              </m:rPr>
              <w:rPr>
                <w:rFonts w:ascii="Cambria Math" w:hAnsi="Cambria Math"/>
              </w:rPr>
              <m:t>|</m:t>
            </m:r>
            <m:r>
              <w:rPr>
                <w:rFonts w:ascii="Cambria Math" w:hAnsi="Cambria Math"/>
              </w:rPr>
              <m:t>s</m:t>
            </m:r>
          </m:e>
        </m:d>
      </m:oMath>
      <w:r>
        <w:t xml:space="preserve">, where </w:t>
      </w:r>
      <m:oMath>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e>
            </m:d>
          </m:e>
        </m:rad>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e>
            </m:d>
          </m:e>
        </m:rad>
      </m:oMath>
      <w:r>
        <w:t xml:space="preserve"> are the standard deviation in probability of host </w:t>
      </w:r>
      <m:oMath>
        <m:r>
          <w:rPr>
            <w:rFonts w:ascii="Cambria Math" w:hAnsi="Cambria Math"/>
          </w:rPr>
          <m:t>i</m:t>
        </m:r>
      </m:oMath>
      <w:r>
        <w:t xml:space="preserve"> and </w:t>
      </w:r>
      <m:oMath>
        <m:r>
          <w:rPr>
            <w:rFonts w:ascii="Cambria Math" w:hAnsi="Cambria Math"/>
          </w:rPr>
          <m:t>j</m:t>
        </m:r>
      </m:oMath>
      <w:r>
        <w:t xml:space="preserve"> using location </w:t>
      </w:r>
      <m:oMath>
        <m:r>
          <w:rPr>
            <w:rFonts w:ascii="Cambria Math" w:hAnsi="Cambria Math"/>
          </w:rPr>
          <m:t>x</m:t>
        </m:r>
      </m:oMath>
      <w:r>
        <w:t>, respectively. We can then write</w:t>
      </w:r>
    </w:p>
    <w:p w14:paraId="63D3FA1D" w14:textId="77777777" w:rsidR="00262585"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λ</m:t>
                </m:r>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f>
                          <m:fPr>
                            <m:ctrlPr>
                              <w:rPr>
                                <w:rFonts w:ascii="Cambria Math" w:hAnsi="Cambria Math"/>
                              </w:rPr>
                            </m:ctrlPr>
                          </m:fPr>
                          <m:num>
                            <m:r>
                              <w:rPr>
                                <w:rFonts w:ascii="Cambria Math" w:hAnsi="Cambria Math"/>
                              </w:rPr>
                              <m:t>1</m:t>
                            </m:r>
                          </m:num>
                          <m:den>
                            <m:r>
                              <w:rPr>
                                <w:rFonts w:ascii="Cambria Math" w:hAnsi="Cambria Math"/>
                              </w:rPr>
                              <m:t>ν</m:t>
                            </m:r>
                          </m:den>
                        </m:f>
                      </m:e>
                      <m:lim>
                        <m:r>
                          <m:rPr>
                            <m:sty m:val="p"/>
                          </m:rPr>
                          <w:rPr>
                            <w:rFonts w:ascii="Cambria Math" w:hAnsi="Cambria Math"/>
                          </w:rPr>
                          <m:t>⏟</m:t>
                        </m:r>
                      </m:lim>
                    </m:limLow>
                  </m:e>
                  <m:lim>
                    <m:m>
                      <m:mPr>
                        <m:plcHide m:val="1"/>
                        <m:mcs>
                          <m:mc>
                            <m:mcPr>
                              <m:count m:val="1"/>
                              <m:mcJc m:val="center"/>
                            </m:mcPr>
                          </m:mc>
                        </m:mcs>
                        <m:ctrlPr>
                          <w:rPr>
                            <w:rFonts w:ascii="Cambria Math" w:hAnsi="Cambria Math"/>
                          </w:rPr>
                        </m:ctrlPr>
                      </m:mPr>
                      <m:mr>
                        <m:e>
                          <m:r>
                            <m:rPr>
                              <m:nor/>
                            </m:rPr>
                            <m:t>FOI contribution from</m:t>
                          </m:r>
                        </m:e>
                      </m:mr>
                      <m:mr>
                        <m:e>
                          <m:r>
                            <m:rPr>
                              <m:nor/>
                            </m:rPr>
                            <m:t>shared space use</m:t>
                          </m:r>
                        </m:e>
                      </m:mr>
                    </m:m>
                  </m:lim>
                </m:limLow>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σ</m:t>
                    </m:r>
                  </m:e>
                  <m:sub>
                    <m:r>
                      <w:rPr>
                        <w:rFonts w:ascii="Cambria Math" w:hAnsi="Cambria Math"/>
                      </w:rPr>
                      <m:t>j</m:t>
                    </m:r>
                  </m:sub>
                </m:sSub>
                <m:d>
                  <m:dPr>
                    <m:ctrlPr>
                      <w:rPr>
                        <w:rFonts w:ascii="Cambria Math" w:hAnsi="Cambria Math"/>
                      </w:rPr>
                    </m:ctrlPr>
                  </m:dPr>
                  <m:e>
                    <m:r>
                      <w:rPr>
                        <w:rFonts w:ascii="Cambria Math" w:hAnsi="Cambria Math"/>
                      </w:rPr>
                      <m:t>x</m:t>
                    </m:r>
                  </m:e>
                </m:d>
                <m:limLow>
                  <m:limLowPr>
                    <m:ctrlPr>
                      <w:rPr>
                        <w:rFonts w:ascii="Cambria Math" w:hAnsi="Cambria Math"/>
                      </w:rPr>
                    </m:ctrlPr>
                  </m:limLowPr>
                  <m:e>
                    <m:limLow>
                      <m:limLowPr>
                        <m:ctrlPr>
                          <w:rPr>
                            <w:rFonts w:ascii="Cambria Math" w:hAnsi="Cambria Math"/>
                          </w:rPr>
                        </m:ctrlPr>
                      </m:limLowPr>
                      <m:e>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C</m:t>
                            </m:r>
                          </m:e>
                        </m:nary>
                        <m:r>
                          <w:rPr>
                            <w:rFonts w:ascii="Cambria Math" w:hAnsi="Cambria Math"/>
                          </w:rPr>
                          <m:t>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r>
                                  <w:rPr>
                                    <w:rFonts w:ascii="Cambria Math" w:hAnsi="Cambria Math"/>
                                  </w:rPr>
                                  <m:t>x</m:t>
                                </m:r>
                              </m:sub>
                            </m:sSub>
                            <m:r>
                              <m:rPr>
                                <m:sty m:val="p"/>
                              </m:rPr>
                              <w:rPr>
                                <w:rFonts w:ascii="Cambria Math" w:hAnsi="Cambria Math"/>
                              </w:rPr>
                              <m:t>|</m:t>
                            </m:r>
                            <m:r>
                              <w:rPr>
                                <w:rFonts w:ascii="Cambria Math" w:hAnsi="Cambria Math"/>
                              </w:rPr>
                              <m:t>s</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νs</m:t>
                            </m:r>
                          </m:sup>
                        </m:sSup>
                        <m:r>
                          <w:rPr>
                            <w:rFonts w:ascii="Cambria Math" w:hAnsi="Cambria Math"/>
                          </w:rPr>
                          <m:t>ds</m:t>
                        </m:r>
                        <m:r>
                          <m:rPr>
                            <m:sty m:val="p"/>
                          </m:rPr>
                          <w:rPr>
                            <w:rFonts w:ascii="Cambria Math" w:hAnsi="Cambria Math"/>
                          </w:rPr>
                          <m:t>]</m:t>
                        </m:r>
                      </m:e>
                      <m:lim>
                        <m:r>
                          <m:rPr>
                            <m:sty m:val="p"/>
                          </m:rPr>
                          <w:rPr>
                            <w:rFonts w:ascii="Cambria Math" w:hAnsi="Cambria Math"/>
                          </w:rPr>
                          <m:t>⏟</m:t>
                        </m:r>
                      </m:lim>
                    </m:limLow>
                  </m:e>
                  <m:lim>
                    <m:m>
                      <m:mPr>
                        <m:plcHide m:val="1"/>
                        <m:mcs>
                          <m:mc>
                            <m:mcPr>
                              <m:count m:val="1"/>
                              <m:mcJc m:val="center"/>
                            </m:mcPr>
                          </m:mc>
                        </m:mcs>
                        <m:ctrlPr>
                          <w:rPr>
                            <w:rFonts w:ascii="Cambria Math" w:hAnsi="Cambria Math"/>
                          </w:rPr>
                        </m:ctrlPr>
                      </m:mPr>
                      <m:mr>
                        <m:e>
                          <m:r>
                            <m:rPr>
                              <m:nor/>
                            </m:rPr>
                            <m:t>FOI contribution from</m:t>
                          </m:r>
                        </m:e>
                      </m:mr>
                      <m:mr>
                        <m:e>
                          <m:r>
                            <m:rPr>
                              <m:nor/>
                            </m:rPr>
                            <m:t>correlated movement</m:t>
                          </m:r>
                        </m:e>
                      </m:mr>
                    </m:m>
                  </m:lim>
                </m:limLow>
                <m:r>
                  <m:rPr>
                    <m:sty m:val="p"/>
                  </m:rPr>
                  <w:rPr>
                    <w:rFonts w:ascii="Cambria Math" w:hAnsi="Cambria Math"/>
                  </w:rPr>
                  <m:t>.</m:t>
                </m:r>
              </m:e>
            </m:mr>
          </m:m>
        </m:oMath>
      </m:oMathPara>
    </w:p>
    <w:p w14:paraId="13462247" w14:textId="4DE94E24" w:rsidR="00220001" w:rsidRDefault="00220001">
      <w:pPr>
        <w:pStyle w:val="FirstParagraph"/>
      </w:pPr>
      <w:r>
        <w:t>(Equation 7)</w:t>
      </w:r>
    </w:p>
    <w:p w14:paraId="562F0679" w14:textId="2D9B5118" w:rsidR="00262585" w:rsidRDefault="00000000">
      <w:pPr>
        <w:pStyle w:val="FirstParagraph"/>
      </w:pPr>
      <w:r>
        <w:t xml:space="preserve">Equation </w:t>
      </w:r>
      <w:r w:rsidR="00220001">
        <w:t>7</w:t>
      </w:r>
      <w:r>
        <w:t xml:space="preserve"> highlights that the key quantity we need to understand is the correlation in host </w:t>
      </w:r>
      <m:oMath>
        <m:r>
          <w:rPr>
            <w:rFonts w:ascii="Cambria Math" w:hAnsi="Cambria Math"/>
          </w:rPr>
          <m:t>i</m:t>
        </m:r>
      </m:oMath>
      <w:r>
        <w:t xml:space="preserve">’s and host </w:t>
      </w:r>
      <m:oMath>
        <m:r>
          <w:rPr>
            <w:rFonts w:ascii="Cambria Math" w:hAnsi="Cambria Math"/>
          </w:rPr>
          <m:t>j</m:t>
        </m:r>
      </m:oMath>
      <w:r>
        <w:t xml:space="preserve">’s use of location </w:t>
      </w:r>
      <m:oMath>
        <m:r>
          <w:rPr>
            <w:rFonts w:ascii="Cambria Math" w:hAnsi="Cambria Math"/>
          </w:rPr>
          <m:t>x</m:t>
        </m:r>
      </m:oMath>
      <w:r>
        <w:t xml:space="preserve"> at different time lags </w:t>
      </w:r>
      <m:oMath>
        <m:r>
          <w:rPr>
            <w:rFonts w:ascii="Cambria Math" w:hAnsi="Cambria Math"/>
          </w:rPr>
          <m:t>s</m:t>
        </m:r>
      </m:oMath>
      <w:r>
        <w:t xml:space="preserve">, </w:t>
      </w:r>
      <w:proofErr w:type="gramStart"/>
      <w:r>
        <w:t>i.e.</w:t>
      </w:r>
      <w:proofErr w:type="gramEnd"/>
      <w:r>
        <w:t xml:space="preserve"> the temporal cross-correlation in space use. This correlation is most easily understood for short time lags (</w:t>
      </w:r>
      <m:oMath>
        <m:r>
          <w:rPr>
            <w:rFonts w:ascii="Cambria Math" w:hAnsi="Cambria Math"/>
          </w:rPr>
          <m:t>s</m:t>
        </m:r>
        <m:r>
          <m:rPr>
            <m:sty m:val="p"/>
          </m:rPr>
          <w:rPr>
            <w:rFonts w:ascii="Cambria Math" w:hAnsi="Cambria Math"/>
          </w:rPr>
          <m:t>≈</m:t>
        </m:r>
        <m:r>
          <w:rPr>
            <w:rFonts w:ascii="Cambria Math" w:hAnsi="Cambria Math"/>
          </w:rPr>
          <m:t>0</m:t>
        </m:r>
      </m:oMath>
      <w:r>
        <w:t>), for which a positive value indicates that individuals are at the same location at the same time or one shortly after the other. In contrast, negative correlations at short lags indicate the individuals rarely encounter each other directly. In what follows, we focus on this case and explore how and under what circumstances correlated movement can influence the FOI. We analyze different scenarios of movement analytically, using simulations, as well as empirical data. In Appendix X, we examine two additional formulations of PMoveSTIR that highlight the flexibility of this approach for linking range distributions (including home ranges and UDs) and spatial-temporal infection risk.</w:t>
      </w:r>
    </w:p>
    <w:p w14:paraId="651824EC" w14:textId="77777777" w:rsidR="00262585" w:rsidRDefault="00000000">
      <w:pPr>
        <w:pStyle w:val="Heading2"/>
      </w:pPr>
      <w:bookmarkStart w:id="7" w:name="Xb67e50aa829223bc6c6a23782cd04e2ddd3b4f7"/>
      <w:bookmarkEnd w:id="4"/>
      <w:bookmarkEnd w:id="6"/>
      <w:r>
        <w:t>Analytical and simulation insight into correlated movement and FOI</w:t>
      </w:r>
    </w:p>
    <w:p w14:paraId="6A4D712F" w14:textId="35C9CAF1" w:rsidR="00262585" w:rsidRDefault="00000000">
      <w:pPr>
        <w:pStyle w:val="FirstParagraph"/>
      </w:pPr>
      <w:r>
        <w:t xml:space="preserve">Leveraging PMoveSTIR, we used analytical analysis, simulation, and empirical data to ask: how much can correlated, social movements affect spatio-temporal infection risk for directly and indirectly transmitted parasites? First, we used PMoveSTIR to derive a general formula that explicitly quantifies how much correlation can augment or reduce force of infection due to direct contact compared to random movement. We also derived analytical results for a specific movement pattern to demonstrate how correlated movements alter transmission risk due to indirect transmission. Second, we used simulations to explore how temporally correlated movements affect transmission, and how the pairwise FOI estimate depends on epidemiological parameters such as contact distance and parasite survival. We focus on the lower-right corner of the </w:t>
      </w:r>
      <w:proofErr w:type="spellStart"/>
      <w:r>
        <w:t>PMoveSTIR</w:t>
      </w:r>
      <w:proofErr w:type="spellEnd"/>
      <w:r>
        <w:t xml:space="preserve"> box (</w:t>
      </w:r>
      <w:r w:rsidR="00FC3A0C">
        <w:t>equation 7</w:t>
      </w:r>
      <w:r>
        <w:t xml:space="preserve">), where we assume statistical stationarity in movement. The process for calculating the FOI across the landscape is summarized in Fig. </w:t>
      </w:r>
      <w:hyperlink w:anchor="fig:steps">
        <w:r>
          <w:rPr>
            <w:rStyle w:val="Hyperlink"/>
          </w:rPr>
          <w:t>2</w:t>
        </w:r>
      </w:hyperlink>
      <w:r>
        <w:t>.</w:t>
      </w:r>
    </w:p>
    <w:p w14:paraId="37FC1727" w14:textId="77777777" w:rsidR="00262585" w:rsidRDefault="00000000">
      <w:pPr>
        <w:pStyle w:val="BodyText"/>
      </w:pPr>
      <w:r>
        <w:t xml:space="preserve">In every simulation, we have two individuals moving around established home ranges, according to an Ornstein-Uhlenbeck process. To create different levels of correlation, we modify the initial simulated tracks using a convolution approach with a social interaction </w:t>
      </w:r>
      <w:r>
        <w:lastRenderedPageBreak/>
        <w:t xml:space="preserve">kernel (Scharf </w:t>
      </w:r>
      <w:r>
        <w:rPr>
          <w:i/>
          <w:iCs/>
        </w:rPr>
        <w:t>et al.</w:t>
      </w:r>
      <w:r>
        <w:t xml:space="preserve"> 2018). This method accounts for constant or temporally varying attraction between pairs of individuals. For our purposes we assume attraction strength is constant in time, but varies across pairs from 0 (completely independent movement) to 1 (joint movement). Strong interactions lead to similar and highly overlapping trajectories, which could represent animals in a herd, courting/mating pairs, or parents with their offspring. For every scenario, we fit continuous-time movement models to the simulated tracks, and estimate individual UDs using autocorrelated kernel density estimation (Calabrese </w:t>
      </w:r>
      <w:r>
        <w:rPr>
          <w:i/>
          <w:iCs/>
        </w:rPr>
        <w:t>et al.</w:t>
      </w:r>
      <w:r>
        <w:t xml:space="preserve"> 2016). We estimate the UDs on a grid of square cells, where the cell side </w:t>
      </w:r>
      <m:oMath>
        <m:r>
          <w:rPr>
            <w:rFonts w:ascii="Cambria Math" w:hAnsi="Cambria Math"/>
          </w:rPr>
          <m:t>d</m:t>
        </m:r>
      </m:oMath>
      <w:r>
        <w:t xml:space="preserve"> is the threshold contact distance for epidemiological contact.</w:t>
      </w:r>
    </w:p>
    <w:p w14:paraId="5D110F67" w14:textId="0539C016" w:rsidR="00262585" w:rsidRDefault="00000000">
      <w:pPr>
        <w:pStyle w:val="BodyText"/>
      </w:pPr>
      <w:r>
        <w:t>We use the UDs to calculate the product of the probabilities of use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oMath>
      <w:r>
        <w:t>) and the product of their standard deviations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e>
            </m:d>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e>
            </m:d>
          </m:e>
        </m:rad>
      </m:oMath>
      <w:r>
        <w:t xml:space="preserve">) for each grid cell. The UD product represents the overlap between home ranges, and is related to the probability of encounter between individuals (Noonan </w:t>
      </w:r>
      <w:r>
        <w:rPr>
          <w:i/>
          <w:iCs/>
        </w:rPr>
        <w:t>et al.</w:t>
      </w:r>
      <w:r>
        <w:t xml:space="preserve"> 2021). Assuming we are integrating over infinite lags, we can scale the UD product by </w:t>
      </w:r>
      <m:oMath>
        <m:r>
          <w:rPr>
            <w:rFonts w:ascii="Cambria Math" w:hAnsi="Cambria Math"/>
          </w:rPr>
          <m:t>1</m:t>
        </m:r>
        <m:r>
          <m:rPr>
            <m:sty m:val="p"/>
          </m:rPr>
          <w:rPr>
            <w:rFonts w:ascii="Cambria Math" w:hAnsi="Cambria Math"/>
          </w:rPr>
          <m:t>/</m:t>
        </m:r>
        <m:r>
          <w:rPr>
            <w:rFonts w:ascii="Cambria Math" w:hAnsi="Cambria Math"/>
          </w:rPr>
          <m:t>ν</m:t>
        </m:r>
      </m:oMath>
      <w:r>
        <w:t xml:space="preserve"> to obtain the first term in brackets on the </w:t>
      </w:r>
      <w:r w:rsidR="00AA395C">
        <w:t>right-hand</w:t>
      </w:r>
      <w:r>
        <w:t xml:space="preserve"> side of equation </w:t>
      </w:r>
      <w:r w:rsidR="00FC3A0C">
        <w:t>7.</w:t>
      </w:r>
      <w:r>
        <w:t xml:space="preserve"> In practice we will </w:t>
      </w:r>
      <w:proofErr w:type="gramStart"/>
      <w:r>
        <w:t>actually have</w:t>
      </w:r>
      <w:proofErr w:type="gramEnd"/>
      <w:r>
        <w:t xml:space="preserve"> a limited time given by the data, which sets an upper limit on the lags that can be considered. If this time is short relative to the parasite decay function there could be substantial error in the estimation. A more formal approach is then to use the integral over a specific period </w:t>
      </w:r>
      <m:oMath>
        <m:nary>
          <m:naryPr>
            <m:limLoc m:val="subSup"/>
            <m:ctrlPr>
              <w:rPr>
                <w:rFonts w:ascii="Cambria Math" w:hAnsi="Cambria Math"/>
              </w:rPr>
            </m:ctrlPr>
          </m:naryPr>
          <m:sub>
            <m:r>
              <w:rPr>
                <w:rFonts w:ascii="Cambria Math" w:hAnsi="Cambria Math"/>
              </w:rPr>
              <m:t>0</m:t>
            </m:r>
          </m:sub>
          <m:sup>
            <m:r>
              <w:rPr>
                <w:rFonts w:ascii="Cambria Math" w:hAnsi="Cambria Math"/>
              </w:rPr>
              <m:t>τ</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νs</m:t>
                </m:r>
              </m:sup>
            </m:sSup>
          </m:e>
        </m:nary>
        <m:r>
          <w:rPr>
            <w:rFonts w:ascii="Cambria Math" w:hAnsi="Cambria Math"/>
          </w:rPr>
          <m:t>ds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ντ</m:t>
                </m:r>
              </m:sup>
            </m:sSup>
          </m:e>
        </m:d>
        <m:r>
          <m:rPr>
            <m:sty m:val="p"/>
          </m:rPr>
          <w:rPr>
            <w:rFonts w:ascii="Cambria Math" w:hAnsi="Cambria Math"/>
          </w:rPr>
          <m:t>/</m:t>
        </m:r>
        <m:r>
          <w:rPr>
            <w:rFonts w:ascii="Cambria Math" w:hAnsi="Cambria Math"/>
          </w:rPr>
          <m:t>ν</m:t>
        </m:r>
      </m:oMath>
      <w:r>
        <w:t>. Both products are symmetrical for every pair of individuals.</w:t>
      </w:r>
    </w:p>
    <w:p w14:paraId="7288D342" w14:textId="77777777" w:rsidR="00262585" w:rsidRDefault="00000000">
      <w:pPr>
        <w:pStyle w:val="BodyText"/>
      </w:pPr>
      <w:r>
        <w:t xml:space="preserve">The lagged correlation term is calculated based on the position history for each individual at locations that both visited (locations that only one or neither individual visited have a correlation of zero). This is a binary vector that specifies whether the individual was present (1) or absent (0) at location </w:t>
      </w:r>
      <m:oMath>
        <m:r>
          <w:rPr>
            <w:rFonts w:ascii="Cambria Math" w:hAnsi="Cambria Math"/>
          </w:rPr>
          <m:t>x</m:t>
        </m:r>
      </m:oMath>
      <w:r>
        <w:t xml:space="preserve"> at time </w:t>
      </w:r>
      <m:oMath>
        <m:r>
          <w:rPr>
            <w:rFonts w:ascii="Cambria Math" w:hAnsi="Cambria Math"/>
          </w:rPr>
          <m:t>t</m:t>
        </m:r>
      </m:oMath>
      <w:r>
        <w:t xml:space="preserve">. The order of visits matters, so these correlation values can be asymmetric between individuals. We then scale the correlation values by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ντ</m:t>
            </m:r>
          </m:sup>
        </m:sSup>
      </m:oMath>
      <w:r>
        <w:t xml:space="preserve"> due to the decay of the parasite, where </w:t>
      </w:r>
      <m:oMath>
        <m:r>
          <w:rPr>
            <w:rFonts w:ascii="Cambria Math" w:hAnsi="Cambria Math"/>
          </w:rPr>
          <m:t>τ</m:t>
        </m:r>
      </m:oMath>
      <w:r>
        <w:t xml:space="preserve"> is the lag corresponding to each cross-correlation, between 0 and </w:t>
      </w:r>
      <m:oMath>
        <m:r>
          <w:rPr>
            <w:rFonts w:ascii="Cambria Math" w:hAnsi="Cambria Math"/>
          </w:rPr>
          <m:t>t</m:t>
        </m:r>
        <m:r>
          <m:rPr>
            <m:sty m:val="p"/>
          </m:rPr>
          <w:rPr>
            <w:rFonts w:ascii="Cambria Math" w:hAnsi="Cambria Math"/>
          </w:rPr>
          <m:t>-</m:t>
        </m:r>
        <m:r>
          <w:rPr>
            <w:rFonts w:ascii="Cambria Math" w:hAnsi="Cambria Math"/>
          </w:rPr>
          <m:t>dt</m:t>
        </m:r>
      </m:oMath>
      <w:r>
        <w:t xml:space="preserve">, where </w:t>
      </w:r>
      <m:oMath>
        <m:r>
          <w:rPr>
            <w:rFonts w:ascii="Cambria Math" w:hAnsi="Cambria Math"/>
          </w:rPr>
          <m:t>dt</m:t>
        </m:r>
      </m:oMath>
      <w:r>
        <w:t xml:space="preserve"> is the (constant) time lag between measurements.</w:t>
      </w:r>
    </w:p>
    <w:p w14:paraId="061D79F3" w14:textId="3D1E73C1" w:rsidR="00262585" w:rsidRDefault="00000000">
      <w:pPr>
        <w:pStyle w:val="BodyText"/>
      </w:pPr>
      <w:r>
        <w:t xml:space="preserve">Substituting the terms in equation </w:t>
      </w:r>
      <w:r w:rsidR="00FC3A0C">
        <w:t>7</w:t>
      </w:r>
      <w:r>
        <w:t xml:space="preserve"> and scaling by the epidemiological parameters </w:t>
      </w:r>
      <m:oMath>
        <m:acc>
          <m:accPr>
            <m:chr m:val="̃"/>
            <m:ctrlPr>
              <w:rPr>
                <w:rFonts w:ascii="Cambria Math" w:hAnsi="Cambria Math"/>
              </w:rPr>
            </m:ctrlPr>
          </m:accPr>
          <m:e>
            <m:r>
              <w:rPr>
                <w:rFonts w:ascii="Cambria Math" w:hAnsi="Cambria Math"/>
              </w:rPr>
              <m:t>β</m:t>
            </m:r>
          </m:e>
        </m:acc>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we obtain the per-cell FOI. Through these simulations we explore how the expected FOI is influenced by correlation in space use, home range overlap, parasite decay rate, and contact distance. We also explore how the contribution from the correlation to the total and local FOI varies.</w:t>
      </w:r>
    </w:p>
    <w:p w14:paraId="33DC1334" w14:textId="77777777" w:rsidR="00262585" w:rsidRDefault="00000000">
      <w:pPr>
        <w:pStyle w:val="Heading2"/>
      </w:pPr>
      <w:bookmarkStart w:id="8" w:name="X1d9452b34d97efd500665dad76ec57c2fbe5dc7"/>
      <w:bookmarkEnd w:id="7"/>
      <w:r>
        <w:t>Empirical application - White-tailed deer</w:t>
      </w:r>
    </w:p>
    <w:p w14:paraId="1CD98703" w14:textId="77777777" w:rsidR="00262585" w:rsidRDefault="00000000">
      <w:pPr>
        <w:pStyle w:val="FirstParagraph"/>
      </w:pPr>
      <w:r>
        <w:t>To test the role of space-use and correlated movements on potential transmission risk in a real system, we applied the PMoveSTIR model to GPS-tracking data for five white-tailed deer (</w:t>
      </w:r>
      <w:r>
        <w:rPr>
          <w:i/>
          <w:iCs/>
        </w:rPr>
        <w:t>Odocoileus virginianus</w:t>
      </w:r>
      <w:r>
        <w:t xml:space="preserve">) from Ames Plantation, Tennessee, USA (two bucks and three does). Deer were capture and equipped with GPS collars that recorded fixes every 30 minutes (Lotek LifeTrack IR 420; IACUC # 2850-1021 from the University of Tennessee). All individuals used in this study were captured at the end of March 2023 and we only included movement data from May to June in this study (removing April data to eliminate any capture effects on movement). We fit continuous-time movement models to each track </w:t>
      </w:r>
      <w:r>
        <w:lastRenderedPageBreak/>
        <w:t xml:space="preserve">and estimated the utilization distributions (UD) using AKDEs (Calabrese </w:t>
      </w:r>
      <w:r>
        <w:rPr>
          <w:i/>
          <w:iCs/>
        </w:rPr>
        <w:t>et al.</w:t>
      </w:r>
      <w:r>
        <w:t xml:space="preserve"> 2016). We defined a contact as occurring when hosts occupied the same 10m by 10m square cell. Using the fitted continuous-time movement model for each individual, we interpolated the positions to regular 10 minute intervals to account for missed fixes (Yang </w:t>
      </w:r>
      <w:r>
        <w:rPr>
          <w:i/>
          <w:iCs/>
        </w:rPr>
        <w:t>et al.</w:t>
      </w:r>
      <w:r>
        <w:t xml:space="preserve"> 2023).</w:t>
      </w:r>
    </w:p>
    <w:p w14:paraId="601D3EC0" w14:textId="77777777" w:rsidR="00262585" w:rsidRDefault="00000000">
      <w:pPr>
        <w:pStyle w:val="BodyText"/>
      </w:pPr>
      <w:r>
        <w:t>We modeled two hypothetical pathogens. The first pathogen had a relatively short persistence time in the environment, surviving for an average of 1 hour (</w:t>
      </w:r>
      <m:oMath>
        <m:r>
          <w:rPr>
            <w:rFonts w:ascii="Cambria Math" w:hAnsi="Cambria Math"/>
          </w:rPr>
          <m:t>ν</m:t>
        </m:r>
        <m:r>
          <m:rPr>
            <m:sty m:val="p"/>
          </m:rP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h</m:t>
            </m:r>
          </m:e>
          <m:sup>
            <m:r>
              <m:rPr>
                <m:sty m:val="p"/>
              </m:rPr>
              <w:rPr>
                <w:rFonts w:ascii="Cambria Math" w:hAnsi="Cambria Math"/>
              </w:rPr>
              <m:t>-</m:t>
            </m:r>
            <m:r>
              <w:rPr>
                <w:rFonts w:ascii="Cambria Math" w:hAnsi="Cambria Math"/>
              </w:rPr>
              <m:t>1</m:t>
            </m:r>
          </m:sup>
        </m:sSup>
      </m:oMath>
      <w:r>
        <w:t xml:space="preserve">). In this case, transmission is largely direct and this might represent a pathogen like SARS-COV-2, which can infect and transmit between white-tailed deer (Hale </w:t>
      </w:r>
      <w:r>
        <w:rPr>
          <w:i/>
          <w:iCs/>
        </w:rPr>
        <w:t>et al.</w:t>
      </w:r>
      <w:r>
        <w:t xml:space="preserve"> 2022). The second hypothetical pathogen had a long persistence time, remaining viable for over a year on average (</w:t>
      </w:r>
      <m:oMath>
        <m:r>
          <w:rPr>
            <w:rFonts w:ascii="Cambria Math" w:hAnsi="Cambria Math"/>
          </w:rPr>
          <m:t>ν</m:t>
        </m:r>
        <m:r>
          <m:rPr>
            <m:sty m:val="p"/>
          </m:rPr>
          <w:rPr>
            <w:rFonts w:ascii="Cambria Math" w:hAnsi="Cambria Math"/>
          </w:rPr>
          <m:t>=</m:t>
        </m:r>
        <m:r>
          <w:rPr>
            <w:rFonts w:ascii="Cambria Math" w:hAnsi="Cambria Math"/>
          </w:rPr>
          <m:t>0.9y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In this case, transmission is largely indirect and might reflect a pathogen like chronic wasting disease (CWD). Chronic wasting disease can transmit directly and indirectly between deer and can persist for years in the environment (Saunders </w:t>
      </w:r>
      <w:r>
        <w:rPr>
          <w:i/>
          <w:iCs/>
        </w:rPr>
        <w:t>et al.</w:t>
      </w:r>
      <w:r>
        <w:t xml:space="preserve"> 2012). The </w:t>
      </w:r>
      <m:oMath>
        <m:r>
          <w:rPr>
            <w:rFonts w:ascii="Cambria Math" w:hAnsi="Cambria Math"/>
          </w:rPr>
          <m:t>β</m:t>
        </m:r>
      </m:oMath>
      <w:r>
        <w:t xml:space="preserve"> and </w:t>
      </w:r>
      <m:oMath>
        <m:r>
          <w:rPr>
            <w:rFonts w:ascii="Cambria Math" w:hAnsi="Cambria Math"/>
          </w:rPr>
          <m:t>λ</m:t>
        </m:r>
      </m:oMath>
      <w:r>
        <w:t xml:space="preserve"> parameters are scalars in PMoveSTIR and do not affect any relative comparisons, so we set them both to unity. We use these data to explore how differences in overlap across home ranges and correlated movement influence the expected FOI with real animal trajectories.</w:t>
      </w:r>
    </w:p>
    <w:p w14:paraId="5CFD4296" w14:textId="77777777" w:rsidR="00262585" w:rsidRDefault="00000000">
      <w:pPr>
        <w:pStyle w:val="Heading1"/>
      </w:pPr>
      <w:bookmarkStart w:id="9" w:name="results"/>
      <w:bookmarkEnd w:id="2"/>
      <w:bookmarkEnd w:id="8"/>
      <w:r>
        <w:t>Results</w:t>
      </w:r>
    </w:p>
    <w:p w14:paraId="7AF0517A" w14:textId="77777777" w:rsidR="00262585" w:rsidRDefault="00000000">
      <w:pPr>
        <w:pStyle w:val="Heading2"/>
      </w:pPr>
      <w:bookmarkStart w:id="10" w:name="X366ff968c0afe0a8c8f9e57cec662854735997f"/>
      <w:r>
        <w:t>The importance of correlated movements on FOI – analytical results</w:t>
      </w:r>
    </w:p>
    <w:p w14:paraId="70729F1E" w14:textId="053808A9" w:rsidR="00262585" w:rsidRDefault="00000000">
      <w:pPr>
        <w:pStyle w:val="FirstParagraph"/>
      </w:pPr>
      <w:r>
        <w:t xml:space="preserve">To gain analytical intuition into the role that correlated movement can have on FOI, consider equation </w:t>
      </w:r>
      <w:r w:rsidR="00FC3A0C">
        <w:t>5</w:t>
      </w:r>
      <w:r>
        <w:t xml:space="preserve"> where movement is statistically </w:t>
      </w:r>
      <w:proofErr w:type="gramStart"/>
      <w:r>
        <w:t>stationary</w:t>
      </w:r>
      <w:proofErr w:type="gramEnd"/>
      <w:r>
        <w:t xml:space="preserve"> and hosts use space uniformly. As we showed above, when correlation in movement is zero, equation </w:t>
      </w:r>
      <w:r w:rsidR="00FC3A0C">
        <w:t>5</w:t>
      </w:r>
      <w:r>
        <w:t xml:space="preserve"> reduces to mass action transmission. For illustrative purposes, consider a case where two individual hosts are moving together across some area </w:t>
      </w:r>
      <m:oMath>
        <m:sSub>
          <m:sSubPr>
            <m:ctrlPr>
              <w:rPr>
                <w:rFonts w:ascii="Cambria Math" w:hAnsi="Cambria Math"/>
              </w:rPr>
            </m:ctrlPr>
          </m:sSubPr>
          <m:e>
            <m:r>
              <w:rPr>
                <w:rFonts w:ascii="Cambria Math" w:hAnsi="Cambria Math"/>
              </w:rPr>
              <m:t>A</m:t>
            </m:r>
          </m:e>
          <m:sub>
            <m:r>
              <w:rPr>
                <w:rFonts w:ascii="Cambria Math" w:hAnsi="Cambria Math"/>
              </w:rPr>
              <m:t>tot</m:t>
            </m:r>
          </m:sub>
        </m:sSub>
      </m:oMath>
      <w:r>
        <w:t xml:space="preserve">. We assume that hosts spend </w:t>
      </w:r>
      <m:oMath>
        <m:r>
          <w:rPr>
            <w:rFonts w:ascii="Cambria Math" w:hAnsi="Cambria Math"/>
          </w:rPr>
          <m:t>η</m:t>
        </m:r>
      </m:oMath>
      <w:r>
        <w:t xml:space="preserve"> time units within a habitat patch/grid cell of area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before moving to the next patch/grid cell. Second, we assume that the pathogen survival function </w:t>
      </w:r>
      <m:oMath>
        <m:r>
          <w:rPr>
            <w:rFonts w:ascii="Cambria Math" w:hAnsi="Cambria Math"/>
          </w:rPr>
          <m:t>S</m:t>
        </m:r>
        <m:d>
          <m:dPr>
            <m:ctrlPr>
              <w:rPr>
                <w:rFonts w:ascii="Cambria Math" w:hAnsi="Cambria Math"/>
              </w:rPr>
            </m:ctrlPr>
          </m:dPr>
          <m:e>
            <m:r>
              <w:rPr>
                <w:rFonts w:ascii="Cambria Math" w:hAnsi="Cambria Math"/>
              </w:rPr>
              <m:t>s</m:t>
            </m:r>
          </m:e>
        </m:d>
      </m:oMath>
      <w:r>
        <w:t xml:space="preserve"> is a step function with a survival probability of one when lag </w:t>
      </w:r>
      <m:oMath>
        <m:r>
          <w:rPr>
            <w:rFonts w:ascii="Cambria Math" w:hAnsi="Cambria Math"/>
          </w:rPr>
          <m:t>s</m:t>
        </m:r>
        <m:r>
          <m:rPr>
            <m:sty m:val="p"/>
          </m:rPr>
          <w:rPr>
            <w:rFonts w:ascii="Cambria Math" w:hAnsi="Cambria Math"/>
          </w:rPr>
          <m:t>≤</m:t>
        </m:r>
        <m:r>
          <w:rPr>
            <w:rFonts w:ascii="Cambria Math" w:hAnsi="Cambria Math"/>
          </w:rPr>
          <m:t>πη</m:t>
        </m:r>
      </m:oMath>
      <w:r>
        <w:t xml:space="preserve"> and zero when </w:t>
      </w:r>
      <m:oMath>
        <m:r>
          <w:rPr>
            <w:rFonts w:ascii="Cambria Math" w:hAnsi="Cambria Math"/>
          </w:rPr>
          <m:t>s</m:t>
        </m:r>
        <m:r>
          <m:rPr>
            <m:sty m:val="p"/>
          </m:rPr>
          <w:rPr>
            <w:rFonts w:ascii="Cambria Math" w:hAnsi="Cambria Math"/>
          </w:rPr>
          <m:t>&gt;</m:t>
        </m:r>
        <m:r>
          <w:rPr>
            <w:rFonts w:ascii="Cambria Math" w:hAnsi="Cambria Math"/>
          </w:rPr>
          <m:t>πη</m:t>
        </m:r>
      </m:oMath>
      <w:r>
        <w:t xml:space="preserve">. The term </w:t>
      </w:r>
      <m:oMath>
        <m:r>
          <w:rPr>
            <w:rFonts w:ascii="Cambria Math" w:hAnsi="Cambria Math"/>
          </w:rPr>
          <m:t>πη</m:t>
        </m:r>
      </m:oMath>
      <w:r>
        <w:t xml:space="preserve"> gives the time the pathogen survives in the environment as a function of host residence time, where </w:t>
      </w:r>
      <m:oMath>
        <m:r>
          <w:rPr>
            <w:rFonts w:ascii="Cambria Math" w:hAnsi="Cambria Math"/>
          </w:rPr>
          <m:t>π</m:t>
        </m:r>
      </m:oMath>
      <w:r>
        <w:t xml:space="preserve"> ranges from near zero for directly transmitted pathogens to some arbitrarily large number for pathogens with long environmental persistence times. In this scenario, transmission can only occur while both animals are in the same patch. With these assumptions, we can rewrite equation </w:t>
      </w:r>
      <w:r w:rsidR="00FC3A0C">
        <w:t>5</w:t>
      </w:r>
      <w:r>
        <w:t xml:space="preserve"> as</w:t>
      </w:r>
    </w:p>
    <w:p w14:paraId="784F2E04" w14:textId="77777777" w:rsidR="00262585"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e>
                </m:d>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λ</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r>
                      <w:rPr>
                        <w:rFonts w:ascii="Cambria Math" w:hAnsi="Cambria Math"/>
                      </w:rPr>
                      <m:t>πη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e>
                    </m:d>
                    <m:nary>
                      <m:naryPr>
                        <m:limLoc m:val="subSup"/>
                        <m:ctrlPr>
                          <w:rPr>
                            <w:rFonts w:ascii="Cambria Math" w:hAnsi="Cambria Math"/>
                          </w:rPr>
                        </m:ctrlPr>
                      </m:naryPr>
                      <m:sub>
                        <m:r>
                          <w:rPr>
                            <w:rFonts w:ascii="Cambria Math" w:hAnsi="Cambria Math"/>
                          </w:rPr>
                          <m:t>0</m:t>
                        </m:r>
                      </m:sub>
                      <m:sup>
                        <m:r>
                          <w:rPr>
                            <w:rFonts w:ascii="Cambria Math" w:hAnsi="Cambria Math"/>
                          </w:rPr>
                          <m:t>πη</m:t>
                        </m:r>
                      </m:sup>
                      <m:e>
                        <m:r>
                          <w:rPr>
                            <w:rFonts w:ascii="Cambria Math" w:hAnsi="Cambria Math"/>
                          </w:rPr>
                          <m:t>C</m:t>
                        </m:r>
                      </m:e>
                    </m:nary>
                    <m:r>
                      <w:rPr>
                        <w:rFonts w:ascii="Cambria Math" w:hAnsi="Cambria Math"/>
                      </w:rPr>
                      <m:t>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r>
                      <w:rPr>
                        <w:rFonts w:ascii="Cambria Math" w:hAnsi="Cambria Math"/>
                      </w:rPr>
                      <m:t>ds</m:t>
                    </m:r>
                  </m:e>
                </m:d>
                <m:r>
                  <m:rPr>
                    <m:sty m:val="p"/>
                  </m:rPr>
                  <w:rPr>
                    <w:rFonts w:ascii="Cambria Math" w:hAnsi="Cambria Math"/>
                  </w:rPr>
                  <m:t>,</m:t>
                </m:r>
              </m:e>
            </m:mr>
          </m:m>
        </m:oMath>
      </m:oMathPara>
    </w:p>
    <w:p w14:paraId="0C2A6E4A" w14:textId="5ED33D04" w:rsidR="00FC3A0C" w:rsidRDefault="00FC3A0C">
      <w:pPr>
        <w:pStyle w:val="FirstParagraph"/>
      </w:pPr>
      <w:r>
        <w:t>(Equation 8)</w:t>
      </w:r>
    </w:p>
    <w:p w14:paraId="10A553DB" w14:textId="51B0F16B" w:rsidR="00262585" w:rsidRDefault="00000000">
      <w:pPr>
        <w:pStyle w:val="FirstParagraph"/>
      </w:pPr>
      <w:r>
        <w:t xml:space="preserve">recognizing that </w:t>
      </w:r>
      <m:oMath>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σ</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e>
            </m:d>
          </m:e>
        </m:rad>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e>
            </m:d>
          </m:e>
        </m:ra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e>
        </m:d>
      </m:oMath>
      <w:r>
        <w:t xml:space="preserve"> when both hosts are using space uniformly.</w:t>
      </w:r>
    </w:p>
    <w:p w14:paraId="318EAA89" w14:textId="77777777" w:rsidR="00262585" w:rsidRDefault="00000000">
      <w:pPr>
        <w:pStyle w:val="Heading3"/>
      </w:pPr>
      <w:bookmarkStart w:id="11" w:name="direct-transmission"/>
      <w:r>
        <w:lastRenderedPageBreak/>
        <w:t>Direct transmission</w:t>
      </w:r>
    </w:p>
    <w:p w14:paraId="49312987" w14:textId="58D11C57" w:rsidR="00262585" w:rsidRDefault="00000000">
      <w:pPr>
        <w:pStyle w:val="FirstParagraph"/>
      </w:pPr>
      <w:r>
        <w:t xml:space="preserve">For hosts that are moving together,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oMath>
      <w:r>
        <w:t xml:space="preserve"> will be exactly unity when lag </w:t>
      </w:r>
      <m:oMath>
        <m:r>
          <w:rPr>
            <w:rFonts w:ascii="Cambria Math" w:hAnsi="Cambria Math"/>
          </w:rPr>
          <m:t>s</m:t>
        </m:r>
        <m:r>
          <m:rPr>
            <m:sty m:val="p"/>
          </m:rPr>
          <w:rPr>
            <w:rFonts w:ascii="Cambria Math" w:hAnsi="Cambria Math"/>
          </w:rPr>
          <m:t>=</m:t>
        </m:r>
        <m:r>
          <w:rPr>
            <w:rFonts w:ascii="Cambria Math" w:hAnsi="Cambria Math"/>
          </w:rPr>
          <m:t>0</m:t>
        </m:r>
      </m:oMath>
      <w:r>
        <w:t xml:space="preserve"> and near unity when lag </w:t>
      </w:r>
      <m:oMath>
        <m:r>
          <w:rPr>
            <w:rFonts w:ascii="Cambria Math" w:hAnsi="Cambria Math"/>
          </w:rPr>
          <m:t>s</m:t>
        </m:r>
      </m:oMath>
      <w:r>
        <w:t xml:space="preserve"> is near zero. When pathogens are strictly directly transmitted, </w:t>
      </w:r>
      <m:oMath>
        <m:r>
          <w:rPr>
            <w:rFonts w:ascii="Cambria Math" w:hAnsi="Cambria Math"/>
          </w:rPr>
          <m:t>π</m:t>
        </m:r>
      </m:oMath>
      <w:r>
        <w:t xml:space="preserve"> is also small and if </w:t>
      </w:r>
      <m:oMath>
        <m:r>
          <w:rPr>
            <w:rFonts w:ascii="Cambria Math" w:hAnsi="Cambria Math"/>
          </w:rPr>
          <m:t>πη</m:t>
        </m:r>
        <m:r>
          <m:rPr>
            <m:sty m:val="p"/>
          </m:rPr>
          <w:rPr>
            <w:rFonts w:ascii="Cambria Math" w:hAnsi="Cambria Math"/>
          </w:rPr>
          <m:t>&lt;&lt;</m:t>
        </m:r>
        <m:r>
          <w:rPr>
            <w:rFonts w:ascii="Cambria Math" w:hAnsi="Cambria Math"/>
          </w:rPr>
          <m:t>η</m:t>
        </m:r>
      </m:oMath>
      <w:r>
        <w:t xml:space="preserve"> then we can reasonably approximate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1</m:t>
        </m:r>
      </m:oMath>
      <w:r>
        <w:t xml:space="preserve"> for s from 0 to </w:t>
      </w:r>
      <m:oMath>
        <m:r>
          <w:rPr>
            <w:rFonts w:ascii="Cambria Math" w:hAnsi="Cambria Math"/>
          </w:rPr>
          <m:t>πη</m:t>
        </m:r>
      </m:oMath>
      <w:r>
        <w:t xml:space="preserve">. We can then write equation </w:t>
      </w:r>
      <w:r w:rsidR="00FC3A0C">
        <w:t>8</w:t>
      </w:r>
      <w:r>
        <w:t xml:space="preserve"> as</w:t>
      </w:r>
    </w:p>
    <w:p w14:paraId="7E12FF20" w14:textId="77777777" w:rsidR="00262585"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e>
                </m:d>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λπη</m:t>
                </m:r>
                <m:d>
                  <m:dPr>
                    <m:begChr m:val="["/>
                    <m:endChr m:val="]"/>
                    <m:ctrlPr>
                      <w:rPr>
                        <w:rFonts w:ascii="Cambria Math" w:hAnsi="Cambria Math"/>
                      </w:rPr>
                    </m:ctrlPr>
                  </m:dPr>
                  <m:e>
                    <m:limLow>
                      <m:limLowPr>
                        <m:ctrlPr>
                          <w:rPr>
                            <w:rFonts w:ascii="Cambria Math" w:hAnsi="Cambria Math"/>
                          </w:rPr>
                        </m:ctrlPr>
                      </m:limLowPr>
                      <m:e>
                        <m:limLow>
                          <m:limLowPr>
                            <m:ctrlPr>
                              <w:rPr>
                                <w:rFonts w:ascii="Cambria Math" w:hAnsi="Cambria Math"/>
                              </w:rPr>
                            </m:ctrlPr>
                          </m:limLow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e>
                          <m:lim>
                            <m:r>
                              <m:rPr>
                                <m:sty m:val="p"/>
                              </m:rPr>
                              <w:rPr>
                                <w:rFonts w:ascii="Cambria Math" w:hAnsi="Cambria Math"/>
                              </w:rPr>
                              <m:t>⏟</m:t>
                            </m:r>
                          </m:lim>
                        </m:limLow>
                      </m:e>
                      <m:lim>
                        <m:m>
                          <m:mPr>
                            <m:plcHide m:val="1"/>
                            <m:mcs>
                              <m:mc>
                                <m:mcPr>
                                  <m:count m:val="1"/>
                                  <m:mcJc m:val="center"/>
                                </m:mcPr>
                              </m:mc>
                            </m:mcs>
                            <m:ctrlPr>
                              <w:rPr>
                                <w:rFonts w:ascii="Cambria Math" w:hAnsi="Cambria Math"/>
                              </w:rPr>
                            </m:ctrlPr>
                          </m:mPr>
                          <m:mr>
                            <m:e>
                              <m:r>
                                <m:rPr>
                                  <m:nor/>
                                </m:rPr>
                                <m:t>Contribution due</m:t>
                              </m:r>
                            </m:e>
                          </m:mr>
                          <m:mr>
                            <m:e>
                              <m:r>
                                <m:rPr>
                                  <m:nor/>
                                </m:rPr>
                                <m:t>to habitat overlap</m:t>
                              </m:r>
                            </m:e>
                          </m:mr>
                        </m:m>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tot</m:t>
                                        </m:r>
                                      </m:sub>
                                    </m:sSub>
                                  </m:den>
                                </m:f>
                              </m:e>
                            </m:d>
                          </m:e>
                          <m:lim>
                            <m:r>
                              <m:rPr>
                                <m:sty m:val="p"/>
                              </m:rPr>
                              <w:rPr>
                                <w:rFonts w:ascii="Cambria Math" w:hAnsi="Cambria Math"/>
                              </w:rPr>
                              <m:t>⏟</m:t>
                            </m:r>
                          </m:lim>
                        </m:limLow>
                      </m:e>
                      <m:lim>
                        <m:m>
                          <m:mPr>
                            <m:plcHide m:val="1"/>
                            <m:mcs>
                              <m:mc>
                                <m:mcPr>
                                  <m:count m:val="1"/>
                                  <m:mcJc m:val="center"/>
                                </m:mcPr>
                              </m:mc>
                            </m:mcs>
                            <m:ctrlPr>
                              <w:rPr>
                                <w:rFonts w:ascii="Cambria Math" w:hAnsi="Cambria Math"/>
                              </w:rPr>
                            </m:ctrlPr>
                          </m:mPr>
                          <m:mr>
                            <m:e>
                              <m:r>
                                <m:rPr>
                                  <m:nor/>
                                </m:rPr>
                                <m:t>Contribution due</m:t>
                              </m:r>
                            </m:e>
                          </m:mr>
                          <m:mr>
                            <m:e>
                              <m:r>
                                <m:rPr>
                                  <m:nor/>
                                </m:rPr>
                                <m:t>to correlated movement</m:t>
                              </m:r>
                            </m:e>
                          </m:mr>
                        </m:m>
                      </m:lim>
                    </m:limLow>
                  </m:e>
                </m:d>
                <m:r>
                  <m:rPr>
                    <m:sty m:val="p"/>
                  </m:rPr>
                  <w:rPr>
                    <w:rFonts w:ascii="Cambria Math" w:hAnsi="Cambria Math"/>
                  </w:rPr>
                  <m:t>.</m:t>
                </m:r>
              </m:e>
            </m:mr>
          </m:m>
        </m:oMath>
      </m:oMathPara>
    </w:p>
    <w:p w14:paraId="39D25BB9" w14:textId="77777777" w:rsidR="00262585" w:rsidRDefault="00000000">
      <w:pPr>
        <w:pStyle w:val="FirstParagraph"/>
      </w:pPr>
      <w:r>
        <w:t xml:space="preserve">The relative contribution of correlation in movement with respect to the contribution due to habitat overlap is simply </w:t>
      </w:r>
      <m:oMath>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tot</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tot</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r>
          <w:rPr>
            <w:rFonts w:ascii="Cambria Math" w:hAnsi="Cambria Math"/>
          </w:rPr>
          <m:t>1</m:t>
        </m:r>
      </m:oMath>
      <w:r>
        <w:t xml:space="preserve">. Thus, PMoveSTIR allows us to put intuitive bounds on the importance of correlated movements for direct transmission risk. As the area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in which an epidemiological contact can occur gets smaller relative to the total area in which the hosts are moving </w:t>
      </w:r>
      <m:oMath>
        <m:sSub>
          <m:sSubPr>
            <m:ctrlPr>
              <w:rPr>
                <w:rFonts w:ascii="Cambria Math" w:hAnsi="Cambria Math"/>
              </w:rPr>
            </m:ctrlPr>
          </m:sSubPr>
          <m:e>
            <m:r>
              <w:rPr>
                <w:rFonts w:ascii="Cambria Math" w:hAnsi="Cambria Math"/>
              </w:rPr>
              <m:t>A</m:t>
            </m:r>
          </m:e>
          <m:sub>
            <m:r>
              <w:rPr>
                <w:rFonts w:ascii="Cambria Math" w:hAnsi="Cambria Math"/>
              </w:rPr>
              <m:t>tot</m:t>
            </m:r>
          </m:sub>
        </m:sSub>
      </m:oMath>
      <w:r>
        <w:t xml:space="preserve">, the correlated movement can have an orders of magnitude larger contribution to direct transmission FOI than habitat overlap at the scale of the area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If there are large correlations across multiple areas this will add up into a significantly greater FOI across the entire landscape. This makes intuitive sense. If the area of potential contact is small and hosts are moving randomly, there is a very low chance that hosts will be there together at the same time. Having highly correlated movements significantly increases the chance that hosts are in this relatively small area at the same time. In contrast, when the area of contact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approaches </w:t>
      </w:r>
      <m:oMath>
        <m:sSub>
          <m:sSubPr>
            <m:ctrlPr>
              <w:rPr>
                <w:rFonts w:ascii="Cambria Math" w:hAnsi="Cambria Math"/>
              </w:rPr>
            </m:ctrlPr>
          </m:sSubPr>
          <m:e>
            <m:r>
              <w:rPr>
                <w:rFonts w:ascii="Cambria Math" w:hAnsi="Cambria Math"/>
              </w:rPr>
              <m:t>A</m:t>
            </m:r>
          </m:e>
          <m:sub>
            <m:r>
              <w:rPr>
                <w:rFonts w:ascii="Cambria Math" w:hAnsi="Cambria Math"/>
              </w:rPr>
              <m:t>tot</m:t>
            </m:r>
          </m:sub>
        </m:sSub>
      </m:oMath>
      <w:r>
        <w:t xml:space="preserve"> (or more generally when the probability of using a particular area is very high), the importance of correlated movement relative to habitat overlap becomes minimal. For example, if two hosts are always using a particular contact area together because of high resource availability, then it does not matter for FOI if social factors are leading to additional correlated movement. This result extends beyond epidemiological contexts and shows when correlated movements can significantly alter contact risk based on metrics such as home range overlap or CDE.</w:t>
      </w:r>
    </w:p>
    <w:p w14:paraId="56158DAA" w14:textId="77777777" w:rsidR="00262585" w:rsidRDefault="00000000">
      <w:pPr>
        <w:pStyle w:val="Heading3"/>
      </w:pPr>
      <w:bookmarkStart w:id="12" w:name="indirect-transmission"/>
      <w:bookmarkEnd w:id="11"/>
      <w:r>
        <w:t>Indirect transmission</w:t>
      </w:r>
    </w:p>
    <w:p w14:paraId="13E89B36" w14:textId="77777777" w:rsidR="00262585" w:rsidRDefault="00000000">
      <w:pPr>
        <w:pStyle w:val="FirstParagraph"/>
      </w:pPr>
      <w:r>
        <w:t xml:space="preserve">The effects of correlated movement on FOI relative to habitat overlap become analytically more difficult to generalize when we consider pathogens with indirect transmission. This is because the correlation function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oMath>
      <w:r>
        <w:t xml:space="preserve"> can be highly non-trivial even in the simple case when two hosts are moving together. For example, even individuals that never encounter each other directly can have positive correlations at relatively short lags, and these can be greater than the correlations for individuals that do come into direct contact but only overlap partially at the same locations (Fig. S1b,c). While determining the analytical form of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oMath>
      <w:r>
        <w:t xml:space="preserve"> for common movement models is beyond the scope of this study, we can use a relatively simple movement scenario to get an analytical sense of how indirect transmission and correlated movements can interact to affect transmission </w:t>
      </w:r>
      <w:r>
        <w:lastRenderedPageBreak/>
        <w:t xml:space="preserve">risk. We provide the analytical example in Appendix S3. The example illustrates three important points: 1) the contributions of correlated movement to indirect transmission risk will depend strongly on the movement dynamics as reflected in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Sub>
            <m:r>
              <m:rPr>
                <m:sty m:val="p"/>
              </m:rPr>
              <w:rPr>
                <w:rFonts w:ascii="Cambria Math" w:hAnsi="Cambria Math"/>
              </w:rPr>
              <m:t>|</m:t>
            </m:r>
            <m:r>
              <w:rPr>
                <w:rFonts w:ascii="Cambria Math" w:hAnsi="Cambria Math"/>
              </w:rPr>
              <m:t>s</m:t>
            </m:r>
          </m:e>
        </m:d>
      </m:oMath>
      <w:r>
        <w:t>; 2) this contribution could potentially increase, decrease, or have no effect on local FOI depending on the lag considered; 3) the relative importance of correlations at different lags is determined by the parasite survival function. Below, we explore these factors using simulations.</w:t>
      </w:r>
    </w:p>
    <w:p w14:paraId="5D972209" w14:textId="77777777" w:rsidR="00262585" w:rsidRDefault="00000000">
      <w:pPr>
        <w:pStyle w:val="Heading2"/>
      </w:pPr>
      <w:bookmarkStart w:id="13" w:name="simulation-study"/>
      <w:bookmarkEnd w:id="10"/>
      <w:bookmarkEnd w:id="12"/>
      <w:r>
        <w:t>Simulation study</w:t>
      </w:r>
    </w:p>
    <w:p w14:paraId="0A018EB0" w14:textId="77777777" w:rsidR="00262585" w:rsidRDefault="00000000">
      <w:pPr>
        <w:pStyle w:val="Heading3"/>
      </w:pPr>
      <w:bookmarkStart w:id="14" w:name="Xf44ae3da67aa0156085ad1bd3d9083a6afb6386"/>
      <w:r>
        <w:t>Effect of correlated movement on pairwise FOI</w:t>
      </w:r>
    </w:p>
    <w:p w14:paraId="78CB9A20" w14:textId="77777777" w:rsidR="00262585" w:rsidRDefault="00000000">
      <w:pPr>
        <w:pStyle w:val="FirstParagraph"/>
      </w:pPr>
      <w:r>
        <w:t>Generally, greater interaction strengths led to higher overlap among home ranges. Simulations with interaction strengths greater than 0.9 all resulted in overlap values greater than 0.99, meaning the utilization distributions were always virtually identical. Pairs moving independently had lower overlap values on average but also higher variance, so in many cases had similarly high overlap (</w:t>
      </w:r>
      <m:oMath>
        <m:r>
          <m:rPr>
            <m:sty m:val="p"/>
          </m:rPr>
          <w:rPr>
            <w:rFonts w:ascii="Cambria Math" w:hAnsi="Cambria Math"/>
          </w:rPr>
          <m:t>&gt;</m:t>
        </m:r>
      </m:oMath>
      <w:r>
        <w:t>0.9). This allows us to compare the FOI while teasing apart the effects of spatial overlap and temporal correlation in space use.</w:t>
      </w:r>
    </w:p>
    <w:p w14:paraId="35E4B390" w14:textId="77777777" w:rsidR="00262585" w:rsidRDefault="00000000">
      <w:pPr>
        <w:pStyle w:val="BodyText"/>
      </w:pPr>
      <w:r>
        <w:t xml:space="preserve">The FOI was higher for pairs with higher interaction strengths, i.e. pairs that were more attracted to each other. This increase was due in part to higher spatial overlap, as can be seen from the higher FOI values calculated using only the stationary utilization distribution component (Fig. </w:t>
      </w:r>
      <w:hyperlink w:anchor="fig:simresults">
        <w:r>
          <w:rPr>
            <w:rStyle w:val="Hyperlink"/>
          </w:rPr>
          <w:t>3</w:t>
        </w:r>
      </w:hyperlink>
      <w:r>
        <w:t xml:space="preserve">a). However, we saw a greater increase in FOI when we accounted for temporal correlation, and the difference between the two increased with higher interaction strengths. For very similar trajectories (interaction </w:t>
      </w:r>
      <m:oMath>
        <m:r>
          <m:rPr>
            <m:sty m:val="p"/>
          </m:rPr>
          <w:rPr>
            <w:rFonts w:ascii="Cambria Math" w:hAnsi="Cambria Math"/>
          </w:rPr>
          <m:t>&gt;</m:t>
        </m:r>
      </m:oMath>
      <w:r>
        <w:t xml:space="preserve"> 0.9), the FOI with correlation was more than five times the FOI estimated without correlation, and there was a more than 100-fold difference for perfectly overlapping trajectories. Methods that ignore temporal correlation could therefore be significantly underestimating transmission risk. Even pairs that move independently or with low interaction could get a significantly higher FOI due to correlation; in those cases we calculated values as many as 4 times greater when accounting for correlation for highly overlapping pairs (Fig. </w:t>
      </w:r>
      <w:hyperlink w:anchor="fig:simresults">
        <w:r>
          <w:rPr>
            <w:rStyle w:val="Hyperlink"/>
          </w:rPr>
          <w:t>3</w:t>
        </w:r>
      </w:hyperlink>
      <w:r>
        <w:t>d).</w:t>
      </w:r>
    </w:p>
    <w:p w14:paraId="21C97168" w14:textId="77777777" w:rsidR="00262585" w:rsidRDefault="00000000">
      <w:pPr>
        <w:pStyle w:val="BodyText"/>
      </w:pPr>
      <w:r>
        <w:t xml:space="preserve">For pairs with low overlap, on the other hand, correlation usually did not play a significant role. There were also cases where the effect of correlation was negative and actually decreased the estimated FOI. For some parameter combinations this could happen in as many as half of the simulations of independent movement (Fig. </w:t>
      </w:r>
      <w:hyperlink w:anchor="fig:simresults">
        <w:r>
          <w:rPr>
            <w:rStyle w:val="Hyperlink"/>
          </w:rPr>
          <w:t>3</w:t>
        </w:r>
      </w:hyperlink>
      <w:r>
        <w:t>d), and even for 10% of simulations with interaction strength of 0.7. The decrease was nonetheless small (</w:t>
      </w:r>
      <m:oMath>
        <m:r>
          <m:rPr>
            <m:sty m:val="p"/>
          </m:rPr>
          <w:rPr>
            <w:rFonts w:ascii="Cambria Math" w:hAnsi="Cambria Math"/>
          </w:rPr>
          <m:t>&lt;</m:t>
        </m:r>
      </m:oMath>
      <w:r>
        <w:t>15%) compared to simulations where the FOI was greater with than without covariance.</w:t>
      </w:r>
    </w:p>
    <w:p w14:paraId="4810714E" w14:textId="77777777" w:rsidR="00262585" w:rsidRDefault="00000000">
      <w:pPr>
        <w:pStyle w:val="Heading3"/>
      </w:pPr>
      <w:bookmarkStart w:id="15" w:name="influence-of-epidemiological-parameters"/>
      <w:bookmarkEnd w:id="14"/>
      <w:r>
        <w:t>Influence of epidemiological parameters</w:t>
      </w:r>
    </w:p>
    <w:p w14:paraId="39D7A4F6" w14:textId="77777777" w:rsidR="00262585" w:rsidRDefault="00000000">
      <w:pPr>
        <w:pStyle w:val="FirstParagraph"/>
      </w:pPr>
      <w:r>
        <w:t xml:space="preserve">We also analyzed how changes in epidemiological parameters, namely the parasite decay rate and the contact distance, influenced the estimated risk of transmission. The FOI was inversely proportional to the decay rate; if parasites survived longer in the environment this led to higher estimated FOI (Fig. </w:t>
      </w:r>
      <w:hyperlink w:anchor="fig:simresults">
        <w:r>
          <w:rPr>
            <w:rStyle w:val="Hyperlink"/>
          </w:rPr>
          <w:t>3</w:t>
        </w:r>
      </w:hyperlink>
      <w:r>
        <w:t>b). This increase is driven mostly by the linear increase in the spatial overlap component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ν</m:t>
        </m:r>
      </m:oMath>
      <w:r>
        <w:t xml:space="preserve">), for longer decay times the relative contribution of the correlation term to the estimated FOI decreased significantly </w:t>
      </w:r>
      <w:r>
        <w:lastRenderedPageBreak/>
        <w:t xml:space="preserve">(Fig. </w:t>
      </w:r>
      <w:hyperlink w:anchor="fig:simresults">
        <w:r>
          <w:rPr>
            <w:rStyle w:val="Hyperlink"/>
          </w:rPr>
          <w:t>3</w:t>
        </w:r>
      </w:hyperlink>
      <w:r>
        <w:t>e). Longer survival times increase the probability of indirect epidemiological contact, but also give greater importance to correlations at longer time lags, which in many cases can be trivial or even negative (Fig. S1). Thus, the increase in FOI due to correlated movement is greatest for parasites with short survival times.</w:t>
      </w:r>
    </w:p>
    <w:p w14:paraId="20E0533A" w14:textId="77777777" w:rsidR="00262585" w:rsidRDefault="00000000">
      <w:pPr>
        <w:pStyle w:val="BodyText"/>
      </w:pPr>
      <w:r>
        <w:t xml:space="preserve">The FOI in general increased as parasites persisted longer in the environment. In contrast, the effect of contact distance varied depending on interaction strength. For pairs with low interaction there was no noticeable effect of increasing the threshold contact distance (Fig. </w:t>
      </w:r>
      <w:hyperlink w:anchor="fig:simresults">
        <w:r>
          <w:rPr>
            <w:rStyle w:val="Hyperlink"/>
          </w:rPr>
          <w:t>3</w:t>
        </w:r>
      </w:hyperlink>
      <w:r>
        <w:t xml:space="preserve">c). However, for similar trajectories (interaction </w:t>
      </w:r>
      <m:oMath>
        <m:r>
          <m:rPr>
            <m:sty m:val="p"/>
          </m:rPr>
          <w:rPr>
            <w:rFonts w:ascii="Cambria Math" w:hAnsi="Cambria Math"/>
          </w:rPr>
          <m:t>&gt;</m:t>
        </m:r>
      </m:oMath>
      <w:r>
        <w:t xml:space="preserve"> 0.9), FOI increased between two and five-fold as contact distance increased, while for identical trajectories (interaction = 1) FOI decreased. In our simulation experiments, longer threshold distances translate to larger grid cells, which would decrease FOI as the risk gets diluted in a larger area. The increase in FOI observed therefore responds to the correlation term. Increasing the contact distance increases the probability of finding two individuals in the same cell, and would therefore increase the relative contribution of correlation most for trajectories that are already close in space and time (Fig. </w:t>
      </w:r>
      <w:hyperlink w:anchor="fig:simresults">
        <w:r>
          <w:rPr>
            <w:rStyle w:val="Hyperlink"/>
          </w:rPr>
          <w:t>3</w:t>
        </w:r>
      </w:hyperlink>
      <w:r>
        <w:t>f), while it would have no effect for trajectories that are far from each other. For identical trajectories, however, grouping observations into larger cells imply fewer cells where correlation is impacting the FOI, and can thus reduce the contribution of correlation and the overall FOI.</w:t>
      </w:r>
    </w:p>
    <w:p w14:paraId="58E59416" w14:textId="77777777" w:rsidR="00262585" w:rsidRDefault="00000000">
      <w:pPr>
        <w:pStyle w:val="Heading2"/>
      </w:pPr>
      <w:bookmarkStart w:id="16" w:name="empirical-example-white-tailed-deer"/>
      <w:bookmarkEnd w:id="13"/>
      <w:bookmarkEnd w:id="15"/>
      <w:r>
        <w:t>Empirical example: white-tailed deer</w:t>
      </w:r>
    </w:p>
    <w:p w14:paraId="7A6EFCC9" w14:textId="022E2A2F" w:rsidR="00262585" w:rsidRDefault="00000000">
      <w:pPr>
        <w:pStyle w:val="FirstParagraph"/>
      </w:pPr>
      <w:r>
        <w:t xml:space="preserve">The total potential FOI varied more than three orders of magnitude across pairs of deer. This was partially due to the difference in spatial overlap, which ranged between 0 and 90% (Bhattacharyya coefficient). While higher overlap generally correlated with higher FOIs, we estimated significantly higher values when we accounted for correlation in movement, and the difference was greater for pairs with greater overlap (Fig. </w:t>
      </w:r>
      <w:hyperlink w:anchor="fig:empiricalres">
        <w:r>
          <w:rPr>
            <w:rStyle w:val="Hyperlink"/>
          </w:rPr>
          <w:t>4</w:t>
        </w:r>
      </w:hyperlink>
      <w:r>
        <w:t>). For the pair with the highest spatial overlap, the FOI was more than 15 times greater when we accounted for correlation. For other pairs the effect was less extreme but still considerable; ignoring correlation could result in between 5% and 45% underestimation. On the other hand, correlation decreased the expected FOI in some cases. The highest error we observed in this sense was 10%. We only saw these effects of correlation when we considered the parasite with a faster decay rate (Fig. X [</w:t>
      </w:r>
      <w:r w:rsidR="00992DB8">
        <w:t>in prep</w:t>
      </w:r>
      <w:r>
        <w:t>]). For a parasite like CWD that can persist for very long in the environment, the FOI was virtually identical with or without the correlation term, and there was no correlation with the degree of overlap (Fig. X [In prep]).</w:t>
      </w:r>
    </w:p>
    <w:p w14:paraId="0EE4A156" w14:textId="77777777" w:rsidR="00262585" w:rsidRDefault="00000000">
      <w:pPr>
        <w:pStyle w:val="BodyText"/>
      </w:pPr>
      <w:r>
        <w:t xml:space="preserve">These effects at the local and individual scale will affect inferences made about parasite transmission for the population, for example when calculating metrics like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This can be seen when we plot the contact and transmission networks for our five hosts. The cumulative edge weights would be higher in the case of the short-lived parasite, and we would expect faster transmission through the network than under an assumption of independent movement </w:t>
      </w:r>
      <w:r w:rsidRPr="00FE57F6">
        <w:rPr>
          <w:highlight w:val="yellow"/>
        </w:rPr>
        <w:t xml:space="preserve">[TODO: Re-work network plots and calculate relative change in </w:t>
      </w:r>
      <m:oMath>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oMath>
      <w:r w:rsidRPr="00FE57F6">
        <w:rPr>
          <w:highlight w:val="yellow"/>
        </w:rPr>
        <w:t xml:space="preserve"> across the networks].</w:t>
      </w:r>
    </w:p>
    <w:p w14:paraId="740E0C86" w14:textId="77777777" w:rsidR="00262585" w:rsidRDefault="00000000">
      <w:pPr>
        <w:pStyle w:val="Heading1"/>
      </w:pPr>
      <w:bookmarkStart w:id="17" w:name="discussion"/>
      <w:bookmarkEnd w:id="9"/>
      <w:bookmarkEnd w:id="16"/>
      <w:r>
        <w:lastRenderedPageBreak/>
        <w:t>Discussion</w:t>
      </w:r>
    </w:p>
    <w:p w14:paraId="5A0357EE" w14:textId="45EA7474" w:rsidR="00262585" w:rsidRDefault="00000000">
      <w:pPr>
        <w:pStyle w:val="FirstParagraph"/>
      </w:pPr>
      <w:r>
        <w:t xml:space="preserve">We have developed a new approach for inferring epidemiological dynamics from spatially and temporally explicit data that should facilitate linking these dynamics with underlying environmental factors. Our work generalizes the MoveSTIR framework (Wilber </w:t>
      </w:r>
      <w:r>
        <w:rPr>
          <w:i/>
          <w:iCs/>
        </w:rPr>
        <w:t>et al.</w:t>
      </w:r>
      <w:r>
        <w:t xml:space="preserve"> 2022), which translated observed movement and encounter data to the currency of force of infection (FOI). Using a probabilistic perspective, PMoveSTIR provides a direct link between animal movement, utilization distributions (UDs), and epidemiological dynamics, giving a view of FOI across the landscape. UDs are a useful bridge between movement and transmission processes, and we believe their widespread use and intuitive interpretation makes our approach straightforward to apply. Since our </w:t>
      </w:r>
      <w:r w:rsidR="00FE57F6">
        <w:t>model</w:t>
      </w:r>
      <w:r>
        <w:t xml:space="preserve"> is explicitly defined in terms of epidemiological processes, we put significant emphasis on temporal dynamics relevant for transmission, such as the rate of contact—direct and indirect—among individuals, the rate of parasite shedding in the environment, and parasite survival in the environment. This framing sets our method apart from recent developments for inferring contact among individuals, which have focused on direct encounters, often assuming independence in movement among hosts (Noonan </w:t>
      </w:r>
      <w:r>
        <w:rPr>
          <w:i/>
          <w:iCs/>
        </w:rPr>
        <w:t>et al.</w:t>
      </w:r>
      <w:r>
        <w:t xml:space="preserve"> 2021; Das </w:t>
      </w:r>
      <w:r>
        <w:rPr>
          <w:i/>
          <w:iCs/>
        </w:rPr>
        <w:t>et al.</w:t>
      </w:r>
      <w:r>
        <w:t xml:space="preserve"> 2023). While this assumption is convenient and could be sufficient to infer the risk of transmission in some cases, we have shown that it could lead to significant underestimation of transmission risk, with consequences for inferred disease spread across the population. Our results provide clear expectations for what has been previously observed empirically but largely ignored in movement and disease models – correlation in movement can reshape epidemiological landscapes, leading to hotspots of transmission whose magnitude and location are not necessarily predictable from models of joint space use.</w:t>
      </w:r>
    </w:p>
    <w:p w14:paraId="4D512AD7" w14:textId="77777777" w:rsidR="00262585" w:rsidRDefault="00000000">
      <w:pPr>
        <w:pStyle w:val="BodyText"/>
      </w:pPr>
      <w:r>
        <w:t xml:space="preserve">Our results show that correlation in movement and synchronicity can be particularly critical aspects of transmission for faster-paced parasites, i.e. parasites with short environmental persistence and transmission driven by short term contacts (cf. Dougherty </w:t>
      </w:r>
      <w:r>
        <w:rPr>
          <w:i/>
          <w:iCs/>
        </w:rPr>
        <w:t>et al.</w:t>
      </w:r>
      <w:r>
        <w:t xml:space="preserve"> 2018; Manlove </w:t>
      </w:r>
      <w:r>
        <w:rPr>
          <w:i/>
          <w:iCs/>
        </w:rPr>
        <w:t>et al.</w:t>
      </w:r>
      <w:r>
        <w:t xml:space="preserve"> 2022), such as canine distemper virus, rabies, </w:t>
      </w:r>
      <w:r>
        <w:rPr>
          <w:i/>
          <w:iCs/>
        </w:rPr>
        <w:t>Mycoplasma ovipneumoniae</w:t>
      </w:r>
      <w:r>
        <w:t xml:space="preserve">, or SARS-COV-2 (SCV2). SCV2 is of particular interest because recent studies have shown that it can infect a wide-range of wildlife hosts, including white-tailed deer (Palmer </w:t>
      </w:r>
      <w:r>
        <w:rPr>
          <w:i/>
          <w:iCs/>
        </w:rPr>
        <w:t>et al.</w:t>
      </w:r>
      <w:r>
        <w:t xml:space="preserve"> 2021; Hale </w:t>
      </w:r>
      <w:r>
        <w:rPr>
          <w:i/>
          <w:iCs/>
        </w:rPr>
        <w:t>et al.</w:t>
      </w:r>
      <w:r>
        <w:t xml:space="preserve"> 2022). There is also evidence that white-tailed deer can transmit SCV2 between each other in controlled experiments and in the wild (Hale </w:t>
      </w:r>
      <w:r>
        <w:rPr>
          <w:i/>
          <w:iCs/>
        </w:rPr>
        <w:t>et al.</w:t>
      </w:r>
      <w:r>
        <w:t xml:space="preserve"> 2022; Martins </w:t>
      </w:r>
      <w:r>
        <w:rPr>
          <w:i/>
          <w:iCs/>
        </w:rPr>
        <w:t>et al.</w:t>
      </w:r>
      <w:r>
        <w:t xml:space="preserve"> 2022), leading to the question of whether SCV2 can successfully invade, spread, and persist in white-tailed deer populations. Contact is a fundamental component of disease dynamics and our results clearly show that for faster-paced, directly transmitted pathogens like SCV2, the details of fine-scaled host movements, beyond joint habitat use, matter greatly for quantifying and predicting invasion, spread, and persistence.</w:t>
      </w:r>
    </w:p>
    <w:p w14:paraId="3DE54ABB" w14:textId="5BABC75D" w:rsidR="00262585" w:rsidRDefault="00000000">
      <w:pPr>
        <w:pStyle w:val="BodyText"/>
      </w:pPr>
      <w:r>
        <w:t xml:space="preserve">Correlations in space use that are not accounted for by utilization distributions typically reflect social interactions. There are multiple scenarios where strong social interactions can lead to high spatio-temporal overlap: animals moving in groups, parents traveling with their offspring, or mates temporally moving together (Yang </w:t>
      </w:r>
      <w:r>
        <w:rPr>
          <w:i/>
          <w:iCs/>
        </w:rPr>
        <w:t>et al.</w:t>
      </w:r>
      <w:r>
        <w:t xml:space="preserve"> 2021) [other citations needed]. </w:t>
      </w:r>
      <w:commentRangeStart w:id="18"/>
      <w:r>
        <w:t xml:space="preserve">This was the case for the deer movements used in this study. White-tailed deer female groups have high social affinity during gestation and rut, with groups becoming less cohesive or dissolving entirely during fawning (Koen </w:t>
      </w:r>
      <w:r>
        <w:rPr>
          <w:i/>
          <w:iCs/>
        </w:rPr>
        <w:t>et al.</w:t>
      </w:r>
      <w:r>
        <w:t xml:space="preserve"> 2017) [Better citations </w:t>
      </w:r>
      <w:r>
        <w:lastRenderedPageBreak/>
        <w:t xml:space="preserve">here...cite deer management book]. When female groups are at their most cohesive during gestation and rut, pairs of deer within the same social group have substantially higher contact rates than pairs of deer with equivalent habitat overlap but that are not in the same social group (Schauber </w:t>
      </w:r>
      <w:r>
        <w:rPr>
          <w:i/>
          <w:iCs/>
        </w:rPr>
        <w:t>et al.</w:t>
      </w:r>
      <w:r>
        <w:t xml:space="preserve"> 2007; Kjær </w:t>
      </w:r>
      <w:r>
        <w:rPr>
          <w:i/>
          <w:iCs/>
        </w:rPr>
        <w:t>et al.</w:t>
      </w:r>
      <w:r>
        <w:t xml:space="preserve"> 2008; Grear </w:t>
      </w:r>
      <w:r>
        <w:rPr>
          <w:i/>
          <w:iCs/>
        </w:rPr>
        <w:t>et al.</w:t>
      </w:r>
      <w:r>
        <w:t xml:space="preserve"> 2010; Schauber </w:t>
      </w:r>
      <w:r>
        <w:rPr>
          <w:i/>
          <w:iCs/>
        </w:rPr>
        <w:t>et al.</w:t>
      </w:r>
      <w:r>
        <w:t xml:space="preserve"> 2015). </w:t>
      </w:r>
      <w:commentRangeEnd w:id="18"/>
      <w:r w:rsidR="00725F1E">
        <w:rPr>
          <w:rStyle w:val="CommentReference"/>
        </w:rPr>
        <w:commentReference w:id="18"/>
      </w:r>
      <w:r>
        <w:t>In this study, deer 151589 and 15171 were does and almost certainly part of the same social group</w:t>
      </w:r>
      <w:r w:rsidR="00A31F3A">
        <w:t xml:space="preserve"> [Can we say this?</w:t>
      </w:r>
      <w:r w:rsidR="00075D21">
        <w:t xml:space="preserve"> Based on some of </w:t>
      </w:r>
      <w:proofErr w:type="spellStart"/>
      <w:r w:rsidR="00075D21">
        <w:t>Schauber’s</w:t>
      </w:r>
      <w:proofErr w:type="spellEnd"/>
      <w:r w:rsidR="00075D21">
        <w:t xml:space="preserve"> stuff</w:t>
      </w:r>
      <w:r w:rsidR="00A31F3A">
        <w:t>]</w:t>
      </w:r>
      <w:r>
        <w:t>. Despite similar degrees of habitat overlap as other pairs, the potential force of infection felt between 151589 and 15171 was over 10 times greater than other pairs. Importantly, X% of this total FOI for a hypothetical directly transmission pathogen like SCV2 was missed when only considering a joint utilization distribution between these two individuals</w:t>
      </w:r>
      <w:r w:rsidRPr="00A00AA8">
        <w:t xml:space="preserve">. While the importance of social interactions on contact rates has been documented previously in white-tailed deer (Grear </w:t>
      </w:r>
      <w:r w:rsidRPr="00A00AA8">
        <w:rPr>
          <w:i/>
          <w:iCs/>
        </w:rPr>
        <w:t>et al.</w:t>
      </w:r>
      <w:r w:rsidRPr="00A00AA8">
        <w:t xml:space="preserve"> 2010; Schauber </w:t>
      </w:r>
      <w:r w:rsidRPr="00A00AA8">
        <w:rPr>
          <w:i/>
          <w:iCs/>
        </w:rPr>
        <w:t>et al.</w:t>
      </w:r>
      <w:r w:rsidRPr="00A00AA8">
        <w:t xml:space="preserve"> 2015), PMoveSTIR allows us to directly quantify the contribution of these social interactions to the force of infection and move from qualitative conclusions about the importance of social interactions for disease dynamics to movement-informed quantitative models.</w:t>
      </w:r>
    </w:p>
    <w:p w14:paraId="2070AC7F" w14:textId="43FE7BB2" w:rsidR="00262585" w:rsidRDefault="00000000">
      <w:pPr>
        <w:pStyle w:val="BodyText"/>
      </w:pPr>
      <w:r>
        <w:t xml:space="preserve">In practice, significant correlations that affect FOI beyond the overlap in UDs could also arise from fine-scale temporal patterns of resource use that are not related to social interactions. For example, consider two individuals that move more or less independently but visit a highly localized resource briefly, but at similar times each day (e.g., visiting a watering hole at similar times every day VanderWaal </w:t>
      </w:r>
      <w:r>
        <w:rPr>
          <w:i/>
          <w:iCs/>
        </w:rPr>
        <w:t>et al.</w:t>
      </w:r>
      <w:r>
        <w:t xml:space="preserve"> 2017). The overlap of stationary utilization distributions would likely not reflect this area as an area of high contact and transmission risk, primarily because of a mismatch between the long-term use perspective of a UD compared to interactions that are occurring at a fine temporal scale at the localized resource. This interaction would instead be reflected in the correlation term of equation </w:t>
      </w:r>
      <w:r w:rsidR="00CB14CF">
        <w:t>6</w:t>
      </w:r>
      <w:r>
        <w:t xml:space="preserve"> and could greatly affect the estimated FOI. Alternatively, considering temporally varying UDs (i.e. the top right corner in Fig. </w:t>
      </w:r>
      <w:hyperlink w:anchor="fig:square">
        <w:r>
          <w:rPr>
            <w:rStyle w:val="Hyperlink"/>
          </w:rPr>
          <w:t>1</w:t>
        </w:r>
      </w:hyperlink>
      <w:r>
        <w:t>), where the joint probability of use would likely capture both spatial and temporal associations, would reduce the relative importance of spatial-temporal correlations that were not directly related to social interactions. However, non-parametrically estimating transient UDs (e.g., using AKDEs) at fine temporal scales with limited data points is not often feasible. Thus, we expect that epidemiologically important spatial correlations in movement will often be statistically captured by the correlation term of PMoveSTIR, even when they are not directly a result of social interactions.</w:t>
      </w:r>
    </w:p>
    <w:p w14:paraId="1D963F55" w14:textId="25798721" w:rsidR="00262585" w:rsidRDefault="00000000">
      <w:pPr>
        <w:pStyle w:val="BodyText"/>
      </w:pPr>
      <w:r>
        <w:t xml:space="preserve">While spatial correlations in movement can play a sizable role in transmission for fast-paced pathogens, we found that ignoring these interactions may only have marginal effects on transmission for parasites with longer persistence times, like chronic wasting disease and anthrax. </w:t>
      </w:r>
      <w:commentRangeStart w:id="19"/>
      <w:r>
        <w:t>Rather, knowing about joint space use is largely sufficient for understanding local transmission risk</w:t>
      </w:r>
      <w:commentRangeEnd w:id="19"/>
      <w:r w:rsidR="00C640A9">
        <w:rPr>
          <w:rStyle w:val="CommentReference"/>
        </w:rPr>
        <w:commentReference w:id="19"/>
      </w:r>
      <w:r>
        <w:t xml:space="preserve">. Interestingly, empirical transmission patterns of CWD in white-tailed deer populations only partially support this finding, as increased genetic relatedness among white-tailed deer (i.e., a proxy for social connectedness) increased the probability of CWD infection beyond shared space use (Grear </w:t>
      </w:r>
      <w:r>
        <w:rPr>
          <w:i/>
          <w:iCs/>
        </w:rPr>
        <w:t>et al.</w:t>
      </w:r>
      <w:r>
        <w:t xml:space="preserve"> 2010</w:t>
      </w:r>
      <w:r w:rsidR="00A00AA8">
        <w:t>; add additional citations as necessary</w:t>
      </w:r>
      <w:r>
        <w:t xml:space="preserve">). Given the complex relationship between animal movements and time-lagged correlations in movement (Fig. S1), there are clearly scenarios where correlations in movements and direct contacts still can disproportionately affect transmission risk even </w:t>
      </w:r>
      <w:r>
        <w:lastRenderedPageBreak/>
        <w:t xml:space="preserve">for pathogens with long persistence in the environment. </w:t>
      </w:r>
      <w:r w:rsidR="0005229B">
        <w:t xml:space="preserve"> [transition] </w:t>
      </w:r>
      <w:r>
        <w:t>The theory we develop here provides a clear, quantitative guide to assess when fine-scale and temporally synchronous movement data is necessary for capturing disease dynamics and when coarser scale, asynchronous movement data focused strictly on UD estimation can be sufficient.</w:t>
      </w:r>
    </w:p>
    <w:p w14:paraId="71D644AD" w14:textId="6D66488D" w:rsidR="00325783" w:rsidRDefault="00325783">
      <w:pPr>
        <w:pStyle w:val="BodyText"/>
      </w:pPr>
      <w:r>
        <w:t xml:space="preserve">[Transition to broader goals of </w:t>
      </w:r>
      <w:proofErr w:type="spellStart"/>
      <w:r>
        <w:t>PMoveSTIR</w:t>
      </w:r>
      <w:proofErr w:type="spellEnd"/>
      <w:r>
        <w:t>]</w:t>
      </w:r>
    </w:p>
    <w:p w14:paraId="28086663" w14:textId="77777777" w:rsidR="00262585" w:rsidRDefault="00000000">
      <w:pPr>
        <w:pStyle w:val="BodyText"/>
      </w:pPr>
      <w:r>
        <w:t xml:space="preserve">By linking observed movement data and inferred contact with underlying environmental factors, a broad goal of PMoveSTIR is to facilitate the creation of an epidemiological risk landscape that is independent of geographical location, which may enable out-of-sample prediction of transmission risk in novel landscapes (Manlove </w:t>
      </w:r>
      <w:r>
        <w:rPr>
          <w:i/>
          <w:iCs/>
        </w:rPr>
        <w:t>et al.</w:t>
      </w:r>
      <w:r>
        <w:t xml:space="preserve"> 2022). Understanding these associations could allow us to forecast future disease dynamics in the study population, project population-wide disease spread as information on more individuals becomes available, or even quantify transmission risk for other populations in similar environments. Previous studies have created system-specific models that make this link, for example using step selection functions with environmental covariates as predictors of daily probabilities of use, and using these probabilities to simulate local disease dynamics (Merkle </w:t>
      </w:r>
      <w:r>
        <w:rPr>
          <w:i/>
          <w:iCs/>
        </w:rPr>
        <w:t>et al.</w:t>
      </w:r>
      <w:r>
        <w:t xml:space="preserve"> 2018). Our model provides a generalizable theoretical foundation to perform this type of analysis across different host-parasite systems, and it can be integrated with any method for estimating utilization distributions (Signer </w:t>
      </w:r>
      <w:r>
        <w:rPr>
          <w:i/>
          <w:iCs/>
        </w:rPr>
        <w:t>et al.</w:t>
      </w:r>
      <w:r>
        <w:t xml:space="preserve"> 2017; Merkle </w:t>
      </w:r>
      <w:r>
        <w:rPr>
          <w:i/>
          <w:iCs/>
        </w:rPr>
        <w:t>et al.</w:t>
      </w:r>
      <w:r>
        <w:t xml:space="preserve"> 2018; Michelot </w:t>
      </w:r>
      <w:r>
        <w:rPr>
          <w:i/>
          <w:iCs/>
        </w:rPr>
        <w:t>et al.</w:t>
      </w:r>
      <w:r>
        <w:t xml:space="preserve"> 2020; Potts &amp; Börger 2023). In addition to covariates that define movement, PMoveSTIR can also incorporate spatially and temporally heterogeneous epidemiological parameters, for example parasite survival rates that vary between habitat types and seasons (Daversa </w:t>
      </w:r>
      <w:r>
        <w:rPr>
          <w:i/>
          <w:iCs/>
        </w:rPr>
        <w:t>et al.</w:t>
      </w:r>
      <w:r>
        <w:t xml:space="preserve"> 2017), or spatially localized shedding (Weinstein </w:t>
      </w:r>
      <w:r>
        <w:rPr>
          <w:i/>
          <w:iCs/>
        </w:rPr>
        <w:t>et al.</w:t>
      </w:r>
      <w:r>
        <w:t xml:space="preserve"> 2018).</w:t>
      </w:r>
    </w:p>
    <w:p w14:paraId="654CBAE1" w14:textId="64439C26" w:rsidR="00262585" w:rsidRDefault="00000000">
      <w:pPr>
        <w:pStyle w:val="BodyText"/>
      </w:pPr>
      <w:r>
        <w:t xml:space="preserve">Predicting epidemiological landscapes from host movements relies on the key assumption that environmental characteristics strongly influence movement and space use. While there is a growing number of methods that quantify the effect of environmental characteristics on movement and habitat use (reviewed in Hooten </w:t>
      </w:r>
      <w:r>
        <w:rPr>
          <w:i/>
          <w:iCs/>
        </w:rPr>
        <w:t>et al.</w:t>
      </w:r>
      <w:r>
        <w:t xml:space="preserve"> 2017), there has been much less work exploring how (and if) environment affects and predicts correlation and synchrony among hosts </w:t>
      </w:r>
      <w:r w:rsidRPr="00714FBE">
        <w:rPr>
          <w:highlight w:val="yellow"/>
        </w:rPr>
        <w:t>[but see citations</w:t>
      </w:r>
      <w:r>
        <w:t xml:space="preserve">]. An essential next-step for building epidemiological landscapes will be predictive models of spatio-temporal correlation among individuals. This is an open challenge, though recent progress in predicting the dynamics of group formation will likely be key (e.g. Brandell </w:t>
      </w:r>
      <w:r>
        <w:rPr>
          <w:i/>
          <w:iCs/>
        </w:rPr>
        <w:t>et al.</w:t>
      </w:r>
      <w:r>
        <w:t xml:space="preserve"> 2021). Our analyses emphasize the importance of this next step by showing that correlations at a local (cell) scale can create a vastly more heterogeneous transmission landscape, where adjacent cells could have widely different risks of infection. Moreover, correlations can lead to localized transmission hotspots that are not necessarily predictable from joint space use [e.g., Yang et al. in press], and may contribute to the growing empirical recognition that fine-scale, localized transmission hotspots are present in many empirical host-parasite systems (Albery </w:t>
      </w:r>
      <w:r>
        <w:rPr>
          <w:i/>
          <w:iCs/>
        </w:rPr>
        <w:t>et al.</w:t>
      </w:r>
      <w:r>
        <w:t xml:space="preserve"> 2021). Whether these localized transmission hotspots are predictable </w:t>
      </w:r>
      <w:r>
        <w:rPr>
          <w:i/>
          <w:iCs/>
        </w:rPr>
        <w:t>a priori</w:t>
      </w:r>
      <w:r>
        <w:t xml:space="preserve"> remains to be seen, but ignoring correlated movements can make </w:t>
      </w:r>
      <w:r w:rsidR="00714FBE">
        <w:t xml:space="preserve">prediction </w:t>
      </w:r>
      <w:r>
        <w:t>orders of magnitude more difficult for some pathogens.</w:t>
      </w:r>
    </w:p>
    <w:p w14:paraId="357BB202" w14:textId="5B594579" w:rsidR="00231F76" w:rsidRDefault="00231F76">
      <w:pPr>
        <w:pStyle w:val="BodyText"/>
      </w:pPr>
      <w:r>
        <w:t>[Concluding paragraph]</w:t>
      </w:r>
    </w:p>
    <w:p w14:paraId="1F844319" w14:textId="77777777" w:rsidR="00992DB8" w:rsidRDefault="00992DB8">
      <w:pPr>
        <w:pStyle w:val="BodyText"/>
      </w:pPr>
    </w:p>
    <w:p w14:paraId="4382372C" w14:textId="77777777" w:rsidR="00992DB8" w:rsidRDefault="00992DB8">
      <w:pPr>
        <w:pStyle w:val="BodyText"/>
      </w:pPr>
    </w:p>
    <w:p w14:paraId="7FCC787A" w14:textId="77777777" w:rsidR="00992DB8" w:rsidRDefault="00992DB8">
      <w:pPr>
        <w:pStyle w:val="BodyText"/>
      </w:pPr>
    </w:p>
    <w:p w14:paraId="4BAA3E8D" w14:textId="77777777" w:rsidR="00262585" w:rsidRDefault="00000000">
      <w:pPr>
        <w:pStyle w:val="CaptionedFigure"/>
      </w:pPr>
      <w:r>
        <w:rPr>
          <w:noProof/>
        </w:rPr>
        <w:drawing>
          <wp:inline distT="0" distB="0" distL="0" distR="0" wp14:anchorId="65A82B76" wp14:editId="2B904083">
            <wp:extent cx="3810000" cy="222090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10000" cy="2220904"/>
                    </a:xfrm>
                    <a:prstGeom prst="rect">
                      <a:avLst/>
                    </a:prstGeom>
                    <a:noFill/>
                    <a:ln w="9525">
                      <a:noFill/>
                      <a:headEnd/>
                      <a:tailEnd/>
                    </a:ln>
                  </pic:spPr>
                </pic:pic>
              </a:graphicData>
            </a:graphic>
          </wp:inline>
        </w:drawing>
      </w:r>
    </w:p>
    <w:p w14:paraId="5D2E87E1" w14:textId="43ABD167" w:rsidR="00262585" w:rsidRDefault="00725F1E">
      <w:pPr>
        <w:pStyle w:val="ImageCaption"/>
      </w:pPr>
      <w:r>
        <w:t xml:space="preserve">Figure 1: </w:t>
      </w:r>
      <w:r w:rsidR="00000000">
        <w:t>Conceptual figure describing the model developed in this manuscript: probabilistic movement-driven modeling of spatio-temporal infection risk. PMoveSTIR can be thought of as rectangle where the upper right-hand corner represents the most general case or heterogeneous space use by hosts and movement dynamics that are not statistically stationary. As space becomes increasingly uniform or movement becomes more statistically stationary, PMoveSTIR reduces to the upper-left hand corner or the lower-right hand corner. We primarily focus on the lower-right hand corner in this manuscript. When space use is uniform and movement is statistically stationary, we are in the lower-left hand corner of the PMoveSTIR rectangle, where we recover mass action transmission as a special case (assuming host movements are uncorrelated).</w:t>
      </w:r>
    </w:p>
    <w:p w14:paraId="5D1FA8B7" w14:textId="77777777" w:rsidR="00262585" w:rsidRDefault="00000000">
      <w:pPr>
        <w:pStyle w:val="CaptionedFigure"/>
      </w:pPr>
      <w:r>
        <w:rPr>
          <w:noProof/>
        </w:rPr>
        <w:lastRenderedPageBreak/>
        <w:drawing>
          <wp:inline distT="0" distB="0" distL="0" distR="0" wp14:anchorId="10961E9C" wp14:editId="3CF498D2">
            <wp:extent cx="5330979" cy="375621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30979" cy="3756211"/>
                    </a:xfrm>
                    <a:prstGeom prst="rect">
                      <a:avLst/>
                    </a:prstGeom>
                    <a:noFill/>
                    <a:ln w="9525">
                      <a:noFill/>
                      <a:headEnd/>
                      <a:tailEnd/>
                    </a:ln>
                  </pic:spPr>
                </pic:pic>
              </a:graphicData>
            </a:graphic>
          </wp:inline>
        </w:drawing>
      </w:r>
    </w:p>
    <w:p w14:paraId="2298567D" w14:textId="1C24D300" w:rsidR="00262585" w:rsidRDefault="00725F1E">
      <w:pPr>
        <w:pStyle w:val="ImageCaption"/>
      </w:pPr>
      <w:r>
        <w:t xml:space="preserve">Figure 2: </w:t>
      </w:r>
      <w:r w:rsidR="00000000">
        <w:t xml:space="preserve">Flow diagram for calculating spatial force of infection from movement data using </w:t>
      </w:r>
      <w:proofErr w:type="spellStart"/>
      <w:r w:rsidR="00000000">
        <w:t>PMoveSTIR</w:t>
      </w:r>
      <w:proofErr w:type="spellEnd"/>
      <w:r w:rsidR="00000000">
        <w:t>.</w:t>
      </w:r>
      <w:r>
        <w:t xml:space="preserve"> [We are working on a way to show the correlation surface more clearly</w:t>
      </w:r>
      <w:r w:rsidR="00103696">
        <w:t xml:space="preserve"> in the next draft</w:t>
      </w:r>
      <w:r>
        <w:t>]</w:t>
      </w:r>
    </w:p>
    <w:p w14:paraId="493AC35D" w14:textId="77777777" w:rsidR="00262585" w:rsidRDefault="00000000">
      <w:pPr>
        <w:pStyle w:val="CaptionedFigure"/>
      </w:pPr>
      <w:r>
        <w:rPr>
          <w:noProof/>
        </w:rPr>
        <w:lastRenderedPageBreak/>
        <w:drawing>
          <wp:inline distT="0" distB="0" distL="0" distR="0" wp14:anchorId="11D82B10" wp14:editId="09A1052B">
            <wp:extent cx="5334000" cy="3556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6E65AB56" w14:textId="132A41DF" w:rsidR="00262585" w:rsidRDefault="00093ECB">
      <w:pPr>
        <w:pStyle w:val="ImageCaption"/>
      </w:pPr>
      <w:r>
        <w:t xml:space="preserve">Figure 3: </w:t>
      </w:r>
      <w:r w:rsidR="00000000">
        <w:t xml:space="preserve">Analysis of simulated movement data show how the force of infection (FOI) varies depending on strength of attraction between individuals and epidemiological parameters such as the decay rate and threshold distance that defines a contact. </w:t>
      </w:r>
      <w:r w:rsidR="00000000">
        <w:rPr>
          <w:b/>
          <w:bCs/>
        </w:rPr>
        <w:t>A.</w:t>
      </w:r>
      <w:r w:rsidR="00000000">
        <w:t xml:space="preserve"> Blue boxplots give the relative FOI between pairs of individuals when only spatial overlap is considered. Red boxplots give the relative FOI when both spatial overlap and correlation in movement are considered. </w:t>
      </w:r>
      <w:r w:rsidR="00000000">
        <w:rPr>
          <w:b/>
          <w:bCs/>
        </w:rPr>
        <w:t>B.</w:t>
      </w:r>
      <w:r w:rsidR="00000000">
        <w:t xml:space="preserve"> The relationships between the decay time of a parasite in the environment and the (relative) FOI experienced between a pair of hosts. Different colors indicate different interaction strengths between individuals. </w:t>
      </w:r>
      <w:r w:rsidR="00000000">
        <w:rPr>
          <w:b/>
          <w:bCs/>
        </w:rPr>
        <w:t>C.</w:t>
      </w:r>
      <w:r w:rsidR="00000000">
        <w:t xml:space="preserve"> The relationship between cell size in which a contact can occur and relative FOI. </w:t>
      </w:r>
      <w:r w:rsidR="00000000">
        <w:rPr>
          <w:b/>
          <w:bCs/>
        </w:rPr>
        <w:t>D.</w:t>
      </w:r>
      <w:r w:rsidR="00000000">
        <w:t xml:space="preserve"> The relationship between home range overlap (as measured by the Bhattacharyya coefficient) and the ratio between FOI with spatial overlap and correlated movements and FOI with just spatial overlap. A ratio greater than one indicates that correlated movement is increasing FOI relative to spatial overlap and a ratio less than one indicates that correlated movement is decreasing the FOI. Varying interaction strengths are included in this plot. </w:t>
      </w:r>
      <w:r w:rsidR="00000000">
        <w:rPr>
          <w:b/>
          <w:bCs/>
        </w:rPr>
        <w:t>E.</w:t>
      </w:r>
      <w:r w:rsidR="00000000">
        <w:t xml:space="preserve"> The relationships between the decay time of the pathogen in the environment and the FOI ratio (FOI from spatial overlap + correlated movements / FOI from just spatial overlap). </w:t>
      </w:r>
      <w:r w:rsidR="00000000">
        <w:rPr>
          <w:b/>
          <w:bCs/>
        </w:rPr>
        <w:t>F.</w:t>
      </w:r>
      <w:r w:rsidR="00000000">
        <w:t xml:space="preserve"> [Remove this subplot?]. </w:t>
      </w:r>
    </w:p>
    <w:p w14:paraId="4D6AF94E" w14:textId="77777777" w:rsidR="00262585" w:rsidRDefault="00000000">
      <w:pPr>
        <w:pStyle w:val="CaptionedFigure"/>
      </w:pPr>
      <w:r>
        <w:rPr>
          <w:noProof/>
        </w:rPr>
        <w:lastRenderedPageBreak/>
        <w:drawing>
          <wp:inline distT="0" distB="0" distL="0" distR="0" wp14:anchorId="5B5890D9" wp14:editId="6FB9C2C0">
            <wp:extent cx="5334000" cy="3773757"/>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ures/deer_results.jpg"/>
                    <pic:cNvPicPr>
                      <a:picLocks noChangeAspect="1" noChangeArrowheads="1"/>
                    </pic:cNvPicPr>
                  </pic:nvPicPr>
                  <pic:blipFill>
                    <a:blip r:embed="rId14"/>
                    <a:stretch>
                      <a:fillRect/>
                    </a:stretch>
                  </pic:blipFill>
                  <pic:spPr bwMode="auto">
                    <a:xfrm>
                      <a:off x="0" y="0"/>
                      <a:ext cx="5334000" cy="3773757"/>
                    </a:xfrm>
                    <a:prstGeom prst="rect">
                      <a:avLst/>
                    </a:prstGeom>
                    <a:noFill/>
                    <a:ln w="9525">
                      <a:noFill/>
                      <a:headEnd/>
                      <a:tailEnd/>
                    </a:ln>
                  </pic:spPr>
                </pic:pic>
              </a:graphicData>
            </a:graphic>
          </wp:inline>
        </w:drawing>
      </w:r>
    </w:p>
    <w:p w14:paraId="1BEAF0F1" w14:textId="683D3CFE" w:rsidR="00262585" w:rsidRDefault="00093ECB">
      <w:pPr>
        <w:pStyle w:val="ImageCaption"/>
      </w:pPr>
      <w:r>
        <w:t>Figure 4:</w:t>
      </w:r>
      <w:r w:rsidR="00FA341A">
        <w:t xml:space="preserve"> </w:t>
      </w:r>
      <w:r w:rsidR="00000000">
        <w:t>[Break this up into multiple plots...hard to read otherwise]. [Update network figures]</w:t>
      </w:r>
      <w:r w:rsidR="00FE57F6">
        <w:t xml:space="preserve"> [</w:t>
      </w:r>
      <w:r w:rsidR="003B49DE">
        <w:t>Label Deer IDs in the plot</w:t>
      </w:r>
      <w:r w:rsidR="00FE57F6">
        <w:t>]</w:t>
      </w:r>
    </w:p>
    <w:p w14:paraId="28B48259" w14:textId="77777777" w:rsidR="00080B59" w:rsidRDefault="00080B59">
      <w:pPr>
        <w:pStyle w:val="Bibliography"/>
      </w:pPr>
      <w:bookmarkStart w:id="20" w:name="ref-Albery2021"/>
      <w:bookmarkStart w:id="21" w:name="refs"/>
    </w:p>
    <w:p w14:paraId="0D00BBF4" w14:textId="77777777" w:rsidR="00080B59" w:rsidRDefault="00080B59">
      <w:pPr>
        <w:pStyle w:val="Bibliography"/>
      </w:pPr>
    </w:p>
    <w:p w14:paraId="13B334EA" w14:textId="77777777" w:rsidR="00080B59" w:rsidRDefault="00080B59">
      <w:pPr>
        <w:pStyle w:val="Bibliography"/>
      </w:pPr>
    </w:p>
    <w:p w14:paraId="24CEA188" w14:textId="77F9A429" w:rsidR="00080B59" w:rsidRPr="00080B59" w:rsidRDefault="00080B59">
      <w:pPr>
        <w:pStyle w:val="Bibliography"/>
        <w:rPr>
          <w:b/>
          <w:bCs/>
        </w:rPr>
      </w:pPr>
      <w:r>
        <w:rPr>
          <w:b/>
          <w:bCs/>
        </w:rPr>
        <w:t>References</w:t>
      </w:r>
    </w:p>
    <w:p w14:paraId="1F2A0B98" w14:textId="5D01B020" w:rsidR="00262585" w:rsidRDefault="00000000">
      <w:pPr>
        <w:pStyle w:val="Bibliography"/>
      </w:pPr>
      <w:proofErr w:type="spellStart"/>
      <w:r>
        <w:t>Albery</w:t>
      </w:r>
      <w:proofErr w:type="spellEnd"/>
      <w:r>
        <w:t xml:space="preserve">, G.F., Sweeny, A.R., Becker, D.J. &amp; Bansal, S. (2021). </w:t>
      </w:r>
      <w:hyperlink r:id="rId15">
        <w:r>
          <w:rPr>
            <w:rStyle w:val="Hyperlink"/>
          </w:rPr>
          <w:t>Fine-scale spatial patterns of wildlife disease are common and understudied</w:t>
        </w:r>
      </w:hyperlink>
      <w:r>
        <w:t xml:space="preserve">. </w:t>
      </w:r>
      <w:r>
        <w:rPr>
          <w:i/>
          <w:iCs/>
        </w:rPr>
        <w:t>Functional Ecology</w:t>
      </w:r>
      <w:r>
        <w:t xml:space="preserve">, </w:t>
      </w:r>
      <w:r>
        <w:rPr>
          <w:b/>
          <w:bCs/>
        </w:rPr>
        <w:t>36</w:t>
      </w:r>
      <w:r>
        <w:t>, 214–225.</w:t>
      </w:r>
    </w:p>
    <w:p w14:paraId="2B0B88FB" w14:textId="77777777" w:rsidR="00262585" w:rsidRDefault="00000000">
      <w:pPr>
        <w:pStyle w:val="Bibliography"/>
      </w:pPr>
      <w:bookmarkStart w:id="22" w:name="ref-Alston2022"/>
      <w:bookmarkEnd w:id="20"/>
      <w:r>
        <w:t xml:space="preserve">Alston, J.M., Fleming, C.H., Noonan, M.J., Tucker, M.A., Silva, I., Folta, C., Akre, T.S.B., Ali, A.H., Belant, J.L., Beyer, D., Blaum, N., Böhning-Gaese, K., Paula, R.C. de, Dekker, J., Drescher-Lehman, J., Farwig, N., Fichtel, C., Fischer, C., Ford5, A.T., Janssen, R., Jeltsch, F., Kappeler, P.M., LaPoint, S.D., Markham, A.C., Medic, E.P., Morato, R.G., Nathan, R., Olson, K.A., Patterson, B.D., Petroelje, T.R., Ramalho, E.E., Rösner, S., Santos, L.G.O., Schabo, D.G., Selva, N., Sergiel, A., Spiegel, O., Ullmann, W., Zieba, F., Zwiacz-Kozica, T., Wittemyer, G., Fagan, W.F., Müller, T. &amp; Calabrese, J.M. (2022). </w:t>
      </w:r>
      <w:hyperlink r:id="rId16">
        <w:r>
          <w:rPr>
            <w:rStyle w:val="Hyperlink"/>
          </w:rPr>
          <w:t>Clarifying space use concepts in ecology : range vs . occurrence distributions (preprint)</w:t>
        </w:r>
      </w:hyperlink>
      <w:r>
        <w:t xml:space="preserve">. </w:t>
      </w:r>
      <w:r>
        <w:rPr>
          <w:i/>
          <w:iCs/>
        </w:rPr>
        <w:t>bioRxiv preprint</w:t>
      </w:r>
      <w:r>
        <w:t>, 2022.09.29.509951.</w:t>
      </w:r>
    </w:p>
    <w:p w14:paraId="7492D8F3" w14:textId="77777777" w:rsidR="00262585" w:rsidRDefault="00000000">
      <w:pPr>
        <w:pStyle w:val="Bibliography"/>
      </w:pPr>
      <w:bookmarkStart w:id="23" w:name="ref-Brandell2021"/>
      <w:bookmarkEnd w:id="22"/>
      <w:r>
        <w:t xml:space="preserve">Brandell, E.E., Dobson, A.P., Hudson, P.J., Cross, P.C. &amp; Smith, D.W. (2021). </w:t>
      </w:r>
      <w:hyperlink r:id="rId17">
        <w:r>
          <w:rPr>
            <w:rStyle w:val="Hyperlink"/>
          </w:rPr>
          <w:t>A metapopulation model of social group dynamics and disease applied to Yellowstone wolves</w:t>
        </w:r>
      </w:hyperlink>
      <w:r>
        <w:t xml:space="preserve">. </w:t>
      </w:r>
      <w:r>
        <w:rPr>
          <w:i/>
          <w:iCs/>
        </w:rPr>
        <w:t>Proceedings of the National Academy of Science</w:t>
      </w:r>
      <w:r>
        <w:t xml:space="preserve">, </w:t>
      </w:r>
      <w:r>
        <w:rPr>
          <w:b/>
          <w:bCs/>
        </w:rPr>
        <w:t>118</w:t>
      </w:r>
      <w:r>
        <w:t>, e2020023118.</w:t>
      </w:r>
    </w:p>
    <w:p w14:paraId="4099E554" w14:textId="77777777" w:rsidR="00262585" w:rsidRDefault="00000000">
      <w:pPr>
        <w:pStyle w:val="Bibliography"/>
      </w:pPr>
      <w:bookmarkStart w:id="24" w:name="ref-Calabrese2016"/>
      <w:bookmarkEnd w:id="23"/>
      <w:r>
        <w:lastRenderedPageBreak/>
        <w:t xml:space="preserve">Calabrese, J.M., Fleming, C.H. &amp; Gurarie, E. (2016). </w:t>
      </w:r>
      <w:hyperlink r:id="rId18">
        <w:r>
          <w:rPr>
            <w:rStyle w:val="Hyperlink"/>
          </w:rPr>
          <w:t>Ctmm: An &lt;scp&gt;r&lt;/scp&gt; package for analyzing animal relocation data as a continuous‐time stochastic process</w:t>
        </w:r>
      </w:hyperlink>
      <w:r>
        <w:t xml:space="preserve"> (R. Freckleton, Ed.). </w:t>
      </w:r>
      <w:r>
        <w:rPr>
          <w:i/>
          <w:iCs/>
        </w:rPr>
        <w:t>Methods in Ecology and Evolution</w:t>
      </w:r>
      <w:r>
        <w:t xml:space="preserve">, </w:t>
      </w:r>
      <w:r>
        <w:rPr>
          <w:b/>
          <w:bCs/>
        </w:rPr>
        <w:t>7</w:t>
      </w:r>
      <w:r>
        <w:t>, 1124–1132.</w:t>
      </w:r>
    </w:p>
    <w:p w14:paraId="6AFF9584" w14:textId="77777777" w:rsidR="00262585" w:rsidRDefault="00000000">
      <w:pPr>
        <w:pStyle w:val="Bibliography"/>
      </w:pPr>
      <w:bookmarkStart w:id="25" w:name="ref-Cortez2021"/>
      <w:bookmarkEnd w:id="24"/>
      <w:r>
        <w:t xml:space="preserve">Cortez, M.H. &amp; Duffy, M.A. and. (2021). </w:t>
      </w:r>
      <w:hyperlink r:id="rId19">
        <w:r>
          <w:rPr>
            <w:rStyle w:val="Hyperlink"/>
          </w:rPr>
          <w:t>The Context-Dependent Effects of Host Competence, Competition, and Pathogen Transmission Mode on Disease Prevalence</w:t>
        </w:r>
      </w:hyperlink>
      <w:r>
        <w:t xml:space="preserve">. </w:t>
      </w:r>
      <w:r>
        <w:rPr>
          <w:i/>
          <w:iCs/>
        </w:rPr>
        <w:t>The American Naturalist</w:t>
      </w:r>
      <w:r>
        <w:t xml:space="preserve">, </w:t>
      </w:r>
      <w:r>
        <w:rPr>
          <w:b/>
          <w:bCs/>
        </w:rPr>
        <w:t>198</w:t>
      </w:r>
      <w:r>
        <w:t>, 179–194.</w:t>
      </w:r>
    </w:p>
    <w:p w14:paraId="6A17C629" w14:textId="77777777" w:rsidR="00262585" w:rsidRDefault="00000000">
      <w:pPr>
        <w:pStyle w:val="Bibliography"/>
      </w:pPr>
      <w:bookmarkStart w:id="26" w:name="ref-Das2023"/>
      <w:bookmarkEnd w:id="25"/>
      <w:r>
        <w:t xml:space="preserve">Das, D., Kenkre, V.M., Nathan, R. &amp; Giuggioli, L. (2023). </w:t>
      </w:r>
      <w:hyperlink r:id="rId20">
        <w:r>
          <w:rPr>
            <w:rStyle w:val="Hyperlink"/>
          </w:rPr>
          <w:t>Misconceptions about quantifying animal encounter and interaction processes</w:t>
        </w:r>
      </w:hyperlink>
      <w:r>
        <w:t xml:space="preserve">. </w:t>
      </w:r>
      <w:r>
        <w:rPr>
          <w:i/>
          <w:iCs/>
        </w:rPr>
        <w:t>Frontiers in Ecology and Evolution</w:t>
      </w:r>
      <w:r>
        <w:t xml:space="preserve">, </w:t>
      </w:r>
      <w:r>
        <w:rPr>
          <w:b/>
          <w:bCs/>
        </w:rPr>
        <w:t>11</w:t>
      </w:r>
      <w:r>
        <w:t>, 1230890.</w:t>
      </w:r>
    </w:p>
    <w:p w14:paraId="2D1A119A" w14:textId="77777777" w:rsidR="00262585" w:rsidRDefault="00000000">
      <w:pPr>
        <w:pStyle w:val="Bibliography"/>
      </w:pPr>
      <w:bookmarkStart w:id="27" w:name="ref-Daversa2017"/>
      <w:bookmarkEnd w:id="26"/>
      <w:r>
        <w:t xml:space="preserve">Daversa, D.R., Fenton, A., Dell, A.I., Garner, T.W.J. &amp; Manica, A. (2017). </w:t>
      </w:r>
      <w:hyperlink r:id="rId21">
        <w:r>
          <w:rPr>
            <w:rStyle w:val="Hyperlink"/>
          </w:rPr>
          <w:t>Infections on the move: How transient phases of host movement influence disease spread</w:t>
        </w:r>
      </w:hyperlink>
      <w:r>
        <w:t xml:space="preserve">. </w:t>
      </w:r>
      <w:r>
        <w:rPr>
          <w:i/>
          <w:iCs/>
        </w:rPr>
        <w:t>Proceedings of the Royal Society B: Biological Sciences</w:t>
      </w:r>
      <w:r>
        <w:t xml:space="preserve">, </w:t>
      </w:r>
      <w:r>
        <w:rPr>
          <w:b/>
          <w:bCs/>
        </w:rPr>
        <w:t>284</w:t>
      </w:r>
      <w:r>
        <w:t>.</w:t>
      </w:r>
    </w:p>
    <w:p w14:paraId="5C21FA57" w14:textId="77777777" w:rsidR="00262585" w:rsidRDefault="00000000">
      <w:pPr>
        <w:pStyle w:val="Bibliography"/>
      </w:pPr>
      <w:bookmarkStart w:id="28" w:name="ref-Dougherty2022"/>
      <w:bookmarkEnd w:id="27"/>
      <w:r>
        <w:t xml:space="preserve">Dougherty, E.R., Seidel, D.P., Blackburn, J.K., Turner, W.C. &amp; Getz, W.M. (2022). </w:t>
      </w:r>
      <w:hyperlink r:id="rId22">
        <w:r>
          <w:rPr>
            <w:rStyle w:val="Hyperlink"/>
          </w:rPr>
          <w:t>A framework for integrating inferred movement behavior into disease risk models</w:t>
        </w:r>
      </w:hyperlink>
      <w:r>
        <w:t xml:space="preserve">. </w:t>
      </w:r>
      <w:r>
        <w:rPr>
          <w:i/>
          <w:iCs/>
        </w:rPr>
        <w:t>Movement Ecology</w:t>
      </w:r>
      <w:r>
        <w:t xml:space="preserve">, </w:t>
      </w:r>
      <w:r>
        <w:rPr>
          <w:b/>
          <w:bCs/>
        </w:rPr>
        <w:t>10</w:t>
      </w:r>
      <w:r>
        <w:t>.</w:t>
      </w:r>
    </w:p>
    <w:p w14:paraId="1E8DBAB1" w14:textId="77777777" w:rsidR="00262585" w:rsidRDefault="00000000">
      <w:pPr>
        <w:pStyle w:val="Bibliography"/>
      </w:pPr>
      <w:bookmarkStart w:id="29" w:name="ref-Dougherty2018"/>
      <w:bookmarkEnd w:id="28"/>
      <w:r>
        <w:t xml:space="preserve">Dougherty, E.R., Seidel, D.P., Carlson, C.J., Spiegel, O. &amp; Getz, W.M. (2018). </w:t>
      </w:r>
      <w:hyperlink r:id="rId23">
        <w:r>
          <w:rPr>
            <w:rStyle w:val="Hyperlink"/>
          </w:rPr>
          <w:t>Going through the motions: Incorporating movement analyses into disease research</w:t>
        </w:r>
      </w:hyperlink>
      <w:r>
        <w:t xml:space="preserve">. </w:t>
      </w:r>
      <w:r>
        <w:rPr>
          <w:i/>
          <w:iCs/>
        </w:rPr>
        <w:t>Ecology Letters</w:t>
      </w:r>
      <w:r>
        <w:t>, 588–604.</w:t>
      </w:r>
    </w:p>
    <w:p w14:paraId="3E3FDF09" w14:textId="77777777" w:rsidR="00262585" w:rsidRDefault="00000000">
      <w:pPr>
        <w:pStyle w:val="Bibliography"/>
      </w:pPr>
      <w:bookmarkStart w:id="30" w:name="ref-Drewe2012"/>
      <w:bookmarkEnd w:id="29"/>
      <w:r>
        <w:t xml:space="preserve">Drewe, J.A., Weber, N., Carter, S.P., Bearhop, S., Harrison, X.A., Dall, S.R.X., McDonald, R.A. &amp; Delahay, R.J. (2012). </w:t>
      </w:r>
      <w:hyperlink r:id="rId24">
        <w:r>
          <w:rPr>
            <w:rStyle w:val="Hyperlink"/>
          </w:rPr>
          <w:t>Performance of proximity loggers in recording intra- and inter-species interactions: A laboratory and field-based validation study</w:t>
        </w:r>
      </w:hyperlink>
      <w:r>
        <w:t xml:space="preserve">. </w:t>
      </w:r>
      <w:r>
        <w:rPr>
          <w:i/>
          <w:iCs/>
        </w:rPr>
        <w:t>PLoS ONE</w:t>
      </w:r>
      <w:r>
        <w:t xml:space="preserve">, </w:t>
      </w:r>
      <w:r>
        <w:rPr>
          <w:b/>
          <w:bCs/>
        </w:rPr>
        <w:t>7</w:t>
      </w:r>
      <w:r>
        <w:t>, e39068.</w:t>
      </w:r>
    </w:p>
    <w:p w14:paraId="335C21BB" w14:textId="77777777" w:rsidR="00262585" w:rsidRDefault="00000000">
      <w:pPr>
        <w:pStyle w:val="Bibliography"/>
      </w:pPr>
      <w:bookmarkStart w:id="31" w:name="ref-Fleming2014"/>
      <w:bookmarkEnd w:id="30"/>
      <w:r>
        <w:t xml:space="preserve">Fleming, C.H., Calabrese, J.M., Mueller, T., Olson, K.A., Leimgruber, P. &amp; Fagan, W.F. (2014). </w:t>
      </w:r>
      <w:hyperlink r:id="rId25">
        <w:r>
          <w:rPr>
            <w:rStyle w:val="Hyperlink"/>
          </w:rPr>
          <w:t>Non-Markovian maximum likelihood estimation of autocorrelated movement processes</w:t>
        </w:r>
      </w:hyperlink>
      <w:r>
        <w:t xml:space="preserve"> (J. Travis, Ed.). </w:t>
      </w:r>
      <w:r>
        <w:rPr>
          <w:i/>
          <w:iCs/>
        </w:rPr>
        <w:t>Methods in Ecology and Evolution</w:t>
      </w:r>
      <w:r>
        <w:t xml:space="preserve">, </w:t>
      </w:r>
      <w:r>
        <w:rPr>
          <w:b/>
          <w:bCs/>
        </w:rPr>
        <w:t>5</w:t>
      </w:r>
      <w:r>
        <w:t>, 462–472.</w:t>
      </w:r>
    </w:p>
    <w:p w14:paraId="7086C505" w14:textId="77777777" w:rsidR="00262585" w:rsidRDefault="00000000">
      <w:pPr>
        <w:pStyle w:val="Bibliography"/>
      </w:pPr>
      <w:bookmarkStart w:id="32" w:name="ref-Godfrey2013"/>
      <w:bookmarkEnd w:id="31"/>
      <w:r>
        <w:t xml:space="preserve">Godfrey, S.S. (2013). </w:t>
      </w:r>
      <w:hyperlink r:id="rId26">
        <w:r>
          <w:rPr>
            <w:rStyle w:val="Hyperlink"/>
          </w:rPr>
          <w:t>Networks and the ecology of parasite transmission: A framework for wildlife parasitology.</w:t>
        </w:r>
      </w:hyperlink>
      <w:r>
        <w:t xml:space="preserve"> </w:t>
      </w:r>
      <w:r>
        <w:rPr>
          <w:i/>
          <w:iCs/>
        </w:rPr>
        <w:t>International journal for parasitology. Parasites and wildlife</w:t>
      </w:r>
      <w:r>
        <w:t xml:space="preserve">, </w:t>
      </w:r>
      <w:r>
        <w:rPr>
          <w:b/>
          <w:bCs/>
        </w:rPr>
        <w:t>2</w:t>
      </w:r>
      <w:r>
        <w:t>, 235–45.</w:t>
      </w:r>
    </w:p>
    <w:p w14:paraId="7D413298" w14:textId="77777777" w:rsidR="00262585" w:rsidRDefault="00000000">
      <w:pPr>
        <w:pStyle w:val="Bibliography"/>
      </w:pPr>
      <w:bookmarkStart w:id="33" w:name="ref-Godfrey2010"/>
      <w:bookmarkEnd w:id="32"/>
      <w:r>
        <w:t xml:space="preserve">Godfrey, S.S., Moore, J.A., Nelson, N.J. &amp; Bull, C.M. (2010). </w:t>
      </w:r>
      <w:hyperlink r:id="rId27">
        <w:r>
          <w:rPr>
            <w:rStyle w:val="Hyperlink"/>
          </w:rPr>
          <w:t>Social network structure and parasite infection patterns in a territorial reptile, the tuatara (Sphenodon punctatus)</w:t>
        </w:r>
      </w:hyperlink>
      <w:r>
        <w:t xml:space="preserve">. </w:t>
      </w:r>
      <w:r>
        <w:rPr>
          <w:i/>
          <w:iCs/>
        </w:rPr>
        <w:t>International Journal for Parasitology</w:t>
      </w:r>
      <w:r>
        <w:t xml:space="preserve">, </w:t>
      </w:r>
      <w:r>
        <w:rPr>
          <w:b/>
          <w:bCs/>
        </w:rPr>
        <w:t>40</w:t>
      </w:r>
      <w:r>
        <w:t>, 1575–1585.</w:t>
      </w:r>
    </w:p>
    <w:p w14:paraId="493EF312" w14:textId="77777777" w:rsidR="00262585" w:rsidRDefault="00000000">
      <w:pPr>
        <w:pStyle w:val="Bibliography"/>
      </w:pPr>
      <w:bookmarkStart w:id="34" w:name="ref-Grear2010"/>
      <w:bookmarkEnd w:id="33"/>
      <w:r>
        <w:t xml:space="preserve">Grear, D.A., Samuel, M.D., Scribner, K.T., Weckworth, B.V. &amp; Langenberg, J.A. (2010). </w:t>
      </w:r>
      <w:hyperlink r:id="rId28">
        <w:r>
          <w:rPr>
            <w:rStyle w:val="Hyperlink"/>
          </w:rPr>
          <w:t>Influence of genetic relatedness and spatial proximity on chronic wasting disease infection among female white-tailed deer</w:t>
        </w:r>
      </w:hyperlink>
      <w:r>
        <w:t xml:space="preserve">. </w:t>
      </w:r>
      <w:r>
        <w:rPr>
          <w:i/>
          <w:iCs/>
        </w:rPr>
        <w:t>Journal of Applied Ecology</w:t>
      </w:r>
      <w:r>
        <w:t xml:space="preserve">, </w:t>
      </w:r>
      <w:r>
        <w:rPr>
          <w:b/>
          <w:bCs/>
        </w:rPr>
        <w:t>47</w:t>
      </w:r>
      <w:r>
        <w:t>, 532–540.</w:t>
      </w:r>
    </w:p>
    <w:p w14:paraId="0EFFCB24" w14:textId="77777777" w:rsidR="00262585" w:rsidRDefault="00000000">
      <w:pPr>
        <w:pStyle w:val="Bibliography"/>
      </w:pPr>
      <w:bookmarkStart w:id="35" w:name="ref-Grimmett2001"/>
      <w:bookmarkEnd w:id="34"/>
      <w:r>
        <w:t xml:space="preserve">Grimmett, Geoffrey. &amp; Stirzaker, David. (2001). </w:t>
      </w:r>
      <w:r>
        <w:rPr>
          <w:i/>
          <w:iCs/>
        </w:rPr>
        <w:t xml:space="preserve">Probability and random processes </w:t>
      </w:r>
      <w:r>
        <w:t>, 3rd ed.n. Oxford University Press, Oxford ;</w:t>
      </w:r>
    </w:p>
    <w:p w14:paraId="0620D024" w14:textId="77777777" w:rsidR="00262585" w:rsidRDefault="00000000">
      <w:pPr>
        <w:pStyle w:val="Bibliography"/>
      </w:pPr>
      <w:bookmarkStart w:id="36" w:name="ref-Gurarie2013"/>
      <w:bookmarkEnd w:id="35"/>
      <w:r>
        <w:t xml:space="preserve">Gurarie, E. &amp; Ovaskainen, O. (2013). </w:t>
      </w:r>
      <w:hyperlink r:id="rId29">
        <w:r>
          <w:rPr>
            <w:rStyle w:val="Hyperlink"/>
          </w:rPr>
          <w:t>Towards a general formalization of encounter rates in ecology</w:t>
        </w:r>
      </w:hyperlink>
      <w:r>
        <w:t xml:space="preserve">. </w:t>
      </w:r>
      <w:r>
        <w:rPr>
          <w:i/>
          <w:iCs/>
        </w:rPr>
        <w:t>Theoretical Ecology</w:t>
      </w:r>
      <w:r>
        <w:t xml:space="preserve">, </w:t>
      </w:r>
      <w:r>
        <w:rPr>
          <w:b/>
          <w:bCs/>
        </w:rPr>
        <w:t>6</w:t>
      </w:r>
      <w:r>
        <w:t>, 189–202.</w:t>
      </w:r>
    </w:p>
    <w:p w14:paraId="33DDA110" w14:textId="77777777" w:rsidR="00262585" w:rsidRDefault="00000000">
      <w:pPr>
        <w:pStyle w:val="Bibliography"/>
      </w:pPr>
      <w:bookmarkStart w:id="37" w:name="ref-Hale2022"/>
      <w:bookmarkEnd w:id="36"/>
      <w:r>
        <w:lastRenderedPageBreak/>
        <w:t xml:space="preserve">Hale, V.L., Dennis, P.M., McBride, D.S., Nolting, J.M., Madden, C., Huey, D., Ehrlich, M., Grieser, J., Winston, J., Lombardi, D., Gibson, S., Saif, L., Killian, M.L., Lantz, K., Tell, R.M., Torchetti, M., Robbe-Austerman, S., Nelson, M.I., Faith, S.A. &amp; Bowman, A.S. (2022). </w:t>
      </w:r>
      <w:hyperlink r:id="rId30">
        <w:r>
          <w:rPr>
            <w:rStyle w:val="Hyperlink"/>
          </w:rPr>
          <w:t>SARS-CoV-2 infection in free-ranging white-tailed deer</w:t>
        </w:r>
      </w:hyperlink>
      <w:r>
        <w:t xml:space="preserve">. </w:t>
      </w:r>
      <w:r>
        <w:rPr>
          <w:i/>
          <w:iCs/>
        </w:rPr>
        <w:t>Nature</w:t>
      </w:r>
      <w:r>
        <w:t xml:space="preserve">, </w:t>
      </w:r>
      <w:r>
        <w:rPr>
          <w:b/>
          <w:bCs/>
        </w:rPr>
        <w:t>602</w:t>
      </w:r>
      <w:r>
        <w:t>, 481–486.</w:t>
      </w:r>
    </w:p>
    <w:p w14:paraId="5878AE30" w14:textId="77777777" w:rsidR="00262585" w:rsidRDefault="00000000">
      <w:pPr>
        <w:pStyle w:val="Bibliography"/>
      </w:pPr>
      <w:bookmarkStart w:id="38" w:name="ref-Hooten2017a"/>
      <w:bookmarkEnd w:id="37"/>
      <w:r>
        <w:t xml:space="preserve">Hooten, M.B., Johnson, D.S., McClintock, B.T. &amp; Morales, J.M. (2017). </w:t>
      </w:r>
      <w:r>
        <w:rPr>
          <w:i/>
          <w:iCs/>
        </w:rPr>
        <w:t>Animal Movement: Statistical Models for Telemetry Data</w:t>
      </w:r>
      <w:r>
        <w:t>. CRC Press, New York, USA.</w:t>
      </w:r>
    </w:p>
    <w:p w14:paraId="28BF5D4D" w14:textId="77777777" w:rsidR="00262585" w:rsidRDefault="00000000">
      <w:pPr>
        <w:pStyle w:val="Bibliography"/>
      </w:pPr>
      <w:bookmarkStart w:id="39" w:name="ref-Kjaer2008"/>
      <w:bookmarkEnd w:id="38"/>
      <w:r>
        <w:t xml:space="preserve">Kjær, L.J., Schauber, E.M. &amp; Nielsen, C.K. (2008). </w:t>
      </w:r>
      <w:hyperlink r:id="rId31">
        <w:r>
          <w:rPr>
            <w:rStyle w:val="Hyperlink"/>
          </w:rPr>
          <w:t>Spatial and Temporal Analysis of Contact Rates in Female White-Tailed Deer</w:t>
        </w:r>
      </w:hyperlink>
      <w:r>
        <w:t xml:space="preserve">. </w:t>
      </w:r>
      <w:r>
        <w:rPr>
          <w:i/>
          <w:iCs/>
        </w:rPr>
        <w:t>Journal of Wildlife Management</w:t>
      </w:r>
      <w:r>
        <w:t xml:space="preserve">, </w:t>
      </w:r>
      <w:r>
        <w:rPr>
          <w:b/>
          <w:bCs/>
        </w:rPr>
        <w:t>72</w:t>
      </w:r>
      <w:r>
        <w:t>, 1819–1825.</w:t>
      </w:r>
    </w:p>
    <w:p w14:paraId="506B2219" w14:textId="77777777" w:rsidR="00262585" w:rsidRDefault="00000000">
      <w:pPr>
        <w:pStyle w:val="Bibliography"/>
      </w:pPr>
      <w:bookmarkStart w:id="40" w:name="ref-Koen2017"/>
      <w:bookmarkEnd w:id="39"/>
      <w:r>
        <w:t xml:space="preserve">Koen, E.L., Tosa, M.I., Nielsen, C.K. &amp; Schauber, E.M. (2017). </w:t>
      </w:r>
      <w:hyperlink r:id="rId32">
        <w:r>
          <w:rPr>
            <w:rStyle w:val="Hyperlink"/>
          </w:rPr>
          <w:t>Does landscape connectivity shape local and global social network structure in white-tailed deer?</w:t>
        </w:r>
      </w:hyperlink>
      <w:r>
        <w:t xml:space="preserve"> </w:t>
      </w:r>
      <w:r>
        <w:rPr>
          <w:i/>
          <w:iCs/>
        </w:rPr>
        <w:t>PLoS ONE</w:t>
      </w:r>
      <w:r>
        <w:t xml:space="preserve">, </w:t>
      </w:r>
      <w:r>
        <w:rPr>
          <w:b/>
          <w:bCs/>
        </w:rPr>
        <w:t>12</w:t>
      </w:r>
      <w:r>
        <w:t>, 1–21.</w:t>
      </w:r>
    </w:p>
    <w:p w14:paraId="3907EBBB" w14:textId="77777777" w:rsidR="00262585" w:rsidRDefault="00000000">
      <w:pPr>
        <w:pStyle w:val="Bibliography"/>
      </w:pPr>
      <w:bookmarkStart w:id="41" w:name="ref-Kranstauber2012"/>
      <w:bookmarkEnd w:id="40"/>
      <w:r>
        <w:t xml:space="preserve">Kranstauber, B., Kays, R., LaPoint, S.D., Wikelski, M. &amp; Safi, K. (2012). </w:t>
      </w:r>
      <w:hyperlink r:id="rId33">
        <w:r>
          <w:rPr>
            <w:rStyle w:val="Hyperlink"/>
          </w:rPr>
          <w:t>A dynamic Brownian bridge movement model to estimate utilization distributions for heterogeneous animal movement</w:t>
        </w:r>
      </w:hyperlink>
      <w:r>
        <w:t xml:space="preserve">. </w:t>
      </w:r>
      <w:r>
        <w:rPr>
          <w:i/>
          <w:iCs/>
        </w:rPr>
        <w:t>Journal of Animal Ecology</w:t>
      </w:r>
      <w:r>
        <w:t xml:space="preserve">, </w:t>
      </w:r>
      <w:r>
        <w:rPr>
          <w:b/>
          <w:bCs/>
        </w:rPr>
        <w:t>81</w:t>
      </w:r>
      <w:r>
        <w:t>, 738–746.</w:t>
      </w:r>
    </w:p>
    <w:p w14:paraId="7FEB25D1" w14:textId="77777777" w:rsidR="00262585" w:rsidRDefault="00000000">
      <w:pPr>
        <w:pStyle w:val="Bibliography"/>
      </w:pPr>
      <w:bookmarkStart w:id="42" w:name="ref-Manlove2018"/>
      <w:bookmarkEnd w:id="41"/>
      <w:r>
        <w:t xml:space="preserve">Manlove, K., Aiello, C., Sah, P., Cummins, B., Hudson, P.J. &amp; Cross, P.C. (2018). </w:t>
      </w:r>
      <w:hyperlink r:id="rId34">
        <w:r>
          <w:rPr>
            <w:rStyle w:val="Hyperlink"/>
          </w:rPr>
          <w:t>The ecology of movement and behaviour: A saturated tripartite network for describing animal contacts</w:t>
        </w:r>
      </w:hyperlink>
      <w:r>
        <w:t xml:space="preserve">. </w:t>
      </w:r>
      <w:r>
        <w:rPr>
          <w:i/>
          <w:iCs/>
        </w:rPr>
        <w:t>Proceedings of the Royal Society B: Biological Sciences</w:t>
      </w:r>
      <w:r>
        <w:t xml:space="preserve">, </w:t>
      </w:r>
      <w:r>
        <w:rPr>
          <w:b/>
          <w:bCs/>
        </w:rPr>
        <w:t>285</w:t>
      </w:r>
      <w:r>
        <w:t>.</w:t>
      </w:r>
    </w:p>
    <w:p w14:paraId="7B16CEAA" w14:textId="77777777" w:rsidR="00262585" w:rsidRDefault="00000000">
      <w:pPr>
        <w:pStyle w:val="Bibliography"/>
      </w:pPr>
      <w:bookmarkStart w:id="43" w:name="ref-Manlove2022"/>
      <w:bookmarkEnd w:id="42"/>
      <w:r>
        <w:t xml:space="preserve">Manlove, K., Wilber, M., White, L., Bastille-Rousseau, G., Yang, A., Gilbertson, M.L.J., Craft, M.E., Cross, P.C., Wittemyer, G. &amp; Pepin, K.M. (2022). </w:t>
      </w:r>
      <w:hyperlink r:id="rId35">
        <w:r>
          <w:rPr>
            <w:rStyle w:val="Hyperlink"/>
          </w:rPr>
          <w:t>Defining an epidemiological landscape that connects movement ecology to pathogen transmission and pace-of-life</w:t>
        </w:r>
      </w:hyperlink>
      <w:r>
        <w:t xml:space="preserve">. </w:t>
      </w:r>
      <w:r>
        <w:rPr>
          <w:i/>
          <w:iCs/>
        </w:rPr>
        <w:t>Ecology Letters</w:t>
      </w:r>
      <w:r>
        <w:t xml:space="preserve">, </w:t>
      </w:r>
      <w:r>
        <w:rPr>
          <w:b/>
          <w:bCs/>
        </w:rPr>
        <w:t>25</w:t>
      </w:r>
      <w:r>
        <w:t>, 1760–1782.</w:t>
      </w:r>
    </w:p>
    <w:p w14:paraId="350346D2" w14:textId="77777777" w:rsidR="00262585" w:rsidRDefault="00000000">
      <w:pPr>
        <w:pStyle w:val="Bibliography"/>
      </w:pPr>
      <w:bookmarkStart w:id="44" w:name="ref-Martinez-Garcia2020"/>
      <w:bookmarkEnd w:id="43"/>
      <w:r>
        <w:t xml:space="preserve">Martinez-Garcia, R., Fleming, C.H., Seppelt, R., Fagan, W.F. &amp; Calabrese, J.M. (2020). </w:t>
      </w:r>
      <w:hyperlink r:id="rId36">
        <w:r>
          <w:rPr>
            <w:rStyle w:val="Hyperlink"/>
          </w:rPr>
          <w:t>How range residency and long-range perception change encounter rates</w:t>
        </w:r>
      </w:hyperlink>
      <w:r>
        <w:t xml:space="preserve">. </w:t>
      </w:r>
      <w:r>
        <w:rPr>
          <w:i/>
          <w:iCs/>
        </w:rPr>
        <w:t>Journal of Theoretical Biology</w:t>
      </w:r>
      <w:r>
        <w:t xml:space="preserve">, </w:t>
      </w:r>
      <w:r>
        <w:rPr>
          <w:b/>
          <w:bCs/>
        </w:rPr>
        <w:t>498</w:t>
      </w:r>
      <w:r>
        <w:t>, 110267.</w:t>
      </w:r>
    </w:p>
    <w:p w14:paraId="59C0B1E4" w14:textId="77777777" w:rsidR="00262585" w:rsidRDefault="00000000">
      <w:pPr>
        <w:pStyle w:val="Bibliography"/>
      </w:pPr>
      <w:bookmarkStart w:id="45" w:name="ref-Martins2022"/>
      <w:bookmarkEnd w:id="44"/>
      <w:r>
        <w:t xml:space="preserve">Martins, M., Boggiatto, P.M., Buckley, A., Cassmann, E.D., Falkenberg, S., Caserta, L.C., Fernandes, M.H.V., Kanipe, C., Lager, K., Palmer, M.V. &amp; Diel, D.G. (2022). </w:t>
      </w:r>
      <w:hyperlink r:id="rId37">
        <w:r>
          <w:rPr>
            <w:rStyle w:val="Hyperlink"/>
          </w:rPr>
          <w:t>From Deer-To-Deer: SARS-CoV-2 is efficiently transmitted and presents broad tissue tropism and replication sites in white-Tailed deer</w:t>
        </w:r>
      </w:hyperlink>
      <w:r>
        <w:t xml:space="preserve">. </w:t>
      </w:r>
      <w:r>
        <w:rPr>
          <w:i/>
          <w:iCs/>
        </w:rPr>
        <w:t>PLoS Pathogens</w:t>
      </w:r>
      <w:r>
        <w:t xml:space="preserve">, </w:t>
      </w:r>
      <w:r>
        <w:rPr>
          <w:b/>
          <w:bCs/>
        </w:rPr>
        <w:t>18</w:t>
      </w:r>
      <w:r>
        <w:t>, 1–26.</w:t>
      </w:r>
    </w:p>
    <w:p w14:paraId="50755C3B" w14:textId="77777777" w:rsidR="00262585" w:rsidRDefault="00000000">
      <w:pPr>
        <w:pStyle w:val="Bibliography"/>
      </w:pPr>
      <w:bookmarkStart w:id="46" w:name="ref-McCallum2001"/>
      <w:bookmarkEnd w:id="45"/>
      <w:r>
        <w:t xml:space="preserve">McCallum, H. (2001). </w:t>
      </w:r>
      <w:hyperlink r:id="rId38">
        <w:r>
          <w:rPr>
            <w:rStyle w:val="Hyperlink"/>
          </w:rPr>
          <w:t>How should pathogen transmission be modelled?</w:t>
        </w:r>
      </w:hyperlink>
      <w:r>
        <w:t xml:space="preserve"> </w:t>
      </w:r>
      <w:r>
        <w:rPr>
          <w:i/>
          <w:iCs/>
        </w:rPr>
        <w:t>Trends in Ecology and Evolution</w:t>
      </w:r>
      <w:r>
        <w:t xml:space="preserve">, </w:t>
      </w:r>
      <w:r>
        <w:rPr>
          <w:b/>
          <w:bCs/>
        </w:rPr>
        <w:t>16</w:t>
      </w:r>
      <w:r>
        <w:t>, 295–300.</w:t>
      </w:r>
    </w:p>
    <w:p w14:paraId="41602C8F" w14:textId="77777777" w:rsidR="00262585" w:rsidRDefault="00000000">
      <w:pPr>
        <w:pStyle w:val="Bibliography"/>
      </w:pPr>
      <w:bookmarkStart w:id="47" w:name="ref-Merkle2018"/>
      <w:bookmarkEnd w:id="46"/>
      <w:r>
        <w:t xml:space="preserve">Merkle, J.A., Cross, P.C., Brandon, |, Scurlock, M., Cole, E.K., Courtemanch, A.B., Dewey, S.R., Matthew, | &amp; Kauffman, J. (2018). </w:t>
      </w:r>
      <w:hyperlink r:id="rId39">
        <w:r>
          <w:rPr>
            <w:rStyle w:val="Hyperlink"/>
          </w:rPr>
          <w:t>Linking spring phenology with mechanistic models of host movement to predict disease transmission risk</w:t>
        </w:r>
      </w:hyperlink>
      <w:r>
        <w:t xml:space="preserve">. </w:t>
      </w:r>
      <w:r>
        <w:rPr>
          <w:i/>
          <w:iCs/>
        </w:rPr>
        <w:t>J Appl Ecol</w:t>
      </w:r>
      <w:r>
        <w:t xml:space="preserve">, </w:t>
      </w:r>
      <w:r>
        <w:rPr>
          <w:b/>
          <w:bCs/>
        </w:rPr>
        <w:t>55</w:t>
      </w:r>
      <w:r>
        <w:t>, 810–819.</w:t>
      </w:r>
    </w:p>
    <w:p w14:paraId="219A3DB9" w14:textId="77777777" w:rsidR="00262585" w:rsidRDefault="00000000">
      <w:pPr>
        <w:pStyle w:val="Bibliography"/>
      </w:pPr>
      <w:bookmarkStart w:id="48" w:name="ref-Michelot2020"/>
      <w:bookmarkEnd w:id="47"/>
      <w:r>
        <w:t xml:space="preserve">Michelot, T., Blackwell, P.G., Chamaillé-Jammes, S. &amp; Matthiopoulos, J. (2020). </w:t>
      </w:r>
      <w:hyperlink r:id="rId40">
        <w:r>
          <w:rPr>
            <w:rStyle w:val="Hyperlink"/>
          </w:rPr>
          <w:t>Inference in MCMC step selection models</w:t>
        </w:r>
      </w:hyperlink>
      <w:r>
        <w:t xml:space="preserve">. </w:t>
      </w:r>
      <w:r>
        <w:rPr>
          <w:i/>
          <w:iCs/>
        </w:rPr>
        <w:t>Biometrics</w:t>
      </w:r>
      <w:r>
        <w:t xml:space="preserve">, </w:t>
      </w:r>
      <w:r>
        <w:rPr>
          <w:b/>
          <w:bCs/>
        </w:rPr>
        <w:t>76</w:t>
      </w:r>
      <w:r>
        <w:t>, 438–447.</w:t>
      </w:r>
    </w:p>
    <w:p w14:paraId="353E9888" w14:textId="77777777" w:rsidR="00262585" w:rsidRDefault="00000000">
      <w:pPr>
        <w:pStyle w:val="Bibliography"/>
      </w:pPr>
      <w:bookmarkStart w:id="49" w:name="ref-Noonan2021"/>
      <w:bookmarkEnd w:id="48"/>
      <w:r>
        <w:t xml:space="preserve">Noonan, M.J., Martinez-Garcia, R., Davis, G.H., Crofoot, M.C., Kays, R., Hirsch, B.T., Caillaud, D., Payne, E., Sih, A., Sinn, D.L., Spiegel, O., Fagan, W.F., Fleming, C.H. &amp; Calabrese, J.M. </w:t>
      </w:r>
      <w:r>
        <w:lastRenderedPageBreak/>
        <w:t xml:space="preserve">(2021). </w:t>
      </w:r>
      <w:hyperlink r:id="rId41">
        <w:r>
          <w:rPr>
            <w:rStyle w:val="Hyperlink"/>
          </w:rPr>
          <w:t>Estimating encounter location distributions from animal tracking data</w:t>
        </w:r>
      </w:hyperlink>
      <w:r>
        <w:t xml:space="preserve">. </w:t>
      </w:r>
      <w:r>
        <w:rPr>
          <w:i/>
          <w:iCs/>
        </w:rPr>
        <w:t>Methods in Ecology and Evolution</w:t>
      </w:r>
      <w:r>
        <w:t xml:space="preserve">, </w:t>
      </w:r>
      <w:r>
        <w:rPr>
          <w:b/>
          <w:bCs/>
        </w:rPr>
        <w:t>12</w:t>
      </w:r>
      <w:r>
        <w:t>, 1158–1173.</w:t>
      </w:r>
    </w:p>
    <w:p w14:paraId="3D6E6755" w14:textId="77777777" w:rsidR="00262585" w:rsidRDefault="00000000">
      <w:pPr>
        <w:pStyle w:val="Bibliography"/>
      </w:pPr>
      <w:bookmarkStart w:id="50" w:name="ref-Palmer2021"/>
      <w:bookmarkEnd w:id="49"/>
      <w:r>
        <w:t xml:space="preserve">Palmer, M.V., Martins, M., Falkenberg, S., Buckley, A., Caserta, L.C., Mitchell, P.K., Cassmann, E.D., Rollins, A., Zylich, N.C., Renshaw, R.W., Guarino, C., Wagner, B., Lager, K. &amp; Diel, D.G. (2021). </w:t>
      </w:r>
      <w:hyperlink r:id="rId42">
        <w:r>
          <w:rPr>
            <w:rStyle w:val="Hyperlink"/>
          </w:rPr>
          <w:t>Susceptibility of White-Tailed Deer (Odocoileus virginianus) to SARS-CoV-2</w:t>
        </w:r>
      </w:hyperlink>
      <w:r>
        <w:t xml:space="preserve">. </w:t>
      </w:r>
      <w:r>
        <w:rPr>
          <w:i/>
          <w:iCs/>
        </w:rPr>
        <w:t>Journal of Virology</w:t>
      </w:r>
      <w:r>
        <w:t xml:space="preserve">, </w:t>
      </w:r>
      <w:r>
        <w:rPr>
          <w:b/>
          <w:bCs/>
        </w:rPr>
        <w:t>95</w:t>
      </w:r>
      <w:r>
        <w:t>.</w:t>
      </w:r>
    </w:p>
    <w:p w14:paraId="4F7EFE1F" w14:textId="77777777" w:rsidR="00262585" w:rsidRDefault="00000000">
      <w:pPr>
        <w:pStyle w:val="Bibliography"/>
      </w:pPr>
      <w:bookmarkStart w:id="51" w:name="ref-Potts2023"/>
      <w:bookmarkEnd w:id="50"/>
      <w:r>
        <w:t xml:space="preserve">Potts, J.R. &amp; Börger, L. (2023). </w:t>
      </w:r>
      <w:hyperlink r:id="rId43">
        <w:r>
          <w:rPr>
            <w:rStyle w:val="Hyperlink"/>
          </w:rPr>
          <w:t>How to scale up from animal movement decisions to spatiotemporal patterns: An approach via step selection</w:t>
        </w:r>
      </w:hyperlink>
      <w:r>
        <w:t xml:space="preserve">. </w:t>
      </w:r>
      <w:r>
        <w:rPr>
          <w:i/>
          <w:iCs/>
        </w:rPr>
        <w:t>Journal of Animal Ecology</w:t>
      </w:r>
      <w:r>
        <w:t xml:space="preserve">, </w:t>
      </w:r>
      <w:r>
        <w:rPr>
          <w:b/>
          <w:bCs/>
        </w:rPr>
        <w:t>92</w:t>
      </w:r>
      <w:r>
        <w:t>, 16–29.</w:t>
      </w:r>
    </w:p>
    <w:p w14:paraId="55E7C7B9" w14:textId="77777777" w:rsidR="00262585" w:rsidRDefault="00000000">
      <w:pPr>
        <w:pStyle w:val="Bibliography"/>
      </w:pPr>
      <w:bookmarkStart w:id="52" w:name="ref-Richardson2015"/>
      <w:bookmarkEnd w:id="51"/>
      <w:r>
        <w:t xml:space="preserve">Richardson, T.O. &amp; Gorochowski, T.E. (2015). </w:t>
      </w:r>
      <w:hyperlink r:id="rId44">
        <w:r>
          <w:rPr>
            <w:rStyle w:val="Hyperlink"/>
          </w:rPr>
          <w:t>Beyond contact-based transmission networks: the role of spatial coincidence</w:t>
        </w:r>
      </w:hyperlink>
      <w:r>
        <w:t xml:space="preserve">. </w:t>
      </w:r>
      <w:r>
        <w:rPr>
          <w:i/>
          <w:iCs/>
        </w:rPr>
        <w:t>Journal of The Royal Society Interface</w:t>
      </w:r>
      <w:r>
        <w:t xml:space="preserve">, </w:t>
      </w:r>
      <w:r>
        <w:rPr>
          <w:b/>
          <w:bCs/>
        </w:rPr>
        <w:t>12</w:t>
      </w:r>
      <w:r>
        <w:t>, 20150705.</w:t>
      </w:r>
    </w:p>
    <w:p w14:paraId="37E5E397" w14:textId="77777777" w:rsidR="00262585" w:rsidRDefault="00000000">
      <w:pPr>
        <w:pStyle w:val="Bibliography"/>
      </w:pPr>
      <w:bookmarkStart w:id="53" w:name="ref-Sah2018"/>
      <w:bookmarkEnd w:id="52"/>
      <w:r>
        <w:t xml:space="preserve">Sah, P., Mann, J. &amp; Bansal, S. (2018). </w:t>
      </w:r>
      <w:hyperlink r:id="rId45">
        <w:r>
          <w:rPr>
            <w:rStyle w:val="Hyperlink"/>
          </w:rPr>
          <w:t>Disease implications of animal social network structure: A synthesis across social systems</w:t>
        </w:r>
      </w:hyperlink>
      <w:r>
        <w:t xml:space="preserve">. </w:t>
      </w:r>
      <w:r>
        <w:rPr>
          <w:i/>
          <w:iCs/>
        </w:rPr>
        <w:t>Journal of Animal Ecology</w:t>
      </w:r>
      <w:r>
        <w:t xml:space="preserve">, </w:t>
      </w:r>
      <w:r>
        <w:rPr>
          <w:b/>
          <w:bCs/>
        </w:rPr>
        <w:t>87</w:t>
      </w:r>
      <w:r>
        <w:t>, 546–558.</w:t>
      </w:r>
    </w:p>
    <w:p w14:paraId="0958FA77" w14:textId="77777777" w:rsidR="00262585" w:rsidRDefault="00000000">
      <w:pPr>
        <w:pStyle w:val="Bibliography"/>
      </w:pPr>
      <w:bookmarkStart w:id="54" w:name="ref-Saunders2012a"/>
      <w:bookmarkEnd w:id="53"/>
      <w:r>
        <w:t xml:space="preserve">Saunders, S.E., Bartelt-Hunt, S.L. &amp; Bartz, J.C. (2012). </w:t>
      </w:r>
      <w:hyperlink r:id="rId46">
        <w:r>
          <w:rPr>
            <w:rStyle w:val="Hyperlink"/>
          </w:rPr>
          <w:t>Occurrence, transmission, and zoonotic potential of chronic wasting disease</w:t>
        </w:r>
      </w:hyperlink>
      <w:r>
        <w:t xml:space="preserve">. </w:t>
      </w:r>
      <w:r>
        <w:rPr>
          <w:i/>
          <w:iCs/>
        </w:rPr>
        <w:t>Emerging Infectious Diseases</w:t>
      </w:r>
      <w:r>
        <w:t xml:space="preserve">, </w:t>
      </w:r>
      <w:r>
        <w:rPr>
          <w:b/>
          <w:bCs/>
        </w:rPr>
        <w:t>18</w:t>
      </w:r>
      <w:r>
        <w:t>, 369–376.</w:t>
      </w:r>
    </w:p>
    <w:p w14:paraId="358D5C35" w14:textId="77777777" w:rsidR="00262585" w:rsidRDefault="00000000">
      <w:pPr>
        <w:pStyle w:val="Bibliography"/>
      </w:pPr>
      <w:bookmarkStart w:id="55" w:name="ref-Scharf2018"/>
      <w:bookmarkEnd w:id="54"/>
      <w:r>
        <w:t xml:space="preserve">Scharf, H.R., Hooten, M.B., Johnson, D.S. &amp; Durban, J.W. (2018). </w:t>
      </w:r>
      <w:hyperlink r:id="rId47">
        <w:r>
          <w:rPr>
            <w:rStyle w:val="Hyperlink"/>
          </w:rPr>
          <w:t>Process convolution approaches for modeling interacting trajectories</w:t>
        </w:r>
      </w:hyperlink>
      <w:r>
        <w:t xml:space="preserve">. </w:t>
      </w:r>
      <w:r>
        <w:rPr>
          <w:i/>
          <w:iCs/>
        </w:rPr>
        <w:t>Environmetrics</w:t>
      </w:r>
      <w:r>
        <w:t xml:space="preserve">, </w:t>
      </w:r>
      <w:r>
        <w:rPr>
          <w:b/>
          <w:bCs/>
        </w:rPr>
        <w:t>29</w:t>
      </w:r>
      <w:r>
        <w:t>.</w:t>
      </w:r>
    </w:p>
    <w:p w14:paraId="0B1720D8" w14:textId="77777777" w:rsidR="00262585" w:rsidRDefault="00000000">
      <w:pPr>
        <w:pStyle w:val="Bibliography"/>
      </w:pPr>
      <w:bookmarkStart w:id="56" w:name="ref-Schauber2015a"/>
      <w:bookmarkEnd w:id="55"/>
      <w:r>
        <w:t xml:space="preserve">Schauber, E.M., Nielsen, C.K., Kjær, L.J., Anderson, C.W. &amp; Storm, D.J. (2015). </w:t>
      </w:r>
      <w:hyperlink r:id="rId48">
        <w:r>
          <w:rPr>
            <w:rStyle w:val="Hyperlink"/>
          </w:rPr>
          <w:t>Social affiliation and contact patterns among white-tailed deer in disparate landscapes: Implications for disease transmission</w:t>
        </w:r>
      </w:hyperlink>
      <w:r>
        <w:t xml:space="preserve">. </w:t>
      </w:r>
      <w:r>
        <w:rPr>
          <w:i/>
          <w:iCs/>
        </w:rPr>
        <w:t>Journal of Mammalogy</w:t>
      </w:r>
      <w:r>
        <w:t xml:space="preserve">, </w:t>
      </w:r>
      <w:r>
        <w:rPr>
          <w:b/>
          <w:bCs/>
        </w:rPr>
        <w:t>96</w:t>
      </w:r>
      <w:r>
        <w:t>, 16–28.</w:t>
      </w:r>
    </w:p>
    <w:p w14:paraId="1153ABCE" w14:textId="77777777" w:rsidR="00262585" w:rsidRDefault="00000000">
      <w:pPr>
        <w:pStyle w:val="Bibliography"/>
      </w:pPr>
      <w:bookmarkStart w:id="57" w:name="ref-Schauber2007a"/>
      <w:bookmarkEnd w:id="56"/>
      <w:r>
        <w:t xml:space="preserve">Schauber, E.M., Storm, D.J. &amp; Nielsen, C.K. (2007). </w:t>
      </w:r>
      <w:hyperlink r:id="rId49">
        <w:r>
          <w:rPr>
            <w:rStyle w:val="Hyperlink"/>
          </w:rPr>
          <w:t>Effects of Joint Space Use and Group Membership on Contact Rates Among White-Tailed Deer</w:t>
        </w:r>
      </w:hyperlink>
      <w:r>
        <w:t xml:space="preserve">. </w:t>
      </w:r>
      <w:r>
        <w:rPr>
          <w:i/>
          <w:iCs/>
        </w:rPr>
        <w:t>Journal of Wildlife Management</w:t>
      </w:r>
      <w:r>
        <w:t xml:space="preserve">, </w:t>
      </w:r>
      <w:r>
        <w:rPr>
          <w:b/>
          <w:bCs/>
        </w:rPr>
        <w:t>71</w:t>
      </w:r>
      <w:r>
        <w:t>, 155–163.</w:t>
      </w:r>
    </w:p>
    <w:p w14:paraId="51F2AD31" w14:textId="77777777" w:rsidR="00262585" w:rsidRDefault="00000000">
      <w:pPr>
        <w:pStyle w:val="Bibliography"/>
      </w:pPr>
      <w:bookmarkStart w:id="58" w:name="ref-Signer2017"/>
      <w:bookmarkEnd w:id="57"/>
      <w:r>
        <w:t xml:space="preserve">Signer, J., Fieberg, J. &amp; Avgar, T. and. (2017). </w:t>
      </w:r>
      <w:hyperlink r:id="rId50">
        <w:r>
          <w:rPr>
            <w:rStyle w:val="Hyperlink"/>
          </w:rPr>
          <w:t>Estimating utilization distributions from fitted step-selection functions</w:t>
        </w:r>
      </w:hyperlink>
      <w:r>
        <w:t xml:space="preserve">. </w:t>
      </w:r>
      <w:r>
        <w:rPr>
          <w:i/>
          <w:iCs/>
        </w:rPr>
        <w:t>Ecosphere</w:t>
      </w:r>
      <w:r>
        <w:t xml:space="preserve">, </w:t>
      </w:r>
      <w:r>
        <w:rPr>
          <w:b/>
          <w:bCs/>
        </w:rPr>
        <w:t>8</w:t>
      </w:r>
      <w:r>
        <w:t>, e01771.</w:t>
      </w:r>
    </w:p>
    <w:p w14:paraId="65EB02D8" w14:textId="77777777" w:rsidR="00262585" w:rsidRDefault="00000000">
      <w:pPr>
        <w:pStyle w:val="Bibliography"/>
      </w:pPr>
      <w:bookmarkStart w:id="59" w:name="ref-Tao2016"/>
      <w:bookmarkEnd w:id="58"/>
      <w:r>
        <w:t xml:space="preserve">Tao, Y., Börger, L. &amp; Hastings, A. (2016). </w:t>
      </w:r>
      <w:hyperlink r:id="rId51">
        <w:r>
          <w:rPr>
            <w:rStyle w:val="Hyperlink"/>
          </w:rPr>
          <w:t>Dynamic Range Size Analysis of Territorial Animals: An Optimality Approach</w:t>
        </w:r>
      </w:hyperlink>
      <w:r>
        <w:t xml:space="preserve">. </w:t>
      </w:r>
      <w:r>
        <w:rPr>
          <w:i/>
          <w:iCs/>
        </w:rPr>
        <w:t>The American Naturalist</w:t>
      </w:r>
      <w:r>
        <w:t xml:space="preserve">, </w:t>
      </w:r>
      <w:r>
        <w:rPr>
          <w:b/>
          <w:bCs/>
        </w:rPr>
        <w:t>188</w:t>
      </w:r>
      <w:r>
        <w:t>, 460–474.</w:t>
      </w:r>
    </w:p>
    <w:p w14:paraId="03D914B4" w14:textId="77777777" w:rsidR="00262585" w:rsidRDefault="00000000">
      <w:pPr>
        <w:pStyle w:val="Bibliography"/>
      </w:pPr>
      <w:bookmarkStart w:id="60" w:name="ref-Titcomb2021"/>
      <w:bookmarkEnd w:id="59"/>
      <w:r>
        <w:t xml:space="preserve">Titcomb, G., Mantas, J.N., Hulke, J., Rodriguez, I., Branch, D. &amp; Young, H. (2021). </w:t>
      </w:r>
      <w:hyperlink r:id="rId52">
        <w:r>
          <w:rPr>
            <w:rStyle w:val="Hyperlink"/>
          </w:rPr>
          <w:t>Water sources aggregate parasites with increasing effects in more arid conditions</w:t>
        </w:r>
      </w:hyperlink>
      <w:r>
        <w:t xml:space="preserve">. </w:t>
      </w:r>
      <w:r>
        <w:rPr>
          <w:i/>
          <w:iCs/>
        </w:rPr>
        <w:t>Nature Communications</w:t>
      </w:r>
      <w:r>
        <w:t xml:space="preserve">, </w:t>
      </w:r>
      <w:r>
        <w:rPr>
          <w:b/>
          <w:bCs/>
        </w:rPr>
        <w:t>12</w:t>
      </w:r>
      <w:r>
        <w:t>, 1–12.</w:t>
      </w:r>
    </w:p>
    <w:p w14:paraId="39FBF703" w14:textId="77777777" w:rsidR="00262585" w:rsidRDefault="00000000">
      <w:pPr>
        <w:pStyle w:val="Bibliography"/>
      </w:pPr>
      <w:bookmarkStart w:id="61" w:name="ref-VanderWaal2017"/>
      <w:bookmarkEnd w:id="60"/>
      <w:r>
        <w:t xml:space="preserve">VanderWaal, K., Gilbertson, M., Okanga, S., Allan, B.F. &amp; Craft, M.E. (2017). </w:t>
      </w:r>
      <w:hyperlink r:id="rId53">
        <w:r>
          <w:rPr>
            <w:rStyle w:val="Hyperlink"/>
          </w:rPr>
          <w:t>Seasonality and pathogen transmission in pastoral cattle contact networks</w:t>
        </w:r>
      </w:hyperlink>
      <w:r>
        <w:t xml:space="preserve">. </w:t>
      </w:r>
      <w:r>
        <w:rPr>
          <w:i/>
          <w:iCs/>
        </w:rPr>
        <w:t>Royal Society Open Science</w:t>
      </w:r>
      <w:r>
        <w:t xml:space="preserve">, </w:t>
      </w:r>
      <w:r>
        <w:rPr>
          <w:b/>
          <w:bCs/>
        </w:rPr>
        <w:t>4</w:t>
      </w:r>
      <w:r>
        <w:t>, 170808.</w:t>
      </w:r>
    </w:p>
    <w:p w14:paraId="123FFBB8" w14:textId="77777777" w:rsidR="00262585" w:rsidRDefault="00000000">
      <w:pPr>
        <w:pStyle w:val="Bibliography"/>
      </w:pPr>
      <w:bookmarkStart w:id="62" w:name="ref-Webber2023"/>
      <w:bookmarkEnd w:id="61"/>
      <w:r>
        <w:lastRenderedPageBreak/>
        <w:t xml:space="preserve">Webber, Q.M.R., Albery, G.F., Farine, D.R., Pinter-Wollman, N., Sharma, N., Spiegel, O., Vander Wal, E. &amp; Manlove, K. (2023). </w:t>
      </w:r>
      <w:hyperlink r:id="rId54">
        <w:r>
          <w:rPr>
            <w:rStyle w:val="Hyperlink"/>
          </w:rPr>
          <w:t>Behavioural ecology at the spatial–social interface</w:t>
        </w:r>
      </w:hyperlink>
      <w:r>
        <w:t xml:space="preserve">. </w:t>
      </w:r>
      <w:r>
        <w:rPr>
          <w:i/>
          <w:iCs/>
        </w:rPr>
        <w:t>Biological Reviews</w:t>
      </w:r>
      <w:r>
        <w:t xml:space="preserve">, </w:t>
      </w:r>
      <w:r>
        <w:rPr>
          <w:b/>
          <w:bCs/>
        </w:rPr>
        <w:t>98</w:t>
      </w:r>
      <w:r>
        <w:t>, 868–886.</w:t>
      </w:r>
    </w:p>
    <w:p w14:paraId="3BA87C37" w14:textId="77777777" w:rsidR="00262585" w:rsidRDefault="00000000">
      <w:pPr>
        <w:pStyle w:val="Bibliography"/>
      </w:pPr>
      <w:bookmarkStart w:id="63" w:name="ref-Weinstein2018a"/>
      <w:bookmarkEnd w:id="62"/>
      <w:r>
        <w:t xml:space="preserve">Weinstein, S.B., Moura, C.W., Mendez, J.F. &amp; Lafferty, K.D. (2018). </w:t>
      </w:r>
      <w:hyperlink r:id="rId55">
        <w:r>
          <w:rPr>
            <w:rStyle w:val="Hyperlink"/>
          </w:rPr>
          <w:t>Fear of feces? Tradeoffs between disease risk and foraging drive animal activity around raccoon latrines</w:t>
        </w:r>
      </w:hyperlink>
      <w:r>
        <w:t xml:space="preserve">. </w:t>
      </w:r>
      <w:r>
        <w:rPr>
          <w:i/>
          <w:iCs/>
        </w:rPr>
        <w:t>Oikos</w:t>
      </w:r>
      <w:r>
        <w:t xml:space="preserve">, </w:t>
      </w:r>
      <w:r>
        <w:rPr>
          <w:b/>
          <w:bCs/>
        </w:rPr>
        <w:t>127</w:t>
      </w:r>
      <w:r>
        <w:t>, 927–934.</w:t>
      </w:r>
    </w:p>
    <w:p w14:paraId="49B21090" w14:textId="77777777" w:rsidR="00262585" w:rsidRDefault="00000000">
      <w:pPr>
        <w:pStyle w:val="Bibliography"/>
      </w:pPr>
      <w:bookmarkStart w:id="64" w:name="ref-Wilber2022"/>
      <w:bookmarkEnd w:id="63"/>
      <w:r>
        <w:t xml:space="preserve">Wilber, M.Q., Yang, A., Boughton, R., Manlove, K.R., Miller, R.S., Pepin, K.M. &amp; Wittemyer, G. (2022). </w:t>
      </w:r>
      <w:hyperlink r:id="rId56">
        <w:r>
          <w:rPr>
            <w:rStyle w:val="Hyperlink"/>
          </w:rPr>
          <w:t>A model for leveraging animal movement to understand spatio-temporal disease dynamics</w:t>
        </w:r>
      </w:hyperlink>
      <w:r>
        <w:t xml:space="preserve"> (P. Rohani, Ed.). </w:t>
      </w:r>
      <w:r>
        <w:rPr>
          <w:i/>
          <w:iCs/>
        </w:rPr>
        <w:t>Ecology Letters</w:t>
      </w:r>
      <w:r>
        <w:t xml:space="preserve">, </w:t>
      </w:r>
      <w:r>
        <w:rPr>
          <w:b/>
          <w:bCs/>
        </w:rPr>
        <w:t>25</w:t>
      </w:r>
      <w:r>
        <w:t>, 1290–1304.</w:t>
      </w:r>
    </w:p>
    <w:p w14:paraId="4F324232" w14:textId="77777777" w:rsidR="00262585" w:rsidRDefault="00000000">
      <w:pPr>
        <w:pStyle w:val="Bibliography"/>
      </w:pPr>
      <w:bookmarkStart w:id="65" w:name="ref-Winner2018"/>
      <w:bookmarkEnd w:id="64"/>
      <w:r>
        <w:t xml:space="preserve">Winner, K., Noonan, M.J., Fleming, C.H., Olson, K.A., Mueller, T., Sheldon, D. &amp; Calabrese, J.M. (2018). </w:t>
      </w:r>
      <w:hyperlink r:id="rId57">
        <w:r>
          <w:rPr>
            <w:rStyle w:val="Hyperlink"/>
          </w:rPr>
          <w:t>Statistical inference for home range overlap</w:t>
        </w:r>
      </w:hyperlink>
      <w:r>
        <w:t xml:space="preserve">. </w:t>
      </w:r>
      <w:r>
        <w:rPr>
          <w:i/>
          <w:iCs/>
        </w:rPr>
        <w:t>Methods in Ecology and Evolution</w:t>
      </w:r>
      <w:r>
        <w:t xml:space="preserve">, </w:t>
      </w:r>
      <w:r>
        <w:rPr>
          <w:b/>
          <w:bCs/>
        </w:rPr>
        <w:t>9</w:t>
      </w:r>
      <w:r>
        <w:t>, 1679–1691.</w:t>
      </w:r>
    </w:p>
    <w:p w14:paraId="562268DB" w14:textId="77777777" w:rsidR="00262585" w:rsidRDefault="00000000">
      <w:pPr>
        <w:pStyle w:val="Bibliography"/>
      </w:pPr>
      <w:bookmarkStart w:id="66" w:name="ref-Worton1989"/>
      <w:bookmarkEnd w:id="65"/>
      <w:r>
        <w:t xml:space="preserve">Worton, B.J. (1989). </w:t>
      </w:r>
      <w:hyperlink r:id="rId58">
        <w:r>
          <w:rPr>
            <w:rStyle w:val="Hyperlink"/>
          </w:rPr>
          <w:t>Kernel methods for estimating the utilization distribution in home-range studies</w:t>
        </w:r>
      </w:hyperlink>
      <w:r>
        <w:t xml:space="preserve">. </w:t>
      </w:r>
      <w:r>
        <w:rPr>
          <w:i/>
          <w:iCs/>
        </w:rPr>
        <w:t>Ecology</w:t>
      </w:r>
      <w:r>
        <w:t xml:space="preserve">, </w:t>
      </w:r>
      <w:r>
        <w:rPr>
          <w:b/>
          <w:bCs/>
        </w:rPr>
        <w:t>70</w:t>
      </w:r>
      <w:r>
        <w:t>, 164–168.</w:t>
      </w:r>
    </w:p>
    <w:p w14:paraId="011D7A98" w14:textId="77777777" w:rsidR="00262585" w:rsidRDefault="00000000">
      <w:pPr>
        <w:pStyle w:val="Bibliography"/>
      </w:pPr>
      <w:bookmarkStart w:id="67" w:name="ref-Yang2021"/>
      <w:bookmarkEnd w:id="66"/>
      <w:r>
        <w:t xml:space="preserve">Yang, A., Peter Schlichting, |, Wight, B., Anderson, W.M., Chinn, S.M., Wilber, M.Q., Miller, R.S., James, |, Beasley, C., Boughton, R.K., Vercauteren, K.C., George Wittemyer, |, Kim, | &amp; Pepin, M. (2021). </w:t>
      </w:r>
      <w:hyperlink r:id="rId59">
        <w:r>
          <w:rPr>
            <w:rStyle w:val="Hyperlink"/>
          </w:rPr>
          <w:t>Effects of social structure and management on risk of disease establishment in wild pigs</w:t>
        </w:r>
      </w:hyperlink>
      <w:r>
        <w:t xml:space="preserve">. </w:t>
      </w:r>
      <w:r>
        <w:rPr>
          <w:i/>
          <w:iCs/>
        </w:rPr>
        <w:t>J Anim Ecol</w:t>
      </w:r>
      <w:r>
        <w:t xml:space="preserve">, </w:t>
      </w:r>
      <w:r>
        <w:rPr>
          <w:b/>
          <w:bCs/>
        </w:rPr>
        <w:t>90</w:t>
      </w:r>
      <w:r>
        <w:t>, 820–833.</w:t>
      </w:r>
    </w:p>
    <w:p w14:paraId="62F4D54F" w14:textId="77777777" w:rsidR="00262585" w:rsidRDefault="00000000">
      <w:pPr>
        <w:pStyle w:val="Bibliography"/>
      </w:pPr>
      <w:bookmarkStart w:id="68" w:name="ref-Yang2023"/>
      <w:bookmarkEnd w:id="67"/>
      <w:r>
        <w:t xml:space="preserve">Yang, A., Wilber, M.Q., Manlove, K.R., Miller, R.S., Boughton, R., Beasley, J., Northrup, J., Vercauteren, K.C., George Wittemyer, |. &amp; Pepin, |.K. (2023). </w:t>
      </w:r>
      <w:hyperlink r:id="rId60">
        <w:r>
          <w:rPr>
            <w:rStyle w:val="Hyperlink"/>
          </w:rPr>
          <w:t>Deriving spatially explicit direct and indirect interaction networks from animal movement data</w:t>
        </w:r>
      </w:hyperlink>
      <w:r>
        <w:t xml:space="preserve">. </w:t>
      </w:r>
      <w:r>
        <w:rPr>
          <w:i/>
          <w:iCs/>
        </w:rPr>
        <w:t>Ecology and Evolution</w:t>
      </w:r>
      <w:r>
        <w:t xml:space="preserve">, </w:t>
      </w:r>
      <w:r>
        <w:rPr>
          <w:b/>
          <w:bCs/>
        </w:rPr>
        <w:t>13</w:t>
      </w:r>
      <w:r>
        <w:t>.</w:t>
      </w:r>
      <w:bookmarkEnd w:id="17"/>
      <w:bookmarkEnd w:id="21"/>
      <w:bookmarkEnd w:id="68"/>
    </w:p>
    <w:sectPr w:rsidR="0026258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ilber, Mark Quentin" w:date="2023-10-16T15:43:00Z" w:initials="MW">
    <w:p w14:paraId="69F9EB9A" w14:textId="77777777" w:rsidR="00A63D03" w:rsidRDefault="00A63D03" w:rsidP="002A311F">
      <w:r>
        <w:rPr>
          <w:rStyle w:val="CommentReference"/>
        </w:rPr>
        <w:annotationRef/>
      </w:r>
      <w:r>
        <w:rPr>
          <w:sz w:val="20"/>
          <w:szCs w:val="20"/>
        </w:rPr>
        <w:t>Cut down methods section</w:t>
      </w:r>
    </w:p>
  </w:comment>
  <w:comment w:id="18" w:author="Wilber, Mark Quentin" w:date="2023-10-16T13:47:00Z" w:initials="MW">
    <w:p w14:paraId="7E43154E" w14:textId="77777777" w:rsidR="00A63D03" w:rsidRDefault="00725F1E" w:rsidP="005F4CC7">
      <w:r>
        <w:rPr>
          <w:rStyle w:val="CommentReference"/>
        </w:rPr>
        <w:annotationRef/>
      </w:r>
      <w:r w:rsidR="00A63D03">
        <w:rPr>
          <w:sz w:val="20"/>
          <w:szCs w:val="20"/>
        </w:rPr>
        <w:t>Lisa, Justin, Dailee, Dan: could you expand on this with citations and better verbiage?  I am hoping we can have a brief description of seasonal deer social dynamics here.</w:t>
      </w:r>
    </w:p>
  </w:comment>
  <w:comment w:id="19" w:author="Wilber, Mark Quentin" w:date="2023-10-16T16:11:00Z" w:initials="MW">
    <w:p w14:paraId="472F2332" w14:textId="77777777" w:rsidR="00C640A9" w:rsidRDefault="00C640A9" w:rsidP="00C01C67">
      <w:r>
        <w:rPr>
          <w:rStyle w:val="CommentReference"/>
        </w:rPr>
        <w:annotationRef/>
      </w:r>
      <w:r>
        <w:rPr>
          <w:sz w:val="20"/>
          <w:szCs w:val="20"/>
        </w:rPr>
        <w:t>Others have made this point.  Link back to previous theoretical and empirical work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9EB9A" w15:done="0"/>
  <w15:commentEx w15:paraId="7E43154E" w15:done="0"/>
  <w15:commentEx w15:paraId="472F2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117EA" w16cex:dateUtc="2023-10-16T19:43:00Z"/>
  <w16cex:commentExtensible w16cex:durableId="6CCD9009" w16cex:dateUtc="2023-10-16T17:47:00Z"/>
  <w16cex:commentExtensible w16cex:durableId="2A1C260F" w16cex:dateUtc="2023-10-16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9EB9A" w16cid:durableId="233117EA"/>
  <w16cid:commentId w16cid:paraId="7E43154E" w16cid:durableId="6CCD9009"/>
  <w16cid:commentId w16cid:paraId="472F2332" w16cid:durableId="2A1C2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8892" w14:textId="77777777" w:rsidR="00A939B6" w:rsidRDefault="00A939B6">
      <w:pPr>
        <w:spacing w:after="0"/>
      </w:pPr>
      <w:r>
        <w:separator/>
      </w:r>
    </w:p>
  </w:endnote>
  <w:endnote w:type="continuationSeparator" w:id="0">
    <w:p w14:paraId="0A4A8C48" w14:textId="77777777" w:rsidR="00A939B6" w:rsidRDefault="00A93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CC7C0" w14:textId="77777777" w:rsidR="00A939B6" w:rsidRDefault="00A939B6">
      <w:r>
        <w:separator/>
      </w:r>
    </w:p>
  </w:footnote>
  <w:footnote w:type="continuationSeparator" w:id="0">
    <w:p w14:paraId="65C28A4F" w14:textId="77777777" w:rsidR="00A939B6" w:rsidRDefault="00A9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FE2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64508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ber, Mark Quentin">
    <w15:presenceInfo w15:providerId="AD" w15:userId="S::mwilber@utk.edu::d43e31f4-f0bd-4bce-b99f-df416aea9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585"/>
    <w:rsid w:val="0005229B"/>
    <w:rsid w:val="00075D21"/>
    <w:rsid w:val="00080B59"/>
    <w:rsid w:val="00093ECB"/>
    <w:rsid w:val="00103696"/>
    <w:rsid w:val="00120B49"/>
    <w:rsid w:val="00220001"/>
    <w:rsid w:val="00231F76"/>
    <w:rsid w:val="00262585"/>
    <w:rsid w:val="00325783"/>
    <w:rsid w:val="003B49DE"/>
    <w:rsid w:val="00576A3C"/>
    <w:rsid w:val="005C29C8"/>
    <w:rsid w:val="006174CE"/>
    <w:rsid w:val="00714FBE"/>
    <w:rsid w:val="00725F1E"/>
    <w:rsid w:val="0076412C"/>
    <w:rsid w:val="007866B9"/>
    <w:rsid w:val="007D18D9"/>
    <w:rsid w:val="00992DB8"/>
    <w:rsid w:val="00A00AA8"/>
    <w:rsid w:val="00A31F3A"/>
    <w:rsid w:val="00A63D03"/>
    <w:rsid w:val="00A939B6"/>
    <w:rsid w:val="00AA395C"/>
    <w:rsid w:val="00B75340"/>
    <w:rsid w:val="00C640A9"/>
    <w:rsid w:val="00CB14CF"/>
    <w:rsid w:val="00DE5A8A"/>
    <w:rsid w:val="00FA341A"/>
    <w:rsid w:val="00FC3A0C"/>
    <w:rsid w:val="00FE57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373E"/>
  <w15:docId w15:val="{F90BA6EB-5A90-694D-A080-F66EAE67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FC3A0C"/>
    <w:rPr>
      <w:color w:val="800080" w:themeColor="followedHyperlink"/>
      <w:u w:val="single"/>
    </w:rPr>
  </w:style>
  <w:style w:type="character" w:styleId="CommentReference">
    <w:name w:val="annotation reference"/>
    <w:basedOn w:val="DefaultParagraphFont"/>
    <w:rsid w:val="00725F1E"/>
    <w:rPr>
      <w:sz w:val="16"/>
      <w:szCs w:val="16"/>
    </w:rPr>
  </w:style>
  <w:style w:type="paragraph" w:styleId="CommentText">
    <w:name w:val="annotation text"/>
    <w:basedOn w:val="Normal"/>
    <w:link w:val="CommentTextChar"/>
    <w:rsid w:val="00725F1E"/>
    <w:rPr>
      <w:sz w:val="20"/>
      <w:szCs w:val="20"/>
    </w:rPr>
  </w:style>
  <w:style w:type="character" w:customStyle="1" w:styleId="CommentTextChar">
    <w:name w:val="Comment Text Char"/>
    <w:basedOn w:val="DefaultParagraphFont"/>
    <w:link w:val="CommentText"/>
    <w:rsid w:val="00725F1E"/>
    <w:rPr>
      <w:sz w:val="20"/>
      <w:szCs w:val="20"/>
    </w:rPr>
  </w:style>
  <w:style w:type="paragraph" w:styleId="CommentSubject">
    <w:name w:val="annotation subject"/>
    <w:basedOn w:val="CommentText"/>
    <w:next w:val="CommentText"/>
    <w:link w:val="CommentSubjectChar"/>
    <w:rsid w:val="00725F1E"/>
    <w:rPr>
      <w:b/>
      <w:bCs/>
    </w:rPr>
  </w:style>
  <w:style w:type="character" w:customStyle="1" w:styleId="CommentSubjectChar">
    <w:name w:val="Comment Subject Char"/>
    <w:basedOn w:val="CommentTextChar"/>
    <w:link w:val="CommentSubject"/>
    <w:rsid w:val="00725F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doi.org/10.1111/2041-210X.12559" TargetMode="External"/><Relationship Id="rId26" Type="http://schemas.openxmlformats.org/officeDocument/2006/relationships/hyperlink" Target="https://doi.org/10.1016/j.ijppaw.2013.09.001" TargetMode="External"/><Relationship Id="rId39" Type="http://schemas.openxmlformats.org/officeDocument/2006/relationships/hyperlink" Target="https://doi.org/10.1111/1365-2664.13022" TargetMode="External"/><Relationship Id="rId21" Type="http://schemas.openxmlformats.org/officeDocument/2006/relationships/hyperlink" Target="https://doi.org/10.1098/rspb.2017.1807" TargetMode="External"/><Relationship Id="rId34" Type="http://schemas.openxmlformats.org/officeDocument/2006/relationships/hyperlink" Target="https://doi.org/10.1098/rspb.2018.0670" TargetMode="External"/><Relationship Id="rId42" Type="http://schemas.openxmlformats.org/officeDocument/2006/relationships/hyperlink" Target="https://doi.org/10.1128/jvi.00083-21" TargetMode="External"/><Relationship Id="rId47" Type="http://schemas.openxmlformats.org/officeDocument/2006/relationships/hyperlink" Target="https://doi.org/10.1002/ENV.2487" TargetMode="External"/><Relationship Id="rId50" Type="http://schemas.openxmlformats.org/officeDocument/2006/relationships/hyperlink" Target="https://doi.org/10.1002/ecs2.1771" TargetMode="External"/><Relationship Id="rId55" Type="http://schemas.openxmlformats.org/officeDocument/2006/relationships/hyperlink" Target="https://doi.org/10.1111/oik.04866" TargetMode="External"/><Relationship Id="rId63"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biorxiv.org/content/10.1101/2022.09.29.509951v1%0Ahttps://www.biorxiv.org/content/10.1101/2022.09.29.509951v1.abstract%0Ahttps://doi.org/10.1101/2022.09.29.509951" TargetMode="External"/><Relationship Id="rId29" Type="http://schemas.openxmlformats.org/officeDocument/2006/relationships/hyperlink" Target="https://doi.org/10.1007/s12080-012-0170-4" TargetMode="External"/><Relationship Id="rId11" Type="http://schemas.openxmlformats.org/officeDocument/2006/relationships/image" Target="media/image1.jpg"/><Relationship Id="rId24" Type="http://schemas.openxmlformats.org/officeDocument/2006/relationships/hyperlink" Target="https://doi.org/10.1371/journal.pone.0039068" TargetMode="External"/><Relationship Id="rId32" Type="http://schemas.openxmlformats.org/officeDocument/2006/relationships/hyperlink" Target="https://doi.org/10.1371/journal.pone.0173570" TargetMode="External"/><Relationship Id="rId37" Type="http://schemas.openxmlformats.org/officeDocument/2006/relationships/hyperlink" Target="https://doi.org/10.1371/journal.ppat.1010197" TargetMode="External"/><Relationship Id="rId40" Type="http://schemas.openxmlformats.org/officeDocument/2006/relationships/hyperlink" Target="https://doi.org/10.1111/BIOM.13170" TargetMode="External"/><Relationship Id="rId45" Type="http://schemas.openxmlformats.org/officeDocument/2006/relationships/hyperlink" Target="https://doi.org/10.1111/1365-2656.12786" TargetMode="External"/><Relationship Id="rId53" Type="http://schemas.openxmlformats.org/officeDocument/2006/relationships/hyperlink" Target="https://doi.org/10.1098/rsos.170808" TargetMode="External"/><Relationship Id="rId58" Type="http://schemas.openxmlformats.org/officeDocument/2006/relationships/hyperlink" Target="https://doi.org/10.2307/1938423"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086/715110" TargetMode="External"/><Relationship Id="rId14" Type="http://schemas.openxmlformats.org/officeDocument/2006/relationships/image" Target="media/image4.jpg"/><Relationship Id="rId22" Type="http://schemas.openxmlformats.org/officeDocument/2006/relationships/hyperlink" Target="https://doi.org/10.1186/S40462-022-00331-8" TargetMode="External"/><Relationship Id="rId27" Type="http://schemas.openxmlformats.org/officeDocument/2006/relationships/hyperlink" Target="https://doi.org/10.1016/j.ijpara.2010.06.002" TargetMode="External"/><Relationship Id="rId30" Type="http://schemas.openxmlformats.org/officeDocument/2006/relationships/hyperlink" Target="https://doi.org/10.1038/s41586-021-04353-x" TargetMode="External"/><Relationship Id="rId35" Type="http://schemas.openxmlformats.org/officeDocument/2006/relationships/hyperlink" Target="https://doi.org/10.1111/ELE.14032" TargetMode="External"/><Relationship Id="rId43" Type="http://schemas.openxmlformats.org/officeDocument/2006/relationships/hyperlink" Target="https://doi.org/10.1111/1365-2656.13832" TargetMode="External"/><Relationship Id="rId48" Type="http://schemas.openxmlformats.org/officeDocument/2006/relationships/hyperlink" Target="https://doi.org/10.1093/jmammal/gyu027" TargetMode="External"/><Relationship Id="rId56" Type="http://schemas.openxmlformats.org/officeDocument/2006/relationships/hyperlink" Target="https://doi.org/10.1111/ele.13986" TargetMode="External"/><Relationship Id="rId8" Type="http://schemas.microsoft.com/office/2011/relationships/commentsExtended" Target="commentsExtended.xml"/><Relationship Id="rId51" Type="http://schemas.openxmlformats.org/officeDocument/2006/relationships/hyperlink" Target="https://doi.org/10.1086/688257"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073/pnas.2020023118" TargetMode="External"/><Relationship Id="rId25" Type="http://schemas.openxmlformats.org/officeDocument/2006/relationships/hyperlink" Target="https://doi.org/10.1111/2041-210X.12176" TargetMode="External"/><Relationship Id="rId33" Type="http://schemas.openxmlformats.org/officeDocument/2006/relationships/hyperlink" Target="https://doi.org/10.1111/j.1365-2656.2012.01955.x" TargetMode="External"/><Relationship Id="rId38" Type="http://schemas.openxmlformats.org/officeDocument/2006/relationships/hyperlink" Target="https://doi.org/10.1016/S0169-5347(01)02144-9" TargetMode="External"/><Relationship Id="rId46" Type="http://schemas.openxmlformats.org/officeDocument/2006/relationships/hyperlink" Target="https://doi.org/10.3201/eid1803.110685" TargetMode="External"/><Relationship Id="rId59" Type="http://schemas.openxmlformats.org/officeDocument/2006/relationships/hyperlink" Target="https://doi.org/10.1111/1365-2656.13412" TargetMode="External"/><Relationship Id="rId20" Type="http://schemas.openxmlformats.org/officeDocument/2006/relationships/hyperlink" Target="https://doi.org/10.3389/fevo.2023.1230890" TargetMode="External"/><Relationship Id="rId41" Type="http://schemas.openxmlformats.org/officeDocument/2006/relationships/hyperlink" Target="https://doi.org/10.1111/2041-210X.13597" TargetMode="External"/><Relationship Id="rId54" Type="http://schemas.openxmlformats.org/officeDocument/2006/relationships/hyperlink" Target="https://doi.org/10.1111/BRV.12934"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1365-2435.13942" TargetMode="External"/><Relationship Id="rId23" Type="http://schemas.openxmlformats.org/officeDocument/2006/relationships/hyperlink" Target="https://doi.org/10.1111/ele.12917" TargetMode="External"/><Relationship Id="rId28" Type="http://schemas.openxmlformats.org/officeDocument/2006/relationships/hyperlink" Target="https://doi.org/10.1111/j.1365-2664.2010.01813.x" TargetMode="External"/><Relationship Id="rId36" Type="http://schemas.openxmlformats.org/officeDocument/2006/relationships/hyperlink" Target="https://doi.org/10.1016/j.jtbi.2020.110267" TargetMode="External"/><Relationship Id="rId49" Type="http://schemas.openxmlformats.org/officeDocument/2006/relationships/hyperlink" Target="https://doi.org/10.2193/2005-546" TargetMode="External"/><Relationship Id="rId57" Type="http://schemas.openxmlformats.org/officeDocument/2006/relationships/hyperlink" Target="https://doi.org/10.1111/2041-210X.13027" TargetMode="External"/><Relationship Id="rId10" Type="http://schemas.microsoft.com/office/2018/08/relationships/commentsExtensible" Target="commentsExtensible.xml"/><Relationship Id="rId31" Type="http://schemas.openxmlformats.org/officeDocument/2006/relationships/hyperlink" Target="https://doi.org/10.2193/2007-489" TargetMode="External"/><Relationship Id="rId44" Type="http://schemas.openxmlformats.org/officeDocument/2006/relationships/hyperlink" Target="https://doi.org/10.1098/rsif.2015.0705" TargetMode="External"/><Relationship Id="rId52" Type="http://schemas.openxmlformats.org/officeDocument/2006/relationships/hyperlink" Target="https://doi.org/10.1038/s41467-021-27352-y" TargetMode="External"/><Relationship Id="rId60" Type="http://schemas.openxmlformats.org/officeDocument/2006/relationships/hyperlink" Target="https://doi.org/10.1002/ece3.9774"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23</Pages>
  <Words>9600</Words>
  <Characters>54721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Correlated host movements can reshape spatio-temporal disease dynamics: modeling the contributions of space use to transmission risk using animal movement data</vt:lpstr>
    </vt:vector>
  </TitlesOfParts>
  <Company/>
  <LinksUpToDate>false</LinksUpToDate>
  <CharactersWithSpaces>64193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Correlated host movements can reshape spatio-temporal disease dynamics: modeling the contributions of space use to transmission risk using animal movement data</dc:title>
  <dc:creator>Juan S. Vargas Soto, Lisa I. Muller, Dan Grove, Justin Kosiewska, Dailee Metts, and Mark Q. Wilber</dc:creator>
  <cp:keywords/>
  <cp:lastModifiedBy>Wilber, Mark Quentin</cp:lastModifiedBy>
  <cp:revision>31</cp:revision>
  <dcterms:created xsi:type="dcterms:W3CDTF">2023-10-16T17:38:00Z</dcterms:created>
  <dcterms:modified xsi:type="dcterms:W3CDTF">2023-10-16T20:14:00Z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/Users/mqwilber/Dropbox/Documents/Bibformats/methods_in_ecology_and_evo.csl</vt:lpwstr>
  </property>
  <property fmtid="{D5CDD505-2E9C-101B-9397-08002B2CF9AE}" pid="4" name="date">
    <vt:lpwstr/>
  </property>
</Properties>
</file>