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spacing w:after="120" w:lineRule="auto"/>
        <w:rPr/>
      </w:pPr>
      <w:bookmarkStart w:colFirst="0" w:colLast="0" w:name="_zbjwntgmai9j" w:id="0"/>
      <w:bookmarkEnd w:id="0"/>
      <w:r w:rsidDel="00000000" w:rsidR="00000000" w:rsidRPr="00000000">
        <w:rPr>
          <w:rtl w:val="0"/>
        </w:rPr>
        <w:t xml:space="preserve">Rutas de conocimiento, consulta especializada e incorporación de conocimiento</w:t>
      </w:r>
    </w:p>
    <w:p w:rsidR="00000000" w:rsidDel="00000000" w:rsidP="00000000" w:rsidRDefault="00000000" w:rsidRPr="00000000" w14:paraId="00000002">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Acta aprobada y ampliaciones documentales — 14 de septiembre de 2026</w:t>
      </w:r>
    </w:p>
    <w:p w:rsidR="00000000" w:rsidDel="00000000" w:rsidP="00000000" w:rsidRDefault="00000000" w:rsidRPr="00000000" w14:paraId="00000003">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Edición de consulta y revisión humana. Reúne el acta aprobada, la sección 12 añadida al documento del frame y el complemento del documento de las tres realizaciones Rust. Las referencias a los PDF pendientes dentro del acta reproducen su estado de publicación inicial; esta edición ofrece el formato Word alternativo autorizado posteriormente. No sustituye las figuras ni las páginas de las ediciones anteriores.</w:t>
      </w:r>
    </w:p>
    <w:p w:rsidR="00000000" w:rsidDel="00000000" w:rsidP="00000000" w:rsidRDefault="00000000" w:rsidRPr="00000000" w14:paraId="00000004">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textos se reproducen a partir del corte fe96bea19c14ddbb80c01033b52a7e4761754732 del Lenguaje. La conversión de formato no constituye una prueba del SV.</w:t>
      </w:r>
    </w:p>
    <w:p w:rsidR="00000000" w:rsidDel="00000000" w:rsidP="00000000" w:rsidRDefault="00000000" w:rsidRPr="00000000" w14:paraId="00000005">
      <w:pPr>
        <w:pStyle w:val="Heading1"/>
        <w:keepNext w:val="1"/>
        <w:spacing w:after="120" w:lineRule="auto"/>
        <w:rPr/>
      </w:pPr>
      <w:bookmarkStart w:colFirst="0" w:colLast="0" w:name="_90dq0z1ts0n" w:id="1"/>
      <w:bookmarkEnd w:id="1"/>
      <w:r w:rsidDel="00000000" w:rsidR="00000000" w:rsidRPr="00000000">
        <w:rPr>
          <w:rtl w:val="0"/>
        </w:rPr>
        <w:t xml:space="preserve">I. Acta aprobada</w:t>
      </w:r>
    </w:p>
    <w:p w:rsidR="00000000" w:rsidDel="00000000" w:rsidP="00000000" w:rsidRDefault="00000000" w:rsidRPr="00000000" w14:paraId="00000006">
      <w:pPr>
        <w:pStyle w:val="Heading1"/>
        <w:keepNext w:val="1"/>
        <w:spacing w:after="120" w:lineRule="auto"/>
        <w:rPr/>
      </w:pPr>
      <w:bookmarkStart w:colFirst="0" w:colLast="0" w:name="_9zr8vupriwpj" w:id="2"/>
      <w:bookmarkEnd w:id="2"/>
      <w:r w:rsidDel="00000000" w:rsidR="00000000" w:rsidRPr="00000000">
        <w:rPr>
          <w:rtl w:val="0"/>
        </w:rPr>
        <w:t xml:space="preserve">Acta de evaluación y recepción documental de rutas de conocimiento, consulta especializada e incorporación de conocimiento en el Sistema Vectorial SV</w:t>
      </w:r>
    </w:p>
    <w:p w:rsidR="00000000" w:rsidDel="00000000" w:rsidP="00000000" w:rsidRDefault="00000000" w:rsidRPr="00000000" w14:paraId="00000007">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Fecha:</w:t>
      </w:r>
      <w:r w:rsidDel="00000000" w:rsidR="00000000" w:rsidRPr="00000000">
        <w:rPr>
          <w:rFonts w:ascii="Times New Roman" w:cs="Times New Roman" w:eastAsia="Times New Roman" w:hAnsi="Times New Roman"/>
          <w:rtl w:val="0"/>
        </w:rPr>
        <w:t xml:space="preserve"> 14 de septiembre de 2026</w:t>
      </w:r>
    </w:p>
    <w:p w:rsidR="00000000" w:rsidDel="00000000" w:rsidP="00000000" w:rsidRDefault="00000000" w:rsidRPr="00000000" w14:paraId="00000008">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Estado:</w:t>
      </w:r>
      <w:r w:rsidDel="00000000" w:rsidR="00000000" w:rsidRPr="00000000">
        <w:rPr>
          <w:rFonts w:ascii="Times New Roman" w:cs="Times New Roman" w:eastAsia="Times New Roman" w:hAnsi="Times New Roman"/>
          <w:rtl w:val="0"/>
        </w:rPr>
        <w:t xml:space="preserve"> aprobada por Juan Antonio Lloret Egea el 14/09/2026, con la precisión incorporada en §3.1 y §4.5. Incorporación Markdown autorizada; actualización de los dos PDF pendiente por indisponibilidad del entorno de ejecución y renderizado.</w:t>
      </w:r>
    </w:p>
    <w:p w:rsidR="00000000" w:rsidDel="00000000" w:rsidP="00000000" w:rsidRDefault="00000000" w:rsidRPr="00000000" w14:paraId="00000009">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Seguimiento:</w:t>
      </w:r>
      <w:r w:rsidDel="00000000" w:rsidR="00000000" w:rsidRPr="00000000">
        <w:rPr>
          <w:rFonts w:ascii="Times New Roman" w:cs="Times New Roman" w:eastAsia="Times New Roman" w:hAnsi="Times New Roman"/>
          <w:rtl w:val="0"/>
        </w:rPr>
        <w:t xml:space="preserve"> S28; continuación documental de S27.</w:t>
      </w:r>
    </w:p>
    <w:p w:rsidR="00000000" w:rsidDel="00000000" w:rsidP="00000000" w:rsidRDefault="00000000" w:rsidRPr="00000000" w14:paraId="0000000A">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Sede de referencia:</w:t>
      </w:r>
      <w:r w:rsidDel="00000000" w:rsidR="00000000" w:rsidRPr="00000000">
        <w:rPr>
          <w:rFonts w:ascii="Times New Roman" w:cs="Times New Roman" w:eastAsia="Times New Roman" w:hAnsi="Times New Roman"/>
          <w:rtl w:val="0"/>
        </w:rPr>
        <w:t xml:space="preserve"> </w:t>
      </w:r>
      <w:hyperlink r:id="rId6">
        <w:r w:rsidDel="00000000" w:rsidR="00000000" w:rsidRPr="00000000">
          <w:rPr>
            <w:rFonts w:ascii="Times New Roman" w:cs="Times New Roman" w:eastAsia="Times New Roman" w:hAnsi="Times New Roman"/>
            <w:color w:val="1155cc"/>
            <w:u w:val="single"/>
            <w:rtl w:val="0"/>
          </w:rPr>
          <w:t xml:space="preserve">Calidad del Lenguaje</w:t>
        </w:r>
      </w:hyperlink>
      <w:r w:rsidDel="00000000" w:rsidR="00000000" w:rsidRPr="00000000">
        <w:rPr>
          <w:rFonts w:ascii="Times New Roman" w:cs="Times New Roman" w:eastAsia="Times New Roman" w:hAnsi="Times New Roman"/>
          <w:rtl w:val="0"/>
        </w:rPr>
        <w:t xml:space="preserve">. Las copias de laboratorio, agentes y dominios conservan este mismo texto.</w:t>
      </w:r>
    </w:p>
    <w:p w:rsidR="00000000" w:rsidDel="00000000" w:rsidP="00000000" w:rsidRDefault="00000000" w:rsidRPr="00000000" w14:paraId="0000000B">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Objeto:</w:t>
      </w:r>
      <w:r w:rsidDel="00000000" w:rsidR="00000000" w:rsidRPr="00000000">
        <w:rPr>
          <w:rFonts w:ascii="Times New Roman" w:cs="Times New Roman" w:eastAsia="Times New Roman" w:hAnsi="Times New Roman"/>
          <w:rtl w:val="0"/>
        </w:rPr>
        <w:t xml:space="preserve"> revisar la propuesta de rutas críticas en inmunología y su relación con los fundamentos existentes, la trazabilidad y el aprendizaje.</w:t>
      </w:r>
    </w:p>
    <w:p w:rsidR="00000000" w:rsidDel="00000000" w:rsidP="00000000" w:rsidRDefault="00000000" w:rsidRPr="00000000" w14:paraId="0000000C">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Alcance:</w:t>
      </w:r>
      <w:r w:rsidDel="00000000" w:rsidR="00000000" w:rsidRPr="00000000">
        <w:rPr>
          <w:rFonts w:ascii="Times New Roman" w:cs="Times New Roman" w:eastAsia="Times New Roman" w:hAnsi="Times New Roman"/>
          <w:rtl w:val="0"/>
        </w:rPr>
        <w:t xml:space="preserve"> incorporación explicativa a documentos existentes. Esta revisión no constituye un dominio, un agente, una regla clínica ni una realización ejecutable.</w:t>
      </w:r>
    </w:p>
    <w:p w:rsidR="00000000" w:rsidDel="00000000" w:rsidP="00000000" w:rsidRDefault="00000000" w:rsidRPr="00000000" w14:paraId="0000000D">
      <w:pPr>
        <w:pStyle w:val="Heading2"/>
        <w:keepNext w:val="1"/>
        <w:spacing w:after="120" w:lineRule="auto"/>
        <w:rPr/>
      </w:pPr>
      <w:bookmarkStart w:colFirst="0" w:colLast="0" w:name="_gvvjmakfb54" w:id="3"/>
      <w:bookmarkEnd w:id="3"/>
      <w:r w:rsidDel="00000000" w:rsidR="00000000" w:rsidRPr="00000000">
        <w:rPr>
          <w:rtl w:val="0"/>
        </w:rPr>
        <w:t xml:space="preserve">1. Dictamen</w:t>
      </w:r>
    </w:p>
    <w:p w:rsidR="00000000" w:rsidDel="00000000" w:rsidP="00000000" w:rsidRDefault="00000000" w:rsidRPr="00000000" w14:paraId="0000000E">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propuesta resulta adecuada como desarrollo documental de obligaciones ya existentes, con las precisiones de esta evaluación. El dominio constituye los universos, parámetros, usos, condiciones de activación, dependencias y salidas; el agente recibe una cobertura y unos permisos explícitos; el Lenguaje preserva y comprueba los contratos dentro de su alcance acreditado.</w:t>
      </w:r>
    </w:p>
    <w:p w:rsidR="00000000" w:rsidDel="00000000" w:rsidP="00000000" w:rsidRDefault="00000000" w:rsidRPr="00000000" w14:paraId="0000000F">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incorporación de conocimiento externo, la cuarentena y el aprendizaje trazable cuentan con antecedentes propios y deben citarse por sus nombres y funciones. No procede presentarlos como mecanismos nuevos. La contribución de esta ampliación consiste en explicar conjuntamente el recorrido autorizado del conocimiento, la presentación al experto y la separación entre consulta clínica, investigación e incorporación.</w:t>
      </w:r>
    </w:p>
    <w:p w:rsidR="00000000" w:rsidDel="00000000" w:rsidP="00000000" w:rsidRDefault="00000000" w:rsidRPr="00000000" w14:paraId="00000010">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mantiene una reserva precisa sobre la transición entre custodia y autorización de incorporación, expuesta en §3. La revisión no permite afirmar una realización completa de ese tránsito ni resolverlo mediante una interpretación automática. La reserva permite documentar lo establecido, pero impide presentar como formalmente cerrado el mecanismo de promoción.</w:t>
      </w:r>
    </w:p>
    <w:p w:rsidR="00000000" w:rsidDel="00000000" w:rsidP="00000000" w:rsidRDefault="00000000" w:rsidRPr="00000000" w14:paraId="00000011">
      <w:pPr>
        <w:pStyle w:val="Heading2"/>
        <w:keepNext w:val="1"/>
        <w:spacing w:after="120" w:lineRule="auto"/>
        <w:rPr/>
      </w:pPr>
      <w:bookmarkStart w:colFirst="0" w:colLast="0" w:name="_36zbcakpsp1g" w:id="4"/>
      <w:bookmarkEnd w:id="4"/>
      <w:r w:rsidDel="00000000" w:rsidR="00000000" w:rsidRPr="00000000">
        <w:rPr>
          <w:rtl w:val="0"/>
        </w:rPr>
        <w:t xml:space="preserve">2. Examen adversarial previo</w:t>
      </w:r>
    </w:p>
    <w:p w:rsidR="00000000" w:rsidDel="00000000" w:rsidP="00000000" w:rsidRDefault="00000000" w:rsidRPr="00000000" w14:paraId="00000012">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ha efectuado una revisión documental por contraejemplos sobre las fuentes identificadas en §9. No es una nueva campaña experimental, una auditoría externa independiente ni una repetición de los bancos ya recibidos.</w:t>
      </w:r>
    </w:p>
    <w:p w:rsidR="00000000" w:rsidDel="00000000" w:rsidP="00000000" w:rsidRDefault="00000000" w:rsidRPr="00000000" w14:paraId="00000013">
      <w:pPr>
        <w:spacing w:after="120" w:before="0" w:line="276" w:lineRule="auto"/>
        <w:rPr>
          <w:rFonts w:ascii="Times New Roman" w:cs="Times New Roman" w:eastAsia="Times New Roman" w:hAnsi="Times New Roman"/>
        </w:rPr>
      </w:pPr>
      <w:r w:rsidDel="00000000" w:rsidR="00000000" w:rsidRPr="00000000">
        <w:rPr>
          <w:rtl w:val="0"/>
        </w:rPr>
      </w:r>
    </w:p>
    <w:tbl>
      <w:tblPr>
        <w:tblStyle w:val="Table1"/>
        <w:tblW w:w="99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9.6666666666665"/>
        <w:gridCol w:w="3329.6666666666665"/>
        <w:gridCol w:w="3329.6666666666665"/>
        <w:tblGridChange w:id="0">
          <w:tblGrid>
            <w:gridCol w:w="3329.6666666666665"/>
            <w:gridCol w:w="3329.6666666666665"/>
            <w:gridCol w:w="332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Cuestión sometida a ataque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Contraejemplo considerado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Resultado y tratamiento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Reinvención de rutas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Crear otro concepto de ruta porque se describe el conocimiento mediante libros y páginas.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reutilizan el contrato inmunológico v0.3, los usos u(p,O), G7-RUT y la sección 11 del documento del frame.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Cobertura del recorrido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Consultar sólo los parámetros favorables y omitir una dependencia o una rama conjunta.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selección se contrasta con las obligaciones constituidas previamente para la operación. Una lista de consultas realizadas no acredita cobertura.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Activación de una ruta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Convertir una descripción libre o una analítica aislada en una enfermedad mediante el 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activación necesita una regla declarada y evidencia admisible. Se conserva la diferencia entre dato, sospecha introducida por el experto y diagnóstico documentado.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Clasificación y suficiencia clínica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Interpretar la presencia de un código CIE-11 o la superación de T(n) como validación de un diagnóstico.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Ninguna de las fuentes revisadas valida esa equivalencia. El significado clínico de una salida requiere constitución y sustento propios del dominio.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Compensación de defectos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Compensar una dependencia crítica indeterminada con muchos parámetros aptos.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 vetos y las condiciones críticas de G7-RUT se conservan. La suficiencia global no borra obligaciones independientes.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Invención de células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Introducir 27 parámetros en una célula mediante relleno o llamar célula única a 36+9.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conserva n=b² y el orden constituido. El par 36+9 mantiene dos células; no aparece una célula de 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Imagen como prueba suficiente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Mostrar un polígono correcto derivado de una selección incompleta.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imagen se vincula al estado exacto, su constitución y la evidencia del recorrido. La fidelidad visual no acredita cobertura.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Aislamiento y lenguaje de realización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Afirmar que usar Rust o prohibir Internet garantiza por sí solo ausencia de errores y ataques.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Son decisiones de realización y permiso que requieren controles y evidencia. No sustituyen la legitimidad del conocimiento, la cobertura ni la protección del entorno.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Instrucciones en fuentes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Admitir como orden una instrucción incluida en una guía, un archivo o una salida de otra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conserva su estatuto de contenido; la procedencia no le otorga autoridad. La revisión reutiliza las separaciones del modelo adversarial existente.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Cambio de autoridad mediante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Introducir una ruta nueva como simple dato que habilite operaciones antes no permitidas.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novedad cognitiva no autoriza a ampliar dominio, permisos, relaciones de selección o efectos. El cambio se clasifica por su efecto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Promoción desde cuarentena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Dar por alcanzable una salida compuesta de promoción con un prefiltro limitado a rechazo o custodia.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identifica la reserva de §3; no se añade una transición ausente.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Repetición de contrastes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Presentar siete contrastes conformes como siete fuentes independientes o como una probabilidad clínica.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regla expresa el criterio custodial declarado. Independencia, verdad clínica y validación diagnóstica no se deducen del recuento.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Trazabilidad autodeclarada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Aceptar una lista de herramientas escrita por el modelo como registro de su ejecución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requieren los artefactos y registros de la ejecución pertinente. La prueba externa documenta este límite.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Circuito entre investigación y consulta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Permitir que un hallazgo de Internet modifique el conocimiento activo del episodio clínico.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Investigación e incorporación conservan permisos, registros y transiciones diferenciados; no hay actualización automática del episodio.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Procedimiento sin finalización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Recorrer indefinidamente referencias, reintentos o ciclos del grafo.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contrato debe delimitar operación, dependencias, condiciones de término y recursos. Su agotamiento se declara; no justifica una omisión silenciosa ni fabricar U.</w:t>
            </w:r>
          </w:p>
        </w:tc>
      </w:tr>
    </w:tbl>
    <w:p w:rsidR="00000000" w:rsidDel="00000000" w:rsidP="00000000" w:rsidRDefault="00000000" w:rsidRPr="00000000" w14:paraId="00000044">
      <w:pPr>
        <w:spacing w:after="12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Style w:val="Heading2"/>
        <w:keepNext w:val="1"/>
        <w:spacing w:after="120" w:lineRule="auto"/>
        <w:rPr/>
      </w:pPr>
      <w:bookmarkStart w:colFirst="0" w:colLast="0" w:name="_rvo9qod6x43y" w:id="5"/>
      <w:bookmarkEnd w:id="5"/>
      <w:r w:rsidDel="00000000" w:rsidR="00000000" w:rsidRPr="00000000">
        <w:rPr>
          <w:rtl w:val="0"/>
        </w:rPr>
        <w:t xml:space="preserve">3. Reserva sobre la transición de incorporación</w:t>
      </w:r>
    </w:p>
    <w:p w:rsidR="00000000" w:rsidDel="00000000" w:rsidP="00000000" w:rsidRDefault="00000000" w:rsidRPr="00000000" w14:paraId="00000046">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Fundamentos §IX.3 limita la salida del prefiltro SV(9,3) a RECHAZO o CUSTODIA. Los §§IX.2 y IX.8 definen el resultado del par mediante el máximo conservador en el orden:</w:t>
      </w:r>
    </w:p>
    <w:p w:rsidR="00000000" w:rsidDel="00000000" w:rsidP="00000000" w:rsidRDefault="00000000" w:rsidRPr="00000000" w14:paraId="00000047">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RECHAZO &gt; CUSTODIA &gt; PROMOCION &gt; APTO.</w:t>
      </w:r>
    </w:p>
    <w:p w:rsidR="00000000" w:rsidDel="00000000" w:rsidP="00000000" w:rsidRDefault="00000000" w:rsidRPr="00000000" w14:paraId="00000048">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Bajo esa fórmula, mientras se conserve esa salida del prefiltro, el resultado compuesto sólo puede ser RECHAZO o CUSTODIA. Por ejemplo:</w:t>
      </w:r>
    </w:p>
    <w:p w:rsidR="00000000" w:rsidDel="00000000" w:rsidP="00000000" w:rsidRDefault="00000000" w:rsidRPr="00000000" w14:paraId="00000049">
      <w:pPr>
        <w:spacing w:after="120" w:before="0" w:line="276" w:lineRule="auto"/>
        <w:rPr>
          <w:rFonts w:ascii="Times New Roman" w:cs="Times New Roman" w:eastAsia="Times New Roman" w:hAnsi="Times New Roman"/>
        </w:rPr>
      </w:pPr>
      <w:r w:rsidDel="00000000" w:rsidR="00000000" w:rsidRPr="00000000">
        <w:rPr>
          <w:rtl w:val="0"/>
        </w:rPr>
      </w:r>
    </w:p>
    <w:tbl>
      <w:tblPr>
        <w:tblStyle w:val="Table2"/>
        <w:tblW w:w="99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9.6666666666665"/>
        <w:gridCol w:w="3329.6666666666665"/>
        <w:gridCol w:w="3329.6666666666665"/>
        <w:tblGridChange w:id="0">
          <w:tblGrid>
            <w:gridCol w:w="3329.6666666666665"/>
            <w:gridCol w:w="3329.6666666666665"/>
            <w:gridCol w:w="332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Prefiltro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Célula custodial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Máximo conservador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RECHAZO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RECHAZO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CUSTODIA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PROMOCION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CUSTODIA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CUSTODIA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CUSTODIA</w:t>
            </w:r>
          </w:p>
        </w:tc>
      </w:tr>
    </w:tbl>
    <w:p w:rsidR="00000000" w:rsidDel="00000000" w:rsidP="00000000" w:rsidRDefault="00000000" w:rsidRPr="00000000" w14:paraId="00000056">
      <w:pPr>
        <w:spacing w:after="12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§IX.9 contempla, de forma condicional, que el resultado compuesto pertenezca a PROMOCION o APTO. El §IX.8 menciona la intervención soberana y el §XI.5 conserva la autorización humana final. Sin embargo, esos pasajes no explicitan una operación que transforme el estado compuesto, ni un cambio de los argumentos o del régimen de aplicación de la fórmula.</w:t>
      </w:r>
    </w:p>
    <w:p w:rsidR="00000000" w:rsidDel="00000000" w:rsidP="00000000" w:rsidRDefault="00000000" w:rsidRPr="00000000" w14:paraId="00000058">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Alcance del hallazgo:</w:t>
      </w:r>
      <w:r w:rsidDel="00000000" w:rsidR="00000000" w:rsidRPr="00000000">
        <w:rPr>
          <w:rFonts w:ascii="Times New Roman" w:cs="Times New Roman" w:eastAsia="Times New Roman" w:hAnsi="Times New Roman"/>
          <w:rtl w:val="0"/>
        </w:rPr>
        <w:t xml:space="preserve"> existe una transición que necesita precisarse para una traducción ejecutable de estos pasajes. No se concluye que la autorización humana esté ausente del documento ni que el conjunto de la arquitectura quede invalidado. Tampoco se afirma haber demostrado la inexistencia de una precisión en todo el corpus.</w:t>
      </w:r>
    </w:p>
    <w:p w:rsidR="00000000" w:rsidDel="00000000" w:rsidP="00000000" w:rsidRDefault="00000000" w:rsidRPr="00000000" w14:paraId="00000059">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corrige la fuente, no se interpreta CUSTODIA como PROMOCION y no se introduce una excepción por conveniencia. La eventual aclaración corresponde a la sede doctrinal competente. Una autorización editorial de esta evaluación tampoco formaliza por sí misma esa transición.</w:t>
      </w:r>
    </w:p>
    <w:p w:rsidR="00000000" w:rsidDel="00000000" w:rsidP="00000000" w:rsidRDefault="00000000" w:rsidRPr="00000000" w14:paraId="0000005A">
      <w:pPr>
        <w:pStyle w:val="Heading3"/>
        <w:keepNext w:val="1"/>
        <w:spacing w:after="120" w:lineRule="auto"/>
        <w:rPr/>
      </w:pPr>
      <w:bookmarkStart w:colFirst="0" w:colLast="0" w:name="_iepgyevanth5" w:id="6"/>
      <w:bookmarkEnd w:id="6"/>
      <w:r w:rsidDel="00000000" w:rsidR="00000000" w:rsidRPr="00000000">
        <w:rPr>
          <w:rtl w:val="0"/>
        </w:rPr>
        <w:t xml:space="preserve">3.1. Precisión recibida con la aprobación</w:t>
      </w:r>
    </w:p>
    <w:p w:rsidR="00000000" w:rsidDel="00000000" w:rsidP="00000000" w:rsidRDefault="00000000" w:rsidRPr="00000000" w14:paraId="0000005B">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aprobación establece que la IA debe entregar toda la trazabilidad de su recorrido de acuerdo con la petición del inmunólogo y justificar su conclusión o consejo de manera clara. El inmunólogo conoce que interviene una IA con procesamiento probabilístico del lenguaje natural y valora su consejo bajo su propia competencia profesional.</w:t>
      </w:r>
    </w:p>
    <w:p w:rsidR="00000000" w:rsidDel="00000000" w:rsidP="00000000" w:rsidRDefault="00000000" w:rsidRPr="00000000" w14:paraId="0000005C">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§3, «pasajes» designa los apartados del documento Fundamentos examinados durante la revisión. No designa las lecturas o consultas del recorrido que ejecutará la IA. La obligación de entregar y justificar ese recorrido queda recibida expresamente. La reserva formal se circunscribe a la traducción ejecutable del mecanismo de incorporación de conocimiento y no impide esta recepción documental del consejo auditable.</w:t>
      </w:r>
    </w:p>
    <w:p w:rsidR="00000000" w:rsidDel="00000000" w:rsidP="00000000" w:rsidRDefault="00000000" w:rsidRPr="00000000" w14:paraId="0000005D">
      <w:pPr>
        <w:pStyle w:val="Heading2"/>
        <w:keepNext w:val="1"/>
        <w:spacing w:after="120" w:lineRule="auto"/>
        <w:rPr/>
      </w:pPr>
      <w:bookmarkStart w:colFirst="0" w:colLast="0" w:name="_86z594srb967" w:id="7"/>
      <w:bookmarkEnd w:id="7"/>
      <w:r w:rsidDel="00000000" w:rsidR="00000000" w:rsidRPr="00000000">
        <w:rPr>
          <w:rtl w:val="0"/>
        </w:rPr>
        <w:t xml:space="preserve">4. Evaluación del recorrido especializado</w:t>
      </w:r>
    </w:p>
    <w:p w:rsidR="00000000" w:rsidDel="00000000" w:rsidP="00000000" w:rsidRDefault="00000000" w:rsidRPr="00000000" w14:paraId="0000005E">
      <w:pPr>
        <w:pStyle w:val="Heading3"/>
        <w:keepNext w:val="1"/>
        <w:spacing w:after="120" w:lineRule="auto"/>
        <w:rPr/>
      </w:pPr>
      <w:bookmarkStart w:colFirst="0" w:colLast="0" w:name="_13yzvbcpyzh3" w:id="8"/>
      <w:bookmarkEnd w:id="8"/>
      <w:r w:rsidDel="00000000" w:rsidR="00000000" w:rsidRPr="00000000">
        <w:rPr>
          <w:rtl w:val="0"/>
        </w:rPr>
        <w:t xml:space="preserve">4.1. Universo, parámetro y operación</w:t>
      </w:r>
    </w:p>
    <w:p w:rsidR="00000000" w:rsidDel="00000000" w:rsidP="00000000" w:rsidRDefault="00000000" w:rsidRPr="00000000" w14:paraId="0000005F">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analogía de libros y páginas facilita la consulta, pero la unidad operativa debe conservar identidad, versión, finalidad, objeto, activación, fuentes autorizadas y criterio de finalización. Un parámetro puede intervenir en varias operaciones mediante usos constituidos; su mera presencia no determina cuándo debe consultarse.</w:t>
      </w:r>
    </w:p>
    <w:p w:rsidR="00000000" w:rsidDel="00000000" w:rsidP="00000000" w:rsidRDefault="00000000" w:rsidRPr="00000000" w14:paraId="00000060">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ruta crítica ya se describe en el contrato inmunológico como un subgrafo obligatorio dentro de una estructura dirigida y tipada. Puede incluir condiciones, ramas conjuntas, vetos y referencias compartidas. Una sucesión de eventos S0, S1, S2… puede registrar su ejecución, pero no sustituye las relaciones que hacen obligatorio el recorrido. Tampoco debe confundirse esa sucesión de ejecución con la numeración administrativa del registro Sucesos SV.</w:t>
      </w:r>
    </w:p>
    <w:p w:rsidR="00000000" w:rsidDel="00000000" w:rsidP="00000000" w:rsidRDefault="00000000" w:rsidRPr="00000000" w14:paraId="00000061">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constitución previa de las rutas es coherente con la propuesta. Debe entenderse como declaración verificable de las reglas y dependencias permitidas, no como obligación de enumerar manualmente todas las combinaciones posibles de recorridos. La representación informática concreta se decidirá en su sede. Un índice por clave, incluido el HashMap propuesto, sería un medio de localización; no constituye autoridad ni sustituye el orden posicional de las células.</w:t>
      </w:r>
    </w:p>
    <w:p w:rsidR="00000000" w:rsidDel="00000000" w:rsidP="00000000" w:rsidRDefault="00000000" w:rsidRPr="00000000" w14:paraId="00000062">
      <w:pPr>
        <w:pStyle w:val="Heading3"/>
        <w:keepNext w:val="1"/>
        <w:spacing w:after="120" w:lineRule="auto"/>
        <w:rPr/>
      </w:pPr>
      <w:bookmarkStart w:colFirst="0" w:colLast="0" w:name="_f92tmr74gzjv" w:id="9"/>
      <w:bookmarkEnd w:id="9"/>
      <w:r w:rsidDel="00000000" w:rsidR="00000000" w:rsidRPr="00000000">
        <w:rPr>
          <w:rtl w:val="0"/>
        </w:rPr>
        <w:t xml:space="preserve">4.2. CIE-11, hipótesis y observación clínica</w:t>
      </w:r>
    </w:p>
    <w:p w:rsidR="00000000" w:rsidDel="00000000" w:rsidP="00000000" w:rsidRDefault="00000000" w:rsidRPr="00000000" w14:paraId="00000063">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propuesta delimita el catálogo de enfermedades admisibles mediante CIE-11 y las versiones sucesoras que se adopten de forma expresa. La referencia utilizada debe estar identificada y vinculada a la operación del dominio. La entrada de un código no basta para constituir una relación clínica entre parámetros y enfermedad.</w:t>
      </w:r>
    </w:p>
    <w:p w:rsidR="00000000" w:rsidDel="00000000" w:rsidP="00000000" w:rsidRDefault="00000000" w:rsidRPr="00000000" w14:paraId="00000064">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consulta del experto puede indicar una enfermedad que desea explorar. Los datos de laboratorio pueden activar reglas ya declaradas. Ninguna de esas entradas habilita al modelo para construir asociaciones no constituidas o transformar una sospecha en diagnóstico.</w:t>
      </w:r>
    </w:p>
    <w:p w:rsidR="00000000" w:rsidDel="00000000" w:rsidP="00000000" w:rsidRDefault="00000000" w:rsidRPr="00000000" w14:paraId="00000065">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expresión «se observa compatibilidad alta» sólo será admisible cuando el dominio haya definido y sustentado exactamente esa salida, incluidas sus condiciones, exclusiones y límites. La formulación verbal «se observa» no resuelve por sí misma la legitimidad de la conclusión.</w:t>
      </w:r>
    </w:p>
    <w:p w:rsidR="00000000" w:rsidDel="00000000" w:rsidP="00000000" w:rsidRDefault="00000000" w:rsidRPr="00000000" w14:paraId="00000066">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OP-IMM-001 tiene un alcance predecisional de riesgo infeccioso antes de la inmunosupresión en adultos. Sus 27 parámetros y cuatro rutas de salida no constituyen un clasificador general de enfermedades inmunológicas. El mapa de 32 universos contiene candidatos operacionales; no equivale a 32 enfermedades ni acredita un dominio completo. El presente estudio no amplía OP-IMM-001.</w:t>
      </w:r>
    </w:p>
    <w:p w:rsidR="00000000" w:rsidDel="00000000" w:rsidP="00000000" w:rsidRDefault="00000000" w:rsidRPr="00000000" w14:paraId="00000067">
      <w:pPr>
        <w:pStyle w:val="Heading3"/>
        <w:keepNext w:val="1"/>
        <w:spacing w:after="120" w:lineRule="auto"/>
        <w:rPr/>
      </w:pPr>
      <w:bookmarkStart w:colFirst="0" w:colLast="0" w:name="_m4ut5nnkv8mj" w:id="10"/>
      <w:bookmarkEnd w:id="10"/>
      <w:r w:rsidDel="00000000" w:rsidR="00000000" w:rsidRPr="00000000">
        <w:rPr>
          <w:rtl w:val="0"/>
        </w:rPr>
        <w:t xml:space="preserve">4.3. Suficiencia y célula final</w:t>
      </w:r>
    </w:p>
    <w:p w:rsidR="00000000" w:rsidDel="00000000" w:rsidP="00000000" w:rsidRDefault="00000000" w:rsidRPr="00000000" w14:paraId="00000068">
      <w:pPr>
        <w:spacing w:after="120" w:before="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Se conserva la primitiva canónica T(n)=⌊7n/9⌋. Su resultado expresa la suficiencia que tenga constituida la operación aplicable; no se convierte en una probabilidad de enfermedad.</w:t>
      </w:r>
    </w:p>
    <w:p w:rsidR="00000000" w:rsidDel="00000000" w:rsidP="00000000" w:rsidRDefault="00000000" w:rsidRPr="00000000" w14:paraId="00000069">
      <w:pPr>
        <w:spacing w:after="120" w:before="0" w:line="276" w:lineRule="auto"/>
        <w:rPr>
          <w:rFonts w:ascii="Times New Roman" w:cs="Times New Roman" w:eastAsia="Times New Roman" w:hAnsi="Times New Roman"/>
        </w:rPr>
      </w:pPr>
      <w:r w:rsidDel="00000000" w:rsidR="00000000" w:rsidRPr="00000000">
        <w:rPr>
          <w:rtl w:val="0"/>
        </w:rPr>
      </w:r>
    </w:p>
    <w:tbl>
      <w:tblPr>
        <w:tblStyle w:val="Table3"/>
        <w:tblW w:w="99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9.6666666666665"/>
        <w:gridCol w:w="3329.6666666666665"/>
        <w:gridCol w:w="3329.6666666666665"/>
        <w:tblGridChange w:id="0">
          <w:tblGrid>
            <w:gridCol w:w="3329.6666666666665"/>
            <w:gridCol w:w="3329.6666666666665"/>
            <w:gridCol w:w="332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Célula exacta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SV(9,3)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SV(16,4)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SV(25,5)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SV(36,6)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SV(49,7)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38</w:t>
            </w:r>
          </w:p>
        </w:tc>
      </w:tr>
    </w:tbl>
    <w:p w:rsidR="00000000" w:rsidDel="00000000" w:rsidP="00000000" w:rsidRDefault="00000000" w:rsidRPr="00000000" w14:paraId="0000007C">
      <w:pPr>
        <w:spacing w:after="12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estudio puede explorar, conforme a la propuesta, una célula final de hasta 49 posiciones y comenzar por la menor adecuada. Ese máximo es una restricción propuesta para este estudio, no un máximo universal del SV. Aprendizaje trazable §6.2 exige adecuación declarada para elegir la menor célula; no autoriza a escogerla contando parámetros y completando los restantes.</w:t>
      </w:r>
    </w:p>
    <w:p w:rsidR="00000000" w:rsidDel="00000000" w:rsidP="00000000" w:rsidRDefault="00000000" w:rsidRPr="00000000" w14:paraId="0000007E">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expresiones documentadas son «células de conocimiento nuclear del dominio» y «parámetros singulares de decisión». La constitución de una célula final deberá demostrar qué conserva de las dependencias anteriores. El recorrido completo y sus fuentes siguen siendo necesarios aunque la presentación principal utilice una sola célula. El par 36+9, si procede bajo composición constituida, conserva su carácter compuesto.</w:t>
      </w:r>
    </w:p>
    <w:p w:rsidR="00000000" w:rsidDel="00000000" w:rsidP="00000000" w:rsidRDefault="00000000" w:rsidRPr="00000000" w14:paraId="0000007F">
      <w:pPr>
        <w:pStyle w:val="Heading3"/>
        <w:keepNext w:val="1"/>
        <w:spacing w:after="120" w:lineRule="auto"/>
        <w:rPr/>
      </w:pPr>
      <w:bookmarkStart w:colFirst="0" w:colLast="0" w:name="_a44w0rg3eibt" w:id="11"/>
      <w:bookmarkEnd w:id="11"/>
      <w:r w:rsidDel="00000000" w:rsidR="00000000" w:rsidRPr="00000000">
        <w:rPr>
          <w:rtl w:val="0"/>
        </w:rPr>
        <w:t xml:space="preserve">4.4. Presentación y trazabilidad</w:t>
      </w:r>
    </w:p>
    <w:p w:rsidR="00000000" w:rsidDel="00000000" w:rsidP="00000000" w:rsidRDefault="00000000" w:rsidRPr="00000000" w14:paraId="00000080">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polígono debe proceder del mismo estado exacto cuya identidad y versión constan en el expediente. La correspondencia entre posición, parámetro, valor y evidencia debe ser recuperable. No se interpretan las distancias gráficas como gravedad clínica si el dominio no lo ha constituido.</w:t>
      </w:r>
    </w:p>
    <w:p w:rsidR="00000000" w:rsidDel="00000000" w:rsidP="00000000" w:rsidRDefault="00000000" w:rsidRPr="00000000" w14:paraId="00000081">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vista principal expondrá la observación admisible, sus límites y las indeterminaciones relevantes. La ventana de auditoría solicitada debe permitir acceder a las fuentes consultadas, versiones, rutas activadas, causas de inactividad, datos utilizados, operadores, procesos, programas, scripts, conectores, entradas, salidas, fallos y actos de autorización pertinentes al episodio.</w:t>
      </w:r>
    </w:p>
    <w:p w:rsidR="00000000" w:rsidDel="00000000" w:rsidP="00000000" w:rsidRDefault="00000000" w:rsidRPr="00000000" w14:paraId="00000082">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Esa ventana muestra evidencia de ejecución; no basta con que la IA narre lo que afirma haber realizado. Su integridad, alcance y conservación deben verificarse respecto del entorno declarado. La conclusión de la prueba externa es directamente aplicable: una respuesta documental conforme no certifica toda la actividad interna o externa del servicio.</w:t>
      </w:r>
    </w:p>
    <w:p w:rsidR="00000000" w:rsidDel="00000000" w:rsidP="00000000" w:rsidRDefault="00000000" w:rsidRPr="00000000" w14:paraId="00000083">
      <w:pPr>
        <w:pStyle w:val="Heading3"/>
        <w:keepNext w:val="1"/>
        <w:spacing w:after="120" w:lineRule="auto"/>
        <w:rPr/>
      </w:pPr>
      <w:bookmarkStart w:colFirst="0" w:colLast="0" w:name="_7ss7q2yiyjg1" w:id="12"/>
      <w:bookmarkEnd w:id="12"/>
      <w:r w:rsidDel="00000000" w:rsidR="00000000" w:rsidRPr="00000000">
        <w:rPr>
          <w:rtl w:val="0"/>
        </w:rPr>
        <w:t xml:space="preserve">4.5. IA de lenguaje probabilístico y consejo al experto</w:t>
      </w:r>
    </w:p>
    <w:p w:rsidR="00000000" w:rsidDel="00000000" w:rsidP="00000000" w:rsidRDefault="00000000" w:rsidRPr="00000000" w14:paraId="00000084">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participación de una IA con procesamiento probabilístico del lenguaje natural es compatible con su función auxiliar de interlocución, organización y exposición del consejo, dentro del encargo y de los permisos recibidos. El carácter probabilístico de esa realización debe ser conocido por el experto. Su intervención no recibe por ello autoridad para constituir rutas, alterar parámetros, clausurar U o incorporar conocimiento al dominio.</w:t>
      </w:r>
    </w:p>
    <w:p w:rsidR="00000000" w:rsidDel="00000000" w:rsidP="00000000" w:rsidRDefault="00000000" w:rsidRPr="00000000" w14:paraId="00000085">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consejo debe justificar de forma clara qué se ha observado, con qué fuentes y datos, qué operaciones sustentan cada conclusión y qué límites permanecen. La trazabilidad entregada debe permitir vincular la petición, el recorrido efectivamente realizado y la respuesta presentada. La elaboración verbal no puede sustituir ni corregir silenciosamente el resultado que explica.</w:t>
      </w:r>
    </w:p>
    <w:p w:rsidR="00000000" w:rsidDel="00000000" w:rsidP="00000000" w:rsidRDefault="00000000" w:rsidRPr="00000000" w14:paraId="00000086">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valoración clínica corresponde al inmunólogo. Su conocimiento de la naturaleza probabilística de la IA no exime al sistema de conservar las evidencias y los controles ya establecidos. Se mantienen las condiciones documentadas de incorporación y aprendizaje, diferenciadas de la recepción humana de un consejo.</w:t>
      </w:r>
    </w:p>
    <w:p w:rsidR="00000000" w:rsidDel="00000000" w:rsidP="00000000" w:rsidRDefault="00000000" w:rsidRPr="00000000" w14:paraId="00000087">
      <w:pPr>
        <w:pStyle w:val="Heading2"/>
        <w:keepNext w:val="1"/>
        <w:spacing w:after="120" w:lineRule="auto"/>
        <w:rPr/>
      </w:pPr>
      <w:bookmarkStart w:colFirst="0" w:colLast="0" w:name="_llgt5zta3drs" w:id="13"/>
      <w:bookmarkEnd w:id="13"/>
      <w:r w:rsidDel="00000000" w:rsidR="00000000" w:rsidRPr="00000000">
        <w:rPr>
          <w:rtl w:val="0"/>
        </w:rPr>
        <w:t xml:space="preserve">5. Consulta, investigación e incorporación</w:t>
      </w:r>
    </w:p>
    <w:p w:rsidR="00000000" w:rsidDel="00000000" w:rsidP="00000000" w:rsidRDefault="00000000" w:rsidRPr="00000000" w14:paraId="00000088">
      <w:pPr>
        <w:spacing w:after="120" w:before="0" w:line="276" w:lineRule="auto"/>
        <w:rPr>
          <w:rFonts w:ascii="Times New Roman" w:cs="Times New Roman" w:eastAsia="Times New Roman" w:hAnsi="Times New Roman"/>
        </w:rPr>
      </w:pPr>
      <w:r w:rsidDel="00000000" w:rsidR="00000000" w:rsidRPr="00000000">
        <w:rPr>
          <w:rtl w:val="0"/>
        </w:rPr>
      </w:r>
    </w:p>
    <w:tbl>
      <w:tblPr>
        <w:tblStyle w:val="Table4"/>
        <w:tblW w:w="99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25"/>
        <w:gridCol w:w="2497.25"/>
        <w:gridCol w:w="2497.25"/>
        <w:gridCol w:w="2497.25"/>
        <w:tblGridChange w:id="0">
          <w:tblGrid>
            <w:gridCol w:w="2497.25"/>
            <w:gridCol w:w="2497.25"/>
            <w:gridCol w:w="2497.25"/>
            <w:gridCol w:w="249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Aspecto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Consulta clínica dentro del dominio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Investigación solicitada por el experto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Incorporación de conocimiento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Ejecutar una operación constituida sobre conocimiento admitido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Revisar un tema o relación expresamente solicitados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Examinar y, si procede, admitir un candidato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Acceso a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Prohibido durante el episodio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Permitido dentro del encargo autorizado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Regido por el procedimiento custodial y los permisos aplicables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Copias y versiones admitidas por el dominio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Publicaciones y fuentes comprendidas en el encargo, con procedencia conservada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Guías u otras fuentes autorizadas, sometidas a admisión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Observación y límites autorizados por el contrato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 de lo observado relevante, con fuentes, alcance y cuestiones abiertas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Resultado custodial y propuesta de incorporación cuando corresponda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Cambio del conocimiento 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se presume permitido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investigación no lo modifica automáticamente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Requiere condiciones constituidas y autorización humana competente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Obligatoria, incluida la autorización y la versión resultante</w:t>
            </w:r>
          </w:p>
        </w:tc>
      </w:tr>
    </w:tbl>
    <w:p w:rsidR="00000000" w:rsidDel="00000000" w:rsidP="00000000" w:rsidRDefault="00000000" w:rsidRPr="00000000" w14:paraId="000000A5">
      <w:pPr>
        <w:spacing w:after="12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enfermedades o hipótesis en investigación pueden ser objetos de una consulta de investigación expresamente autorizada, sin convertirse por ello en enfermedades admitidas para la salida clínica. Los hallazgos conservan ese estatuto al pasar de un episodio a otro.</w:t>
      </w:r>
    </w:p>
    <w:p w:rsidR="00000000" w:rsidDel="00000000" w:rsidP="00000000" w:rsidRDefault="00000000" w:rsidRPr="00000000" w14:paraId="000000A7">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instrucción de aislamiento durante la consulta clínica debe hacerse efectiva en el entorno de ejecución. El uso de Rust conserva su lugar en la realización y las pruebas; no acredita por sí solo el cumplimiento del aislamiento ni la corrección del conocimiento.</w:t>
      </w:r>
    </w:p>
    <w:p w:rsidR="00000000" w:rsidDel="00000000" w:rsidP="00000000" w:rsidRDefault="00000000" w:rsidRPr="00000000" w14:paraId="000000A8">
      <w:pPr>
        <w:pStyle w:val="Heading2"/>
        <w:keepNext w:val="1"/>
        <w:spacing w:after="120" w:lineRule="auto"/>
        <w:rPr/>
      </w:pPr>
      <w:bookmarkStart w:colFirst="0" w:colLast="0" w:name="_wh15lo3c390d" w:id="14"/>
      <w:bookmarkEnd w:id="14"/>
      <w:r w:rsidDel="00000000" w:rsidR="00000000" w:rsidRPr="00000000">
        <w:rPr>
          <w:rtl w:val="0"/>
        </w:rPr>
        <w:t xml:space="preserve">6. Incorporación extrínseca y aprendizaje existentes</w:t>
      </w:r>
    </w:p>
    <w:p w:rsidR="00000000" w:rsidDel="00000000" w:rsidP="00000000" w:rsidRDefault="00000000" w:rsidRPr="00000000" w14:paraId="000000A9">
      <w:pPr>
        <w:pStyle w:val="Heading3"/>
        <w:keepNext w:val="1"/>
        <w:spacing w:after="120" w:lineRule="auto"/>
        <w:rPr/>
      </w:pPr>
      <w:bookmarkStart w:colFirst="0" w:colLast="0" w:name="_kybsww5q6zk6" w:id="15"/>
      <w:bookmarkEnd w:id="15"/>
      <w:r w:rsidDel="00000000" w:rsidR="00000000" w:rsidRPr="00000000">
        <w:rPr>
          <w:rtl w:val="0"/>
        </w:rPr>
        <w:t xml:space="preserve">6.1. Arquitectura custodial</w:t>
      </w:r>
    </w:p>
    <w:p w:rsidR="00000000" w:rsidDel="00000000" w:rsidP="00000000" w:rsidRDefault="00000000" w:rsidRPr="00000000" w14:paraId="000000AA">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Fundamentos ya declara el prefiltro adversarial SV(9,3), la célula custodial SV(16,4), el Regulador de incorporación extrínseca, la cuarentena por contrastes y la autorización humana final. El par mantiene funciones separadas y no forma una célula única de 25.</w:t>
      </w:r>
    </w:p>
    <w:p w:rsidR="00000000" w:rsidDel="00000000" w:rsidP="00000000" w:rsidRDefault="00000000" w:rsidRPr="00000000" w14:paraId="000000AB">
      <w:pPr>
        <w:spacing w:after="120" w:before="0" w:line="276" w:lineRule="auto"/>
        <w:rPr>
          <w:rFonts w:ascii="Times New Roman" w:cs="Times New Roman" w:eastAsia="Times New Roman" w:hAnsi="Times New Roman"/>
        </w:rPr>
      </w:pPr>
      <w:r w:rsidDel="00000000" w:rsidR="00000000" w:rsidRPr="00000000">
        <w:rPr>
          <w:rtl w:val="0"/>
        </w:rPr>
      </w:r>
    </w:p>
    <w:tbl>
      <w:tblPr>
        <w:tblStyle w:val="Table5"/>
        <w:tblW w:w="99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4.5"/>
        <w:gridCol w:w="4994.5"/>
        <w:tblGridChange w:id="0">
          <w:tblGrid>
            <w:gridCol w:w="4994.5"/>
            <w:gridCol w:w="49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Elemento existente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Función documentada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Prefiltro SV(9,3)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Rechazo temprano o admisión a custodia; la ilegitimidad manifiesta no queda compensada por el recuento favorable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Célula SV(16,4)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Examen de identidad, soporte, tipado, estabilidad y condiciones de promoción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Regulador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Normal: 12; moderado: 13; alto: 14; muy alto: 15. El 16/16 queda reservado como convergencia excepcional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Inmunología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Fundamentos sitúa su régimen natural en muy 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Cuarentena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Nueve contrastes; al menos siete deben alcanzar el umbral regulado en la célula de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Autorización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incorporación efectiva permanece subordinada a autorización humana soberana</w:t>
            </w:r>
          </w:p>
        </w:tc>
      </w:tr>
    </w:tbl>
    <w:p w:rsidR="00000000" w:rsidDel="00000000" w:rsidP="00000000" w:rsidRDefault="00000000" w:rsidRPr="00000000" w14:paraId="000000BA">
      <w:pPr>
        <w:spacing w:after="12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paso del tiempo y la reputación de la fuente no sustituyen los contrastes. Una posición U no suma aptitud. La regla de nueve contrastes no constituye por sí sola una garantía de independencia de sus fuentes ni una validación clínica.</w:t>
      </w:r>
    </w:p>
    <w:p w:rsidR="00000000" w:rsidDel="00000000" w:rsidP="00000000" w:rsidRDefault="00000000" w:rsidRPr="00000000" w14:paraId="000000BC">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reserva de §3 se aplica a la formalización del tránsito compuesto. El cuadro conserva las obligaciones documentadas sin dar por ejecutable un paso no precisado.</w:t>
      </w:r>
    </w:p>
    <w:p w:rsidR="00000000" w:rsidDel="00000000" w:rsidP="00000000" w:rsidRDefault="00000000" w:rsidRPr="00000000" w14:paraId="000000BD">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autorización humana debe corresponder a una persona acreditada y facultada para el alcance concreto, y quedar vinculada al candidato, su versión, la evidencia examinada y la incorporación autorizada. La existencia de una firma no demuestra por sí sola esas ligaduras ni permite ampliar el efecto aprobado.</w:t>
      </w:r>
    </w:p>
    <w:p w:rsidR="00000000" w:rsidDel="00000000" w:rsidP="00000000" w:rsidRDefault="00000000" w:rsidRPr="00000000" w14:paraId="000000BE">
      <w:pPr>
        <w:pStyle w:val="Heading3"/>
        <w:keepNext w:val="1"/>
        <w:spacing w:after="120" w:lineRule="auto"/>
        <w:rPr/>
      </w:pPr>
      <w:bookmarkStart w:colFirst="0" w:colLast="0" w:name="_a3m79fq2lse1" w:id="16"/>
      <w:bookmarkEnd w:id="16"/>
      <w:r w:rsidDel="00000000" w:rsidR="00000000" w:rsidRPr="00000000">
        <w:rPr>
          <w:rtl w:val="0"/>
        </w:rPr>
        <w:t xml:space="preserve">6.2. Aprendizaje trazable</w:t>
      </w:r>
    </w:p>
    <w:p w:rsidR="00000000" w:rsidDel="00000000" w:rsidP="00000000" w:rsidRDefault="00000000" w:rsidRPr="00000000" w14:paraId="000000BF">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documento de 15/08/2026 distingue contenidos, relaciones y rutas del conocimiento activo, la traza estructural y el registro cognitivo. La mera lectura, el razonamiento, la composición o la extensión del registro no bastan para declarar aprendizaje.</w:t>
      </w:r>
    </w:p>
    <w:p w:rsidR="00000000" w:rsidDel="00000000" w:rsidP="00000000" w:rsidRDefault="00000000" w:rsidRPr="00000000" w14:paraId="000000C0">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incremento debe ser históricamente nuevo y contar con un certificado finito de soporte: fuentes admitidas, operadores declarados efectivamente ejecutados y vínculo con la incorporación. La recuperación de algo conocido anteriormente no se contabiliza automáticamente como novedad. Una rectificación puede reducir el conocimiento activo manteniendo su historia.</w:t>
      </w:r>
    </w:p>
    <w:p w:rsidR="00000000" w:rsidDel="00000000" w:rsidP="00000000" w:rsidRDefault="00000000" w:rsidRPr="00000000" w14:paraId="000000C1">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mecanismos estadísticos no pueden constituir aprendizaje o clausura en la cadena soberana. Los pasos constitutivos deben ser reconstruibles, el fundamento humano se preserva durante las transiciones de máquina y la clausura en 0 o 1 necesita base declarada. La revisión humana del fundamento constituye otra versión y otro episodio conforme al régimen del documento.</w:t>
      </w:r>
    </w:p>
    <w:p w:rsidR="00000000" w:rsidDel="00000000" w:rsidP="00000000" w:rsidRDefault="00000000" w:rsidRPr="00000000" w14:paraId="000000C2">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una fuente afirme una proposición no certifica por sí mismo su verdad. Del mismo modo, adquirir una relación o una ruta no concede autoridad para ejecutar efectos nuevos. Las actas de recepción de agosto ya conservan estas distinciones para su futura traducción al Lenguaje; no acreditan toda esa traducción como realizada.</w:t>
      </w:r>
    </w:p>
    <w:p w:rsidR="00000000" w:rsidDel="00000000" w:rsidP="00000000" w:rsidRDefault="00000000" w:rsidRPr="00000000" w14:paraId="000000C3">
      <w:pPr>
        <w:pStyle w:val="Heading2"/>
        <w:keepNext w:val="1"/>
        <w:spacing w:after="120" w:lineRule="auto"/>
        <w:rPr/>
      </w:pPr>
      <w:bookmarkStart w:colFirst="0" w:colLast="0" w:name="_tcj9n8mu6z3h" w:id="17"/>
      <w:bookmarkEnd w:id="17"/>
      <w:r w:rsidDel="00000000" w:rsidR="00000000" w:rsidRPr="00000000">
        <w:rPr>
          <w:rtl w:val="0"/>
        </w:rPr>
        <w:t xml:space="preserve">7. Prueba externa y modelo adversarial</w:t>
      </w:r>
    </w:p>
    <w:p w:rsidR="00000000" w:rsidDel="00000000" w:rsidP="00000000" w:rsidRDefault="00000000" w:rsidRPr="00000000" w14:paraId="000000C4">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acta S10 consolida cinco participantes, diez entregas y 120 casos documentales. Conserva los resultados originales, sus rectificaciones y sus límites. En la segunda ronda, Grok y Claude presentan conformidad documental; el bloque diagnóstico de Qwen es conforme, pero su original mantiene la no conformidad y la aceptación humana provisional diferenciadas; DeepSeek conserva discrepancias de sangría; Mistral presenta además alteraciones de regla y relaciones causales. La coincidencia de las decisiones finales no compensa estos defectos.</w:t>
      </w:r>
    </w:p>
    <w:p w:rsidR="00000000" w:rsidDel="00000000" w:rsidP="00000000" w:rsidRDefault="00000000" w:rsidRPr="00000000" w14:paraId="000000C5">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evaluación no extiende esos resultados a toda una familia de modelos, a otra configuración o a una garantía de ausencia de ataques. La actividad del observador no se atribuye al participante. No se han repetido esos casos ni se presentan aquí resultados experimentales nuevos.</w:t>
      </w:r>
    </w:p>
    <w:p w:rsidR="00000000" w:rsidDel="00000000" w:rsidP="00000000" w:rsidRDefault="00000000" w:rsidRPr="00000000" w14:paraId="000000C6">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examen adversarial se ha utilizado también la revisión V3 del modelo privado SEC.1, localizada en Auditorias.zip. Precisa que una actualización informativa no puede ampliar de forma encubierta las relaciones que permiten seleccionar objetos o ejecutar formas privilegiadas. Se conserva su carácter privado y no normativo; no se propone publicar el archivo ni reproducir su desarrollo formal.</w:t>
      </w:r>
    </w:p>
    <w:p w:rsidR="00000000" w:rsidDel="00000000" w:rsidP="00000000" w:rsidRDefault="00000000" w:rsidRPr="00000000" w14:paraId="000000C7">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evaluación atiende tanto errores como actuaciones maliciosas, coaliciones y fallos del entorno. No atribuye intención maliciosa a un participante a partir de una discrepancia documental.</w:t>
      </w:r>
    </w:p>
    <w:p w:rsidR="00000000" w:rsidDel="00000000" w:rsidP="00000000" w:rsidRDefault="00000000" w:rsidRPr="00000000" w14:paraId="000000C8">
      <w:pPr>
        <w:pStyle w:val="Heading2"/>
        <w:keepNext w:val="1"/>
        <w:spacing w:after="120" w:lineRule="auto"/>
        <w:rPr/>
      </w:pPr>
      <w:bookmarkStart w:colFirst="0" w:colLast="0" w:name="_dwbu6fv29drq" w:id="18"/>
      <w:bookmarkEnd w:id="18"/>
      <w:r w:rsidDel="00000000" w:rsidR="00000000" w:rsidRPr="00000000">
        <w:rPr>
          <w:rtl w:val="0"/>
        </w:rPr>
        <w:t xml:space="preserve">8. Acuerdos de incorporación documental</w:t>
      </w:r>
    </w:p>
    <w:p w:rsidR="00000000" w:rsidDel="00000000" w:rsidP="00000000" w:rsidRDefault="00000000" w:rsidRPr="00000000" w14:paraId="000000C9">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Título:</w:t>
      </w:r>
      <w:r w:rsidDel="00000000" w:rsidR="00000000" w:rsidRPr="00000000">
        <w:rPr>
          <w:rFonts w:ascii="Times New Roman" w:cs="Times New Roman" w:eastAsia="Times New Roman" w:hAnsi="Times New Roman"/>
          <w:rtl w:val="0"/>
        </w:rPr>
        <w:t xml:space="preserve"> Acta de evaluación y recepción documental de rutas de conocimiento, consulta especializada e incorporación de conocimiento en el Sistema Vectorial SV.</w:t>
      </w:r>
    </w:p>
    <w:p w:rsidR="00000000" w:rsidDel="00000000" w:rsidP="00000000" w:rsidRDefault="00000000" w:rsidRPr="00000000" w14:paraId="000000CA">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Aprobación:</w:t>
      </w:r>
      <w:r w:rsidDel="00000000" w:rsidR="00000000" w:rsidRPr="00000000">
        <w:rPr>
          <w:rFonts w:ascii="Times New Roman" w:cs="Times New Roman" w:eastAsia="Times New Roman" w:hAnsi="Times New Roman"/>
          <w:rtl w:val="0"/>
        </w:rPr>
        <w:t xml:space="preserve"> recibida expresamente el 14/09/2026, con la precisión de §§3.1 y 4.5 sobre trazabilidad, justificación del consejo y participación auxiliar de una IA de lenguaje probabilístico.</w:t>
      </w:r>
    </w:p>
    <w:p w:rsidR="00000000" w:rsidDel="00000000" w:rsidP="00000000" w:rsidRDefault="00000000" w:rsidRPr="00000000" w14:paraId="000000CB">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reciben los siguientes acuerdos:</w:t>
      </w:r>
    </w:p>
    <w:p w:rsidR="00000000" w:rsidDel="00000000" w:rsidP="00000000" w:rsidRDefault="00000000" w:rsidRPr="00000000" w14:paraId="000000CC">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Recibir la evaluación de §§1–7 como explicación documental del recorrido autorizado del conocimiento y de su exposición al experto.</w:t>
      </w:r>
    </w:p>
    <w:p w:rsidR="00000000" w:rsidDel="00000000" w:rsidP="00000000" w:rsidRDefault="00000000" w:rsidRPr="00000000" w14:paraId="000000CD">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Reutilizar los contratos de rutas inmunológicas, los Fundamentos de agentes, la doctrina de aprendizaje trazable y las conclusiones de la prueba externa, conservando sus rangos y alcances.</w:t>
      </w:r>
    </w:p>
    <w:p w:rsidR="00000000" w:rsidDel="00000000" w:rsidP="00000000" w:rsidRDefault="00000000" w:rsidRPr="00000000" w14:paraId="000000CE">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Mantener separados consulta clínica sin Internet, investigación expresamente autorizada e incorporación custodial de conocimiento.</w:t>
      </w:r>
    </w:p>
    <w:p w:rsidR="00000000" w:rsidDel="00000000" w:rsidP="00000000" w:rsidRDefault="00000000" w:rsidRPr="00000000" w14:paraId="000000CF">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Conservar el alcance formal delimitado en §3 y la precisión humana de §3.1. La recepción del consejo auditable queda aprobada; la transición ejecutable de incorporación conserva su sede propia.</w:t>
      </w:r>
    </w:p>
    <w:p w:rsidR="00000000" w:rsidDel="00000000" w:rsidP="00000000" w:rsidRDefault="00000000" w:rsidRPr="00000000" w14:paraId="000000D0">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Mantener la competencia del dominio sobre células, parámetros, activación y significado de las salidas. La referencia CIE-11 y el umbral SV no constituyen automáticamente una regla diagnóstica.</w:t>
      </w:r>
    </w:p>
    <w:p w:rsidR="00000000" w:rsidDel="00000000" w:rsidP="00000000" w:rsidRDefault="00000000" w:rsidRPr="00000000" w14:paraId="000000D1">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Incorporar la explicación al documento existente del frame y su PDF; añadir al documento de las tres realizaciones Rust y su PDF una exposición complementaria con remisión a la explicación principal; actualizar sus accesos en Léame primero.</w:t>
      </w:r>
    </w:p>
    <w:p w:rsidR="00000000" w:rsidDel="00000000" w:rsidP="00000000" w:rsidRDefault="00000000" w:rsidRPr="00000000" w14:paraId="000000D2">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Conservar el acta y las evidencias de la incorporación en las sedes existentes de Calidad y laboratorio, con el seguimiento concordante en Sucesos SV y su historial. La continuación de S27, ya finalizado, se registra como S28; no se reabre ni se reasigna retrospectivamente S27.</w:t>
      </w:r>
    </w:p>
    <w:p w:rsidR="00000000" w:rsidDel="00000000" w:rsidP="00000000" w:rsidRDefault="00000000" w:rsidRPr="00000000" w14:paraId="000000D3">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Depositar, sólo para esta ocasión, una copia de la misma acta aprobada en cada una de las carpetas existentes agentes y dominios de SVperitus-dataset, rama main. Esas copias conservarán la identificación de la fuente y de la versión aprobada y no adquirirán rango doctrinal propio.</w:t>
      </w:r>
    </w:p>
    <w:p w:rsidR="00000000" w:rsidDel="00000000" w:rsidP="00000000" w:rsidRDefault="00000000" w:rsidRPr="00000000" w14:paraId="000000D4">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Mantener la continuación material de S26 en su secuencia, sin atribuir pruebas nuevas a esta evaluación. Permanecen pendientes S26-F01/F02 conforme al relevo recibido.</w:t>
      </w:r>
    </w:p>
    <w:p w:rsidR="00000000" w:rsidDel="00000000" w:rsidP="00000000" w:rsidRDefault="00000000" w:rsidRPr="00000000" w14:paraId="000000D5">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Preservar RETP canónica, las ramas existentes, las figuras anteriores y los resultados históricos. Las nuevas incorporaciones utilizarán español académico y referencias comprobadas, sin alterar ahora el estilo de los antecedentes.</w:t>
      </w:r>
    </w:p>
    <w:p w:rsidR="00000000" w:rsidDel="00000000" w:rsidP="00000000" w:rsidRDefault="00000000" w:rsidRPr="00000000" w14:paraId="000000D6">
      <w:pPr>
        <w:pStyle w:val="Heading3"/>
        <w:keepNext w:val="1"/>
        <w:spacing w:after="120" w:lineRule="auto"/>
        <w:rPr/>
      </w:pPr>
      <w:bookmarkStart w:colFirst="0" w:colLast="0" w:name="_hb4hlaxmjg7u" w:id="19"/>
      <w:bookmarkEnd w:id="19"/>
      <w:r w:rsidDel="00000000" w:rsidR="00000000" w:rsidRPr="00000000">
        <w:rPr>
          <w:rtl w:val="0"/>
        </w:rPr>
        <w:t xml:space="preserve">Destinos verificados y alcance de la incorporación</w:t>
      </w:r>
    </w:p>
    <w:p w:rsidR="00000000" w:rsidDel="00000000" w:rsidP="00000000" w:rsidRDefault="00000000" w:rsidRPr="00000000" w14:paraId="000000D7">
      <w:pPr>
        <w:spacing w:after="120" w:before="0" w:line="276" w:lineRule="auto"/>
        <w:rPr>
          <w:rFonts w:ascii="Times New Roman" w:cs="Times New Roman" w:eastAsia="Times New Roman" w:hAnsi="Times New Roman"/>
        </w:rPr>
      </w:pPr>
      <w:r w:rsidDel="00000000" w:rsidR="00000000" w:rsidRPr="00000000">
        <w:rPr>
          <w:rtl w:val="0"/>
        </w:rPr>
      </w:r>
    </w:p>
    <w:tbl>
      <w:tblPr>
        <w:tblStyle w:val="Table6"/>
        <w:tblW w:w="99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4.5"/>
        <w:gridCol w:w="4994.5"/>
        <w:tblGridChange w:id="0">
          <w:tblGrid>
            <w:gridCol w:w="4994.5"/>
            <w:gridCol w:w="49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Destino existente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Incorporación autorizada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SV-lenguaje-de-computacion: docs/calidad/tuberias-ia/frame-significado-humano-trazabilidad-y-fidelidad/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Ampliación del Markdown y PDF del frame; acta y referencia desde LEAME_PRIMERO.md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SV-lenguaje-de-computacion: docs/calidad/tuberias-ia/trazabilidad-auditoria-y-reproduccion-del-trabajo-ia/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Complemento en Markdown y PDF, con remisión a la explicación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Laboratorio: expediente correspondiente en lab/playground-sv-permanente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Espejo en la ubicación ya utilizada, cotejada antes de publicar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SV-lenguaje-de-computacion: docs/calidad/Inventario-sv/sucesos/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CSV, Markdown e historial concordantes, con enlaces de Calidad y laboratorio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SVperitus-dataset: agentes/, 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Copia excepcional de esta acta aprobada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SVperitus-dataset: dominios/, 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Copia excepcional de esta acta aprobada</w:t>
            </w:r>
          </w:p>
        </w:tc>
      </w:tr>
    </w:tbl>
    <w:p w:rsidR="00000000" w:rsidDel="00000000" w:rsidP="00000000" w:rsidRDefault="00000000" w:rsidRPr="00000000" w14:paraId="000000E6">
      <w:pPr>
        <w:spacing w:after="12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ha verificado la existencia de agentes/ y dominios/ en main de SVperitus-dataset, corte 47dc27aec9e7b517c27cfcf39b7ad1b186d36a4c. Las copias excepcionales aprobadas se depositan en esas carpetas existentes y conservan la referencia a Calidad del Lenguaje.</w:t>
      </w:r>
    </w:p>
    <w:p w:rsidR="00000000" w:rsidDel="00000000" w:rsidP="00000000" w:rsidRDefault="00000000" w:rsidRPr="00000000" w14:paraId="000000E8">
      <w:pPr>
        <w:pStyle w:val="Heading2"/>
        <w:keepNext w:val="1"/>
        <w:spacing w:after="120" w:lineRule="auto"/>
        <w:rPr/>
      </w:pPr>
      <w:bookmarkStart w:colFirst="0" w:colLast="0" w:name="_48c19dsp91uw" w:id="20"/>
      <w:bookmarkEnd w:id="20"/>
      <w:r w:rsidDel="00000000" w:rsidR="00000000" w:rsidRPr="00000000">
        <w:rPr>
          <w:rtl w:val="0"/>
        </w:rPr>
        <w:t xml:space="preserve">9. Fuentes, cortes y criterio de cierre de la revisión</w:t>
      </w:r>
    </w:p>
    <w:p w:rsidR="00000000" w:rsidDel="00000000" w:rsidP="00000000" w:rsidRDefault="00000000" w:rsidRPr="00000000" w14:paraId="000000E9">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fuentes siguientes bastan para esta evaluación documental. No se ha abierto otra búsqueda general de arquitectura, bibliografía clínica o tecnologías. La reserva identificada se entrega a la sede competente, sin convertirla en una investigación indefinida.</w:t>
      </w:r>
    </w:p>
    <w:p w:rsidR="00000000" w:rsidDel="00000000" w:rsidP="00000000" w:rsidRDefault="00000000" w:rsidRPr="00000000" w14:paraId="000000EA">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bCs w:val="1"/>
          <w:rtl w:val="0"/>
        </w:rPr>
        <w:t xml:space="preserve">Fundamentos, exigencias y arquitectura general de los agentes especializados en el Sistema Vectorial SV: formulación transversal desde el caso director del Agente Especializado en Inmunología</w:t>
      </w:r>
      <w:r w:rsidDel="00000000" w:rsidR="00000000" w:rsidRPr="00000000">
        <w:rPr>
          <w:rFonts w:ascii="Times New Roman" w:cs="Times New Roman" w:eastAsia="Times New Roman" w:hAnsi="Times New Roman"/>
          <w:rtl w:val="0"/>
        </w:rPr>
        <w:t xml:space="preserve">, 12/04/2026. Archivo aportado el 14/09/2026; §§IX–XIV y cláusulas de anclaje. </w:t>
      </w:r>
      <w:hyperlink r:id="rId7">
        <w:r w:rsidDel="00000000" w:rsidR="00000000" w:rsidRPr="00000000">
          <w:rPr>
            <w:rFonts w:ascii="Times New Roman" w:cs="Times New Roman" w:eastAsia="Times New Roman" w:hAnsi="Times New Roman"/>
            <w:color w:val="1155cc"/>
            <w:u w:val="single"/>
            <w:rtl w:val="0"/>
          </w:rPr>
          <w:t xml:space="preserve">DOI 10.21428/39829d0b.183e10f3</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B">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1"/>
          <w:bCs w:val="1"/>
          <w:rtl w:val="0"/>
        </w:rPr>
        <w:t xml:space="preserve">Aprendizaje trazable en inteligencia artificial: evolución estructural del conocimiento con frames ternarios y trazas acumulativas</w:t>
      </w:r>
      <w:r w:rsidDel="00000000" w:rsidR="00000000" w:rsidRPr="00000000">
        <w:rPr>
          <w:rFonts w:ascii="Times New Roman" w:cs="Times New Roman" w:eastAsia="Times New Roman" w:hAnsi="Times New Roman"/>
          <w:rtl w:val="0"/>
        </w:rPr>
        <w:t xml:space="preserve">, 15/08/2026. Archivo aportado; </w:t>
      </w:r>
      <w:hyperlink r:id="rId8">
        <w:r w:rsidDel="00000000" w:rsidR="00000000" w:rsidRPr="00000000">
          <w:rPr>
            <w:rFonts w:ascii="Times New Roman" w:cs="Times New Roman" w:eastAsia="Times New Roman" w:hAnsi="Times New Roman"/>
            <w:color w:val="1155cc"/>
            <w:u w:val="single"/>
            <w:rtl w:val="0"/>
          </w:rPr>
          <w:t xml:space="preserve">DOI 10.21428/39829d0b.bebc607c</w:t>
        </w:r>
      </w:hyperlink>
      <w:r w:rsidDel="00000000" w:rsidR="00000000" w:rsidRPr="00000000">
        <w:rPr>
          <w:rFonts w:ascii="Times New Roman" w:cs="Times New Roman" w:eastAsia="Times New Roman" w:hAnsi="Times New Roman"/>
          <w:rtl w:val="0"/>
        </w:rPr>
        <w:t xml:space="preserve">. </w:t>
      </w:r>
      <w:hyperlink r:id="rId9">
        <w:r w:rsidDel="00000000" w:rsidR="00000000" w:rsidRPr="00000000">
          <w:rPr>
            <w:rFonts w:ascii="Times New Roman" w:cs="Times New Roman" w:eastAsia="Times New Roman" w:hAnsi="Times New Roman"/>
            <w:color w:val="1155cc"/>
            <w:u w:val="single"/>
            <w:rtl w:val="0"/>
          </w:rPr>
          <w:t xml:space="preserve">Sede documental del manuscrito</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C">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bCs w:val="1"/>
          <w:rtl w:val="0"/>
        </w:rPr>
        <w:t xml:space="preserve">Pilares y restricciones de diseño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acta de perfiles, contratos y ensamblaje</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b w:val="1"/>
          <w:bCs w:val="1"/>
          <w:rtl w:val="0"/>
        </w:rPr>
        <w:t xml:space="preserve">acta de transición secuencial desde OP-IMM-001</w:t>
      </w:r>
      <w:r w:rsidDel="00000000" w:rsidR="00000000" w:rsidRPr="00000000">
        <w:rPr>
          <w:rFonts w:ascii="Times New Roman" w:cs="Times New Roman" w:eastAsia="Times New Roman" w:hAnsi="Times New Roman"/>
          <w:rtl w:val="0"/>
        </w:rPr>
        <w:t xml:space="preserve">, del Lenguaje. Corte de entrada: aeda68b34cbe6049f8e9b48565cf31701141392a. Las lecturas completas del expediente previo se conservan como base; se han cotejado el corte y los pasajes pertinentes.</w:t>
      </w:r>
    </w:p>
    <w:p w:rsidR="00000000" w:rsidDel="00000000" w:rsidP="00000000" w:rsidRDefault="00000000" w:rsidRPr="00000000" w14:paraId="000000ED">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b w:val="1"/>
          <w:bCs w:val="1"/>
          <w:rtl w:val="0"/>
        </w:rPr>
        <w:t xml:space="preserve">Contrato matemático de parámetro, composición y ruta INMUNO v0.3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G7-RUT de OP-IMM-001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universo OP-IMM-001</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b w:val="1"/>
          <w:bCs w:val="1"/>
          <w:rtl w:val="0"/>
        </w:rPr>
        <w:t xml:space="preserve">mapa finito de universos operacionales</w:t>
      </w:r>
      <w:r w:rsidDel="00000000" w:rsidR="00000000" w:rsidRPr="00000000">
        <w:rPr>
          <w:rFonts w:ascii="Times New Roman" w:cs="Times New Roman" w:eastAsia="Times New Roman" w:hAnsi="Times New Roman"/>
          <w:rtl w:val="0"/>
        </w:rPr>
        <w:t xml:space="preserve">. Corte de Inmunología: fe8adf76aa030ba5ff4997be5772b5de5e4452f3. </w:t>
      </w:r>
      <w:hyperlink r:id="rId10">
        <w:r w:rsidDel="00000000" w:rsidR="00000000" w:rsidRPr="00000000">
          <w:rPr>
            <w:rFonts w:ascii="Times New Roman" w:cs="Times New Roman" w:eastAsia="Times New Roman" w:hAnsi="Times New Roman"/>
            <w:color w:val="1155cc"/>
            <w:u w:val="single"/>
            <w:rtl w:val="0"/>
          </w:rPr>
          <w:t xml:space="preserve">Contrato</w:t>
        </w:r>
      </w:hyperlink>
      <w:r w:rsidDel="00000000" w:rsidR="00000000" w:rsidRPr="00000000">
        <w:rPr>
          <w:rFonts w:ascii="Times New Roman" w:cs="Times New Roman" w:eastAsia="Times New Roman" w:hAnsi="Times New Roman"/>
          <w:rtl w:val="0"/>
        </w:rPr>
        <w:t xml:space="preserve"> y </w:t>
      </w:r>
      <w:hyperlink r:id="rId11">
        <w:r w:rsidDel="00000000" w:rsidR="00000000" w:rsidRPr="00000000">
          <w:rPr>
            <w:rFonts w:ascii="Times New Roman" w:cs="Times New Roman" w:eastAsia="Times New Roman" w:hAnsi="Times New Roman"/>
            <w:color w:val="1155cc"/>
            <w:u w:val="single"/>
            <w:rtl w:val="0"/>
          </w:rPr>
          <w:t xml:space="preserve">G7-RUT</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E">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b w:val="1"/>
          <w:bCs w:val="1"/>
          <w:rtl w:val="0"/>
        </w:rPr>
        <w:t xml:space="preserve">Frame, significado humano, trazabilidad y fidelidad</w:t>
      </w:r>
      <w:r w:rsidDel="00000000" w:rsidR="00000000" w:rsidRPr="00000000">
        <w:rPr>
          <w:rFonts w:ascii="Times New Roman" w:cs="Times New Roman" w:eastAsia="Times New Roman" w:hAnsi="Times New Roman"/>
          <w:rtl w:val="0"/>
        </w:rPr>
        <w:t xml:space="preserve">, sección 11; </w:t>
      </w:r>
      <w:r w:rsidDel="00000000" w:rsidR="00000000" w:rsidRPr="00000000">
        <w:rPr>
          <w:rFonts w:ascii="Times New Roman" w:cs="Times New Roman" w:eastAsia="Times New Roman" w:hAnsi="Times New Roman"/>
          <w:b w:val="1"/>
          <w:bCs w:val="1"/>
          <w:rtl w:val="0"/>
        </w:rPr>
        <w:t xml:space="preserve">Trazabilidad, auditoría y reproducción del trabajo de la 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Célula, imagen y agentes en el SV, P1/P3 Bis V2</w:t>
      </w:r>
      <w:r w:rsidDel="00000000" w:rsidR="00000000" w:rsidRPr="00000000">
        <w:rPr>
          <w:rFonts w:ascii="Times New Roman" w:cs="Times New Roman" w:eastAsia="Times New Roman" w:hAnsi="Times New Roman"/>
          <w:rtl w:val="0"/>
        </w:rPr>
        <w:t xml:space="preserve">. Se reutilizan sus distinciones y sus ejemplos; no se alteran las figuras.</w:t>
      </w:r>
    </w:p>
    <w:p w:rsidR="00000000" w:rsidDel="00000000" w:rsidP="00000000" w:rsidRDefault="00000000" w:rsidRPr="00000000" w14:paraId="000000EF">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b w:val="1"/>
          <w:bCs w:val="1"/>
          <w:rtl w:val="0"/>
        </w:rPr>
        <w:t xml:space="preserve">Acta de resultados y ranquin</w:t>
      </w:r>
      <w:r w:rsidDel="00000000" w:rsidR="00000000" w:rsidRPr="00000000">
        <w:rPr>
          <w:rFonts w:ascii="Times New Roman" w:cs="Times New Roman" w:eastAsia="Times New Roman" w:hAnsi="Times New Roman"/>
          <w:rtl w:val="0"/>
        </w:rPr>
        <w:t xml:space="preserve">, 12/09/2026. </w:t>
      </w:r>
      <w:hyperlink r:id="rId12">
        <w:r w:rsidDel="00000000" w:rsidR="00000000" w:rsidRPr="00000000">
          <w:rPr>
            <w:rFonts w:ascii="Times New Roman" w:cs="Times New Roman" w:eastAsia="Times New Roman" w:hAnsi="Times New Roman"/>
            <w:color w:val="1155cc"/>
            <w:u w:val="single"/>
            <w:rtl w:val="0"/>
          </w:rPr>
          <w:t xml:space="preserve">Consolidación S10</w:t>
        </w:r>
      </w:hyperlink>
      <w:r w:rsidDel="00000000" w:rsidR="00000000" w:rsidRPr="00000000">
        <w:rPr>
          <w:rFonts w:ascii="Times New Roman" w:cs="Times New Roman" w:eastAsia="Times New Roman" w:hAnsi="Times New Roman"/>
          <w:rtl w:val="0"/>
        </w:rPr>
        <w:t xml:space="preserve">. Se conserva el alcance documental de sus conclusiones.</w:t>
      </w:r>
    </w:p>
    <w:p w:rsidR="00000000" w:rsidDel="00000000" w:rsidP="00000000" w:rsidRDefault="00000000" w:rsidRPr="00000000" w14:paraId="000000F0">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r w:rsidDel="00000000" w:rsidR="00000000" w:rsidRPr="00000000">
        <w:rPr>
          <w:rFonts w:ascii="Times New Roman" w:cs="Times New Roman" w:eastAsia="Times New Roman" w:hAnsi="Times New Roman"/>
          <w:b w:val="1"/>
          <w:bCs w:val="1"/>
          <w:rtl w:val="0"/>
        </w:rPr>
        <w:t xml:space="preserve">Modelo privado adversarial formal de agentes y entorno SEC.1, V3</w:t>
      </w:r>
      <w:r w:rsidDel="00000000" w:rsidR="00000000" w:rsidRPr="00000000">
        <w:rPr>
          <w:rFonts w:ascii="Times New Roman" w:cs="Times New Roman" w:eastAsia="Times New Roman" w:hAnsi="Times New Roman"/>
          <w:rtl w:val="0"/>
        </w:rPr>
        <w:t xml:space="preserve">, 22/08/2026, contenido en Auditorias.zip. Consulta privada para esta revisión; no se incluye el manuscrito en la propuesta de publicación.</w:t>
      </w:r>
    </w:p>
    <w:p w:rsidR="00000000" w:rsidDel="00000000" w:rsidP="00000000" w:rsidRDefault="00000000" w:rsidRPr="00000000" w14:paraId="000000F1">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b w:val="1"/>
          <w:bCs w:val="1"/>
          <w:rtl w:val="0"/>
        </w:rPr>
        <w:t xml:space="preserve">Actas de recepción del aprendizaje trazable</w:t>
      </w:r>
      <w:r w:rsidDel="00000000" w:rsidR="00000000" w:rsidRPr="00000000">
        <w:rPr>
          <w:rFonts w:ascii="Times New Roman" w:cs="Times New Roman" w:eastAsia="Times New Roman" w:hAnsi="Times New Roman"/>
          <w:rtl w:val="0"/>
        </w:rPr>
        <w:t xml:space="preserve">, 15 y 16/08/2026, ya presentes en Calidad del Lenguaje y enlazadas desde Pilares.</w:t>
      </w:r>
    </w:p>
    <w:p w:rsidR="00000000" w:rsidDel="00000000" w:rsidP="00000000" w:rsidRDefault="00000000" w:rsidRPr="00000000" w14:paraId="000000F2">
      <w:pPr>
        <w:pStyle w:val="Heading3"/>
        <w:keepNext w:val="1"/>
        <w:spacing w:after="120" w:lineRule="auto"/>
        <w:rPr/>
      </w:pPr>
      <w:bookmarkStart w:colFirst="0" w:colLast="0" w:name="_9tbx07uv2t6b" w:id="21"/>
      <w:bookmarkEnd w:id="21"/>
      <w:r w:rsidDel="00000000" w:rsidR="00000000" w:rsidRPr="00000000">
        <w:rPr>
          <w:rtl w:val="0"/>
        </w:rPr>
        <w:t xml:space="preserve">Integridad de los dos archivos aportados</w:t>
      </w:r>
    </w:p>
    <w:p w:rsidR="00000000" w:rsidDel="00000000" w:rsidP="00000000" w:rsidRDefault="00000000" w:rsidRPr="00000000" w14:paraId="000000F3">
      <w:pPr>
        <w:spacing w:after="120" w:before="0" w:line="276" w:lineRule="auto"/>
        <w:rPr>
          <w:rFonts w:ascii="Times New Roman" w:cs="Times New Roman" w:eastAsia="Times New Roman" w:hAnsi="Times New Roman"/>
        </w:rPr>
      </w:pPr>
      <w:r w:rsidDel="00000000" w:rsidR="00000000" w:rsidRPr="00000000">
        <w:rPr>
          <w:rtl w:val="0"/>
        </w:rPr>
      </w:r>
    </w:p>
    <w:tbl>
      <w:tblPr>
        <w:tblStyle w:val="Table7"/>
        <w:tblW w:w="99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4.5"/>
        <w:gridCol w:w="4994.5"/>
        <w:tblGridChange w:id="0">
          <w:tblGrid>
            <w:gridCol w:w="4994.5"/>
            <w:gridCol w:w="49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Archivo conservado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SHA-256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Fundamentos_exigencias_y_arquitectura_general_de_los_agentes_especializados_SV_2026-04-12.md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5a6939b0f76ee57cf6949ffc65c6a38f9d572fdba4700ba28543bb778791028b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Aprendizaje_trazable_en_inteligencia_artificial_2026-08-15.md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0d7e5ac7450bd35360834207dc054067361f2cb4d87eda5c97ba856c352e1184</w:t>
            </w:r>
          </w:p>
        </w:tc>
      </w:tr>
    </w:tbl>
    <w:p w:rsidR="00000000" w:rsidDel="00000000" w:rsidP="00000000" w:rsidRDefault="00000000" w:rsidRPr="00000000" w14:paraId="000000FA">
      <w:pPr>
        <w:spacing w:after="12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denominación de los archivos se ha hecho reconocible conservando su identidad y contenido. Pilares recibe las dos referencias bibliográficas en el </w:t>
      </w:r>
      <w:hyperlink r:id="rId13">
        <w:r w:rsidDel="00000000" w:rsidR="00000000" w:rsidRPr="00000000">
          <w:rPr>
            <w:rFonts w:ascii="Times New Roman" w:cs="Times New Roman" w:eastAsia="Times New Roman" w:hAnsi="Times New Roman"/>
            <w:color w:val="1155cc"/>
            <w:u w:val="single"/>
            <w:rtl w:val="0"/>
          </w:rPr>
          <w:t xml:space="preserve">commit 9a107773c572d186efc3530bb08f8f79a8ac5a30</w:t>
        </w:r>
      </w:hyperlink>
      <w:r w:rsidDel="00000000" w:rsidR="00000000" w:rsidRPr="00000000">
        <w:rPr>
          <w:rFonts w:ascii="Times New Roman" w:cs="Times New Roman" w:eastAsia="Times New Roman" w:hAnsi="Times New Roman"/>
          <w:rtl w:val="0"/>
        </w:rPr>
        <w:t xml:space="preserve">, limitado a diez líneas añadidas en ese documento. Esta actuación de localización fue autorizada expresamente. La evaluación y el acta han recibido aprobación expresa con la precisión de §§3.1 y 4.5. La publicación de los Markdown y de las copias se realiza bajo S28. Los dos PDF conservan su edición anterior hasta que pueda efectuarse y verificarse su ampliación.</w:t>
      </w:r>
    </w:p>
    <w:p w:rsidR="00000000" w:rsidDel="00000000" w:rsidP="00000000" w:rsidRDefault="00000000" w:rsidRPr="00000000" w14:paraId="000000FC">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han ejecutado pruebas nuevas en esta revisión. La evidencia producida es documental: fuentes identificadas, contraejemplos explícitos, reserva delimitada y propuesta concreta para decisión humana.</w:t>
      </w:r>
    </w:p>
    <w:p w:rsidR="00000000" w:rsidDel="00000000" w:rsidP="00000000" w:rsidRDefault="00000000" w:rsidRPr="00000000" w14:paraId="000000FD">
      <w:pPr>
        <w:pStyle w:val="Heading2"/>
        <w:keepNext w:val="1"/>
        <w:spacing w:after="120" w:lineRule="auto"/>
        <w:rPr/>
      </w:pPr>
      <w:bookmarkStart w:colFirst="0" w:colLast="0" w:name="_uv1dcrndy8vk" w:id="22"/>
      <w:bookmarkEnd w:id="22"/>
      <w:r w:rsidDel="00000000" w:rsidR="00000000" w:rsidRPr="00000000">
        <w:rPr>
          <w:rtl w:val="0"/>
        </w:rPr>
        <w:t xml:space="preserve">10. Estado de publicación y continuación</w:t>
      </w:r>
    </w:p>
    <w:p w:rsidR="00000000" w:rsidDel="00000000" w:rsidP="00000000" w:rsidRDefault="00000000" w:rsidRPr="00000000" w14:paraId="000000FE">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recepción actualiza los Markdown del frame y de las tres realizaciones Rust, sus accesos de lectura, el acta y el seguimiento de Sucesos, con espejo en el laboratorio y copias excepcionales del acta en agentes/ y dominios/ de SVperitus-dataset. No crea ramas ni modifica RETP canónica.</w:t>
      </w:r>
    </w:p>
    <w:p w:rsidR="00000000" w:rsidDel="00000000" w:rsidP="00000000" w:rsidRDefault="00000000" w:rsidRPr="00000000" w14:paraId="000000FF">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actualización de los dos PDF está autorizada y pendiente: el entorno de trabajo comunicó un fallo de inicialización y esta sesión no dispone de ejecución local ni renderizado. Los PDF anteriores se preservan; no se declara paridad con las nuevas secciones Markdown. S28 permanece pendiente por ese impedimento. Al recuperar el entorno se ampliarán los PDF en sus rutas existentes, se verificará la conservación de las páginas anteriores y la correspondencia del añadido, se cotejarán las copias y se actualizará el mismo suceso. La autorización ya recibida no necesita repetirse.</w:t>
      </w:r>
    </w:p>
    <w:p w:rsidR="00000000" w:rsidDel="00000000" w:rsidP="00000000" w:rsidRDefault="00000000" w:rsidRPr="00000000" w14:paraId="00000100">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recepción y sus identidades documentales se describen en el archivo de soporte RECEPCION_RUTAS_CONOCIMIENTO_S28_2026_09_14.json, situado junto al expediente de Calidad y su espejo. El borrador de evaluación conservado antes de la aprobación mantiene su estatuto histórico.</w:t>
      </w:r>
    </w:p>
    <w:p w:rsidR="00000000" w:rsidDel="00000000" w:rsidP="00000000" w:rsidRDefault="00000000" w:rsidRPr="00000000" w14:paraId="00000101">
      <w:pPr>
        <w:pStyle w:val="Heading1"/>
        <w:keepNext w:val="1"/>
        <w:spacing w:after="120" w:lineRule="auto"/>
        <w:rPr/>
      </w:pPr>
      <w:bookmarkStart w:colFirst="0" w:colLast="0" w:name="_cnbd8pz41fj9" w:id="23"/>
      <w:bookmarkEnd w:id="23"/>
      <w:r w:rsidDel="00000000" w:rsidR="00000000" w:rsidRPr="00000000">
        <w:rPr>
          <w:rtl w:val="0"/>
        </w:rPr>
        <w:t xml:space="preserve">II. Ampliación del documento del frame</w:t>
      </w:r>
    </w:p>
    <w:p w:rsidR="00000000" w:rsidDel="00000000" w:rsidP="00000000" w:rsidRDefault="00000000" w:rsidRPr="00000000" w14:paraId="00000102">
      <w:pPr>
        <w:pStyle w:val="Heading2"/>
        <w:keepNext w:val="1"/>
        <w:spacing w:after="120" w:lineRule="auto"/>
        <w:rPr/>
      </w:pPr>
      <w:bookmarkStart w:colFirst="0" w:colLast="0" w:name="_m4dri0fkeyth" w:id="24"/>
      <w:bookmarkEnd w:id="24"/>
      <w:r w:rsidDel="00000000" w:rsidR="00000000" w:rsidRPr="00000000">
        <w:rPr>
          <w:rtl w:val="0"/>
        </w:rPr>
        <w:t xml:space="preserve">12. Rutas de conocimiento, consejo especializado y trazabilidad</w:t>
      </w:r>
    </w:p>
    <w:p w:rsidR="00000000" w:rsidDel="00000000" w:rsidP="00000000" w:rsidRDefault="00000000" w:rsidRPr="00000000" w14:paraId="00000103">
      <w:pPr>
        <w:pStyle w:val="Heading3"/>
        <w:keepNext w:val="1"/>
        <w:spacing w:after="120" w:lineRule="auto"/>
        <w:rPr/>
      </w:pPr>
      <w:bookmarkStart w:colFirst="0" w:colLast="0" w:name="_ic0wzauhtu5k" w:id="25"/>
      <w:bookmarkEnd w:id="25"/>
      <w:r w:rsidDel="00000000" w:rsidR="00000000" w:rsidRPr="00000000">
        <w:rPr>
          <w:rtl w:val="0"/>
        </w:rPr>
        <w:t xml:space="preserve">12.1. Constitución previa del recorrido</w:t>
      </w:r>
    </w:p>
    <w:p w:rsidR="00000000" w:rsidDel="00000000" w:rsidP="00000000" w:rsidRDefault="00000000" w:rsidRPr="00000000" w14:paraId="00000104">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universos y los parámetros que deben consultarse se determinan por el contrato de la operación y por la constitución del dominio. La analogía de libros y páginas expresa su localización; la obligación de consultar cada elemento requiere además identidad, versión, condiciones de activación, fuentes autorizadas y dependencias explícitas.</w:t>
      </w:r>
    </w:p>
    <w:p w:rsidR="00000000" w:rsidDel="00000000" w:rsidP="00000000" w:rsidRDefault="00000000" w:rsidRPr="00000000" w14:paraId="00000105">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contrato inmunológico y G7-RUT ya establecen usos de parámetros, activación, vetos y rutas necesarias. La ruta crítica puede contener ramas conjuntas y condiciones. No se reduce necesariamente a una cadena de consultas ni al camino de menor coste. El agente debe recorrer las dependencias aplicables y justificar las inactividades de acuerdo con las reglas constituidas.</w:t>
      </w:r>
    </w:p>
    <w:p w:rsidR="00000000" w:rsidDel="00000000" w:rsidP="00000000" w:rsidRDefault="00000000" w:rsidRPr="00000000" w14:paraId="00000106">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rutas permitidas deben estar declaradas antes del episodio en una representación verificable. Un archivo o índice facilitará su consulta, pero no podrá introducir relaciones ausentes, seleccionar versiones por conveniencia ni suplir una obligación omitida. La sintaxis y la realización concretas corresponden a su futura constitución técnica. La terminación y los límites de recursos deben ser explícitos; un agotamiento no convierte una consulta parcial en completa.</w:t>
      </w:r>
    </w:p>
    <w:p w:rsidR="00000000" w:rsidDel="00000000" w:rsidP="00000000" w:rsidRDefault="00000000" w:rsidRPr="00000000" w14:paraId="00000107">
      <w:pPr>
        <w:pStyle w:val="Heading3"/>
        <w:keepNext w:val="1"/>
        <w:spacing w:after="120" w:lineRule="auto"/>
        <w:rPr/>
      </w:pPr>
      <w:bookmarkStart w:colFirst="0" w:colLast="0" w:name="_sbbxqgemgbbs" w:id="26"/>
      <w:bookmarkEnd w:id="26"/>
      <w:r w:rsidDel="00000000" w:rsidR="00000000" w:rsidRPr="00000000">
        <w:rPr>
          <w:rtl w:val="0"/>
        </w:rPr>
        <w:t xml:space="preserve">12.2. Enfermedad de referencia y significado de la salida</w:t>
      </w:r>
    </w:p>
    <w:p w:rsidR="00000000" w:rsidDel="00000000" w:rsidP="00000000" w:rsidRDefault="00000000" w:rsidRPr="00000000" w14:paraId="00000108">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propuesta de inmunología utiliza una referencia CIE-11 identificada y versionada para delimitar las enfermedades comprendidas en las operaciones que se constituyan. Las sucesoras de esa clasificación requerirán adopción expresa. Una enfermedad en investigación conserva ese estatuto y no pasa automáticamente al catálogo clínico autorizado.</w:t>
      </w:r>
    </w:p>
    <w:p w:rsidR="00000000" w:rsidDel="00000000" w:rsidP="00000000" w:rsidRDefault="00000000" w:rsidRPr="00000000" w14:paraId="00000109">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experto puede indicar la enfermedad que desea examinar. Una prueba médica puede activar una regla ya declarada. Ambos casos necesitan conservar la diferencia entre la petición, el dato observado y la conclusión que el contrato autoriza. Un código de clasificación no establece por sí mismo una asociación entre parámetros y enfermedad.</w:t>
      </w:r>
    </w:p>
    <w:p w:rsidR="00000000" w:rsidDel="00000000" w:rsidP="00000000" w:rsidRDefault="00000000" w:rsidRPr="00000000" w14:paraId="0000010A">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OP-IMM-001 conserva su objeto predecisional de riesgo infeccioso antes de la inmunosupresión en adultos. Sus 27 parámetros no se transforman por esta explicación en un clasificador general de enfermedades. Los 32 universos del mapa son candidatos operacionales; su número no acredita cobertura clínica.</w:t>
      </w:r>
    </w:p>
    <w:p w:rsidR="00000000" w:rsidDel="00000000" w:rsidP="00000000" w:rsidRDefault="00000000" w:rsidRPr="00000000" w14:paraId="0000010B">
      <w:pPr>
        <w:spacing w:after="120" w:before="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La expresión «se observa compatibilidad alta» necesita significado y sustento constituidos por el dominio. La primitiva T(n)=⌊7n/9⌋ conserva su función algebraica y no se interpreta como probabilidad diagnóstica. Las condiciones críticas y los vetos no quedan compensados por otros parámetros aptos.</w:t>
      </w:r>
    </w:p>
    <w:p w:rsidR="00000000" w:rsidDel="00000000" w:rsidP="00000000" w:rsidRDefault="00000000" w:rsidRPr="00000000" w14:paraId="0000010C">
      <w:pPr>
        <w:pStyle w:val="Heading3"/>
        <w:keepNext w:val="1"/>
        <w:spacing w:after="120" w:lineRule="auto"/>
        <w:rPr/>
      </w:pPr>
      <w:bookmarkStart w:colFirst="0" w:colLast="0" w:name="_v2rxmbuzp0lg" w:id="27"/>
      <w:bookmarkEnd w:id="27"/>
      <w:r w:rsidDel="00000000" w:rsidR="00000000" w:rsidRPr="00000000">
        <w:rPr>
          <w:rtl w:val="0"/>
        </w:rPr>
        <w:t xml:space="preserve">12.3. Célula de decisión y representación</w:t>
      </w:r>
    </w:p>
    <w:p w:rsidR="00000000" w:rsidDel="00000000" w:rsidP="00000000" w:rsidRDefault="00000000" w:rsidRPr="00000000" w14:paraId="0000010D">
      <w:pPr>
        <w:spacing w:after="120" w:before="0"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Las células conservan la forma de vector plano, ordenado y posicional, con n=b² y b≥3. El estudio puede examinar una célula final de hasta 49 posiciones, comenzando por la menor cuya adecuación esté declarada. Ese límite pertenece a la propuesta de estudio; no modifica la generalidad del SV.</w:t>
      </w:r>
    </w:p>
    <w:p w:rsidR="00000000" w:rsidDel="00000000" w:rsidP="00000000" w:rsidRDefault="00000000" w:rsidRPr="00000000" w14:paraId="0000010E">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conservan las denominaciones «células de conocimiento nuclear del dominio» y «parámetros singulares de decisión». Los tamaños exactos 9, 16, 25, 36 y 49 no autorizan a rellenar una constitución incompleta. El par 36+9 contiene dos células y no constituye una célula de 45 posiciones.</w:t>
      </w:r>
    </w:p>
    <w:p w:rsidR="00000000" w:rsidDel="00000000" w:rsidP="00000000" w:rsidRDefault="00000000" w:rsidRPr="00000000" w14:paraId="0000010F">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polígono presentado debe corresponder al mismo estado exacto identificado en el expediente. Cada posición mantiene su vínculo con el parámetro y la evidencia. Una célula final no sustituye las fuentes ni el recorrido que la sustenta. La forma gráfica facilita la comprensión, pero su fidelidad no prueba que se hayan consultado todas las dependencias obligatorias.</w:t>
      </w:r>
    </w:p>
    <w:p w:rsidR="00000000" w:rsidDel="00000000" w:rsidP="00000000" w:rsidRDefault="00000000" w:rsidRPr="00000000" w14:paraId="00000110">
      <w:pPr>
        <w:pStyle w:val="Heading3"/>
        <w:keepNext w:val="1"/>
        <w:spacing w:after="120" w:lineRule="auto"/>
        <w:rPr/>
      </w:pPr>
      <w:bookmarkStart w:colFirst="0" w:colLast="0" w:name="_edl6fej5wrj4" w:id="28"/>
      <w:bookmarkEnd w:id="28"/>
      <w:r w:rsidDel="00000000" w:rsidR="00000000" w:rsidRPr="00000000">
        <w:rPr>
          <w:rtl w:val="0"/>
        </w:rPr>
        <w:t xml:space="preserve">12.4. Consejo y función de la IA</w:t>
      </w:r>
    </w:p>
    <w:p w:rsidR="00000000" w:rsidDel="00000000" w:rsidP="00000000" w:rsidRDefault="00000000" w:rsidRPr="00000000" w14:paraId="00000111">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intervenir una IA con procesamiento probabilístico del lenguaje natural en funciones auxiliares de interlocución, organización y exposición. El inmunólogo conoce esa naturaleza y valora el consejo bajo su competencia profesional.</w:t>
      </w:r>
    </w:p>
    <w:p w:rsidR="00000000" w:rsidDel="00000000" w:rsidP="00000000" w:rsidRDefault="00000000" w:rsidRPr="00000000" w14:paraId="00000112">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IA debe entregar toda la trazabilidad del recorrido realizado de acuerdo con la petición del inmunólogo y justificar claramente su conclusión. La exposición debe identificar qué se ha observado, qué fuentes y datos se utilizaron, qué operaciones sustentan la conclusión y qué límites permanecen. Su elaboración verbal no puede sustituir ni corregir silenciosamente aquello que explica.</w:t>
      </w:r>
    </w:p>
    <w:p w:rsidR="00000000" w:rsidDel="00000000" w:rsidP="00000000" w:rsidRDefault="00000000" w:rsidRPr="00000000" w14:paraId="00000113">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participación probabilística en esa función auxiliar no habilita al modelo para constituir rutas o parámetros, clausurar U, modificar permisos o incorporar conocimiento. La valoración humana del consejo conserva su diferencia respecto de la autorización específica para incorporar un candidato al dominio.</w:t>
      </w:r>
    </w:p>
    <w:p w:rsidR="00000000" w:rsidDel="00000000" w:rsidP="00000000" w:rsidRDefault="00000000" w:rsidRPr="00000000" w14:paraId="00000114">
      <w:pPr>
        <w:pStyle w:val="Heading3"/>
        <w:keepNext w:val="1"/>
        <w:spacing w:after="120" w:lineRule="auto"/>
        <w:rPr/>
      </w:pPr>
      <w:bookmarkStart w:colFirst="0" w:colLast="0" w:name="_tq8iqrox131j" w:id="29"/>
      <w:bookmarkEnd w:id="29"/>
      <w:r w:rsidDel="00000000" w:rsidR="00000000" w:rsidRPr="00000000">
        <w:rPr>
          <w:rtl w:val="0"/>
        </w:rPr>
        <w:t xml:space="preserve">12.5. Consulta clínica, investigación e incorporación</w:t>
      </w:r>
    </w:p>
    <w:p w:rsidR="00000000" w:rsidDel="00000000" w:rsidP="00000000" w:rsidRDefault="00000000" w:rsidRPr="00000000" w14:paraId="00000115">
      <w:pPr>
        <w:spacing w:after="120" w:before="0" w:line="276" w:lineRule="auto"/>
        <w:rPr>
          <w:rFonts w:ascii="Times New Roman" w:cs="Times New Roman" w:eastAsia="Times New Roman" w:hAnsi="Times New Roman"/>
        </w:rPr>
      </w:pPr>
      <w:r w:rsidDel="00000000" w:rsidR="00000000" w:rsidRPr="00000000">
        <w:rPr>
          <w:rtl w:val="0"/>
        </w:rPr>
      </w:r>
    </w:p>
    <w:tbl>
      <w:tblPr>
        <w:tblStyle w:val="Table8"/>
        <w:tblW w:w="99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9.6666666666665"/>
        <w:gridCol w:w="3329.6666666666665"/>
        <w:gridCol w:w="3329.6666666666665"/>
        <w:tblGridChange w:id="0">
          <w:tblGrid>
            <w:gridCol w:w="3329.6666666666665"/>
            <w:gridCol w:w="3329.6666666666665"/>
            <w:gridCol w:w="332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Fuentes y permiso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Efecto sobre el conocimiento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 clínica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Conocimiento previamente admitido; Internet prohibido durante el episodio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Ejecuta el alcance constituido; no incorpora automáticamente hallazgos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Investigación solicitada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Acceso a Internet dentro del encargo expreso del experto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Presenta lo observado relevante con sus fuentes y límites; no actualiza por sí sola el dominio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Incorporación de conocimiento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Fuentes autorizadas sometidas al procedimiento custodial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Requiere condiciones constituidas, evidencia y autorización humana acreditada para ese alcance</w:t>
            </w:r>
          </w:p>
        </w:tc>
      </w:tr>
    </w:tbl>
    <w:p w:rsidR="00000000" w:rsidDel="00000000" w:rsidP="00000000" w:rsidRDefault="00000000" w:rsidRPr="00000000" w14:paraId="00000122">
      <w:pPr>
        <w:spacing w:after="12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obligación de trazabilidad se aplica a las tres operaciones. La ventana de auditoría debe mostrar fuentes, versiones, datos, rutas, condiciones de activación e inactividad, operadores, procesos, programas, scripts, conectores, entradas, salidas, fallos y autorizaciones pertinentes. Los registros deben proceder de la actividad efectiva: una explicación posterior del modelo no los reemplaza.</w:t>
      </w:r>
    </w:p>
    <w:p w:rsidR="00000000" w:rsidDel="00000000" w:rsidP="00000000" w:rsidRDefault="00000000" w:rsidRPr="00000000" w14:paraId="00000124">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conclusiones de la prueba externa documentada distinguen conformidad de la respuesta y acreditación de toda la actividad del participante. La corrección de una conclusión no compensa una referencia alterada, una causa incorrecta o una parte del recorrido no acreditada. El conocimiento de la naturaleza probabilística de la IA no exime de estos controles.</w:t>
      </w:r>
    </w:p>
    <w:p w:rsidR="00000000" w:rsidDel="00000000" w:rsidP="00000000" w:rsidRDefault="00000000" w:rsidRPr="00000000" w14:paraId="00000125">
      <w:pPr>
        <w:pStyle w:val="Heading3"/>
        <w:keepNext w:val="1"/>
        <w:spacing w:after="120" w:lineRule="auto"/>
        <w:rPr/>
      </w:pPr>
      <w:bookmarkStart w:colFirst="0" w:colLast="0" w:name="_1qj34xt85b9o" w:id="30"/>
      <w:bookmarkEnd w:id="30"/>
      <w:r w:rsidDel="00000000" w:rsidR="00000000" w:rsidRPr="00000000">
        <w:rPr>
          <w:rtl w:val="0"/>
        </w:rPr>
        <w:t xml:space="preserve">12.6. Antecedentes de custodia y aprendizaje</w:t>
      </w:r>
    </w:p>
    <w:p w:rsidR="00000000" w:rsidDel="00000000" w:rsidP="00000000" w:rsidRDefault="00000000" w:rsidRPr="00000000" w14:paraId="00000126">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Fundamentos ya establece el prefiltro SV(9,3), la célula custodial SV(16,4), el Regulador de incorporación extrínseca y la autorización humana final. El regulador contempla 12, 13, 14 o 15 posiciones aptas en la célula de 16; sitúa el régimen natural de inmunología en muy alto. La cuarentena exige nueve contrastes y que al menos siete alcancen el umbral regulado. El tiempo transcurrido y la reputación de una fuente no sustituyen esos contrastes.</w:t>
      </w:r>
    </w:p>
    <w:p w:rsidR="00000000" w:rsidDel="00000000" w:rsidP="00000000" w:rsidRDefault="00000000" w:rsidRPr="00000000" w14:paraId="00000127">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acta de recepción precisa una cuestión de traducción formal entre el máximo conservador del par y la promoción. Esa cuestión se refiere al mecanismo de incorporación y no impide recibir la obligación de consejo auditable aquí descrita. No se añade una transición por inferencia.</w:t>
      </w:r>
    </w:p>
    <w:p w:rsidR="00000000" w:rsidDel="00000000" w:rsidP="00000000" w:rsidRDefault="00000000" w:rsidRPr="00000000" w14:paraId="00000128">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Aprendizaje trazable distingue contenidos, relaciones y rutas, registro cognitivo y traza estructural. El aprendizaje exige un incremento históricamente nuevo y sustentado mediante un certificado finito, con fuentes admitidas y operadores declarados efectivamente ejecutados. Recuperar algo conocido, razonar o ampliar un registro no equivale automáticamente a aprender. Una rectificación puede reducir el conocimiento activo conservando su historia.</w:t>
      </w:r>
    </w:p>
    <w:p w:rsidR="00000000" w:rsidDel="00000000" w:rsidP="00000000" w:rsidRDefault="00000000" w:rsidRPr="00000000" w14:paraId="00000129">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mecanismos estadísticos no constituyen aprendizaje ni clausura en la cadena soberana. La adquisición de conocimiento no amplía por sí misma autoridad. Estas condiciones conservan la recepción doctrinal ya documentada en el Lenguaje.</w:t>
      </w:r>
    </w:p>
    <w:p w:rsidR="00000000" w:rsidDel="00000000" w:rsidP="00000000" w:rsidRDefault="00000000" w:rsidRPr="00000000" w14:paraId="0000012A">
      <w:pPr>
        <w:pStyle w:val="Heading3"/>
        <w:keepNext w:val="1"/>
        <w:spacing w:after="120" w:lineRule="auto"/>
        <w:rPr/>
      </w:pPr>
      <w:bookmarkStart w:colFirst="0" w:colLast="0" w:name="_uivg1f4h3kck" w:id="31"/>
      <w:bookmarkEnd w:id="31"/>
      <w:r w:rsidDel="00000000" w:rsidR="00000000" w:rsidRPr="00000000">
        <w:rPr>
          <w:rtl w:val="0"/>
        </w:rPr>
        <w:t xml:space="preserve">12.7. Referencias y alcance</w:t>
      </w:r>
    </w:p>
    <w:p w:rsidR="00000000" w:rsidDel="00000000" w:rsidP="00000000" w:rsidRDefault="00000000" w:rsidRPr="00000000" w14:paraId="0000012B">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hyperlink r:id="rId14">
        <w:r w:rsidDel="00000000" w:rsidR="00000000" w:rsidRPr="00000000">
          <w:rPr>
            <w:rFonts w:ascii="Times New Roman" w:cs="Times New Roman" w:eastAsia="Times New Roman" w:hAnsi="Times New Roman"/>
            <w:color w:val="1155cc"/>
            <w:u w:val="single"/>
            <w:rtl w:val="0"/>
          </w:rPr>
          <w:t xml:space="preserve">Acta de evaluación y recepción documental, aprobada el 14/09/2026</w:t>
        </w:r>
      </w:hyperlink>
      <w:r w:rsidDel="00000000" w:rsidR="00000000" w:rsidRPr="00000000">
        <w:rPr>
          <w:rFonts w:ascii="Times New Roman" w:cs="Times New Roman" w:eastAsia="Times New Roman" w:hAnsi="Times New Roman"/>
          <w:rtl w:val="0"/>
        </w:rPr>
        <w:t xml:space="preserve">, con la precisión sobre IA de lenguaje probabilístico y la delimitación del mecanismo de incorporación.</w:t>
      </w:r>
    </w:p>
    <w:p w:rsidR="00000000" w:rsidDel="00000000" w:rsidP="00000000" w:rsidRDefault="00000000" w:rsidRPr="00000000" w14:paraId="0000012C">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hyperlink r:id="rId15">
        <w:r w:rsidDel="00000000" w:rsidR="00000000" w:rsidRPr="00000000">
          <w:rPr>
            <w:rFonts w:ascii="Times New Roman" w:cs="Times New Roman" w:eastAsia="Times New Roman" w:hAnsi="Times New Roman"/>
            <w:color w:val="1155cc"/>
            <w:u w:val="single"/>
            <w:rtl w:val="0"/>
          </w:rPr>
          <w:t xml:space="preserve">Fundamentos, exigencias y arquitectura general de los agentes especializados en el Sistema Vectorial SV</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D">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hyperlink r:id="rId16">
        <w:r w:rsidDel="00000000" w:rsidR="00000000" w:rsidRPr="00000000">
          <w:rPr>
            <w:rFonts w:ascii="Times New Roman" w:cs="Times New Roman" w:eastAsia="Times New Roman" w:hAnsi="Times New Roman"/>
            <w:color w:val="1155cc"/>
            <w:u w:val="single"/>
            <w:rtl w:val="0"/>
          </w:rPr>
          <w:t xml:space="preserve">Aprendizaje trazable en inteligencia artificial: evolución estructural del conocimiento con frames ternarios y trazas acumulativas</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E">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Contrato inmunológico, G7-RUT y mapa de universos identificados en §11.6.</w:t>
      </w:r>
    </w:p>
    <w:p w:rsidR="00000000" w:rsidDel="00000000" w:rsidP="00000000" w:rsidRDefault="00000000" w:rsidRPr="00000000" w14:paraId="0000012F">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hyperlink r:id="rId17">
        <w:r w:rsidDel="00000000" w:rsidR="00000000" w:rsidRPr="00000000">
          <w:rPr>
            <w:rFonts w:ascii="Times New Roman" w:cs="Times New Roman" w:eastAsia="Times New Roman" w:hAnsi="Times New Roman"/>
            <w:color w:val="1155cc"/>
            <w:u w:val="single"/>
            <w:rtl w:val="0"/>
          </w:rPr>
          <w:t xml:space="preserve">Conclusiones de la prueba externa</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0">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ampliación explica requisitos y antecedentes. La constitución clínica, la realización del agente y las garantías materiales conservan sus pruebas y condiciones propias.</w:t>
      </w:r>
    </w:p>
    <w:p w:rsidR="00000000" w:rsidDel="00000000" w:rsidP="00000000" w:rsidRDefault="00000000" w:rsidRPr="00000000" w14:paraId="00000131">
      <w:pPr>
        <w:pStyle w:val="Heading1"/>
        <w:keepNext w:val="1"/>
        <w:spacing w:after="120" w:lineRule="auto"/>
        <w:rPr/>
      </w:pPr>
      <w:bookmarkStart w:colFirst="0" w:colLast="0" w:name="_6klio5d8aqz7" w:id="32"/>
      <w:bookmarkEnd w:id="32"/>
      <w:r w:rsidDel="00000000" w:rsidR="00000000" w:rsidRPr="00000000">
        <w:rPr>
          <w:rtl w:val="0"/>
        </w:rPr>
        <w:t xml:space="preserve">III. Complemento del documento de las tres realizaciones Rust</w:t>
      </w:r>
    </w:p>
    <w:p w:rsidR="00000000" w:rsidDel="00000000" w:rsidP="00000000" w:rsidRDefault="00000000" w:rsidRPr="00000000" w14:paraId="00000132">
      <w:pPr>
        <w:pStyle w:val="Heading2"/>
        <w:keepNext w:val="1"/>
        <w:spacing w:after="120" w:lineRule="auto"/>
        <w:rPr/>
      </w:pPr>
      <w:bookmarkStart w:colFirst="0" w:colLast="0" w:name="_t4oz8113n117" w:id="33"/>
      <w:bookmarkEnd w:id="33"/>
      <w:r w:rsidDel="00000000" w:rsidR="00000000" w:rsidRPr="00000000">
        <w:rPr>
          <w:rtl w:val="0"/>
        </w:rPr>
        <w:t xml:space="preserve">Incorporación del 14 de septiembre de 2026: consejo justificado y trazabilidad del recorrido</w:t>
      </w:r>
    </w:p>
    <w:p w:rsidR="00000000" w:rsidDel="00000000" w:rsidP="00000000" w:rsidRDefault="00000000" w:rsidRPr="00000000" w14:paraId="00000133">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petición del experto delimita el encargo. El agente debe conservar el recorrido efectivamente realizado y justificar de forma clara la conclusión que presenta. Las tres realizaciones Rust anteriores ilustran la posibilidad de procedimientos distintos para un encargo acotado; sus resultados no acreditan la cobertura de otra operación.</w:t>
      </w:r>
    </w:p>
    <w:p w:rsidR="00000000" w:rsidDel="00000000" w:rsidP="00000000" w:rsidRDefault="00000000" w:rsidRPr="00000000" w14:paraId="00000134">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intervenir una IA con procesamiento probabilístico del lenguaje natural en funciones auxiliares de interlocución, organización y exposición. El experto conoce esa naturaleza y valora el consejo. La elaboración verbal debe permanecer vinculada a las fuentes, datos, operaciones, resultados y límites que explica. No recibe autoridad para constituir rutas o parámetros, clausurar U, modificar permisos o incorporar conocimiento.</w:t>
      </w:r>
    </w:p>
    <w:p w:rsidR="00000000" w:rsidDel="00000000" w:rsidP="00000000" w:rsidRDefault="00000000" w:rsidRPr="00000000" w14:paraId="00000135">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trazabilidad es obligatoria y se presenta en una ventana de auditoría separada de la vista principal. Debe permitir recuperar los procesos, programas, scripts, conectores, entradas, salidas, fuentes, versiones, fallos y autorizaciones pertinentes al episodio. Una lista autodeclarada por la IA no sustituye esos registros de actividad.</w:t>
      </w:r>
    </w:p>
    <w:p w:rsidR="00000000" w:rsidDel="00000000" w:rsidP="00000000" w:rsidRDefault="00000000" w:rsidRPr="00000000" w14:paraId="00000136">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consulta clínica utiliza conocimiento admitido y mantiene prohibido el acceso a Internet durante el episodio. La investigación expresamente solicitada permite consultar fuentes externas dentro del encargo. Sus hallazgos no se incorporan automáticamente al dominio: se aplican la custodia, la cuarentena y la autorización humana ya documentadas, junto con las condiciones de aprendizaje trazable.</w:t>
      </w:r>
    </w:p>
    <w:p w:rsidR="00000000" w:rsidDel="00000000" w:rsidP="00000000" w:rsidRDefault="00000000" w:rsidRPr="00000000" w14:paraId="00000137">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w:t>
      </w:r>
      <w:hyperlink r:id="rId18">
        <w:r w:rsidDel="00000000" w:rsidR="00000000" w:rsidRPr="00000000">
          <w:rPr>
            <w:rFonts w:ascii="Times New Roman" w:cs="Times New Roman" w:eastAsia="Times New Roman" w:hAnsi="Times New Roman"/>
            <w:color w:val="1155cc"/>
            <w:u w:val="single"/>
            <w:rtl w:val="0"/>
          </w:rPr>
          <w:t xml:space="preserve">sección 12 del documento del frame</w:t>
        </w:r>
      </w:hyperlink>
      <w:r w:rsidDel="00000000" w:rsidR="00000000" w:rsidRPr="00000000">
        <w:rPr>
          <w:rFonts w:ascii="Times New Roman" w:cs="Times New Roman" w:eastAsia="Times New Roman" w:hAnsi="Times New Roman"/>
          <w:rtl w:val="0"/>
        </w:rPr>
        <w:t xml:space="preserve"> desarrolla el recorrido, la representación y sus fundamentos. El </w:t>
      </w:r>
      <w:hyperlink r:id="rId19">
        <w:r w:rsidDel="00000000" w:rsidR="00000000" w:rsidRPr="00000000">
          <w:rPr>
            <w:rFonts w:ascii="Times New Roman" w:cs="Times New Roman" w:eastAsia="Times New Roman" w:hAnsi="Times New Roman"/>
            <w:color w:val="1155cc"/>
            <w:u w:val="single"/>
            <w:rtl w:val="0"/>
          </w:rPr>
          <w:t xml:space="preserve">acta aprobada</w:t>
        </w:r>
      </w:hyperlink>
      <w:r w:rsidDel="00000000" w:rsidR="00000000" w:rsidRPr="00000000">
        <w:rPr>
          <w:rFonts w:ascii="Times New Roman" w:cs="Times New Roman" w:eastAsia="Times New Roman" w:hAnsi="Times New Roman"/>
          <w:rtl w:val="0"/>
        </w:rPr>
        <w:t xml:space="preserve"> conserva la evaluación adversarial y la precisión humana. Esta incorporación no añade ejecuciones a los tres ejemplos ni modifica sus resultados históricos.</w:t>
      </w:r>
    </w:p>
    <w:p w:rsidR="00000000" w:rsidDel="00000000" w:rsidP="00000000" w:rsidRDefault="00000000" w:rsidRPr="00000000" w14:paraId="00000138">
      <w:pPr>
        <w:rPr/>
      </w:pPr>
      <w:r w:rsidDel="00000000" w:rsidR="00000000" w:rsidRPr="00000000">
        <w:rPr>
          <w:rtl w:val="0"/>
        </w:rPr>
      </w:r>
    </w:p>
    <w:sectPr>
      <w:pgSz w:h="16834" w:w="11909" w:orient="portrait"/>
      <w:pgMar w:bottom="960" w:top="960" w:left="960" w:right="9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juantoniolloretegea/SVperitus-dataset/blob/fe8adf76aa030ba5ff4997be5772b5de5e4452f3/dominios/inmunologia/cambio-rumbo/03-base-documental-candidata/12-rutas-en-evaluacion/G7-RUT_usos_composicion_y_rutas_OP-IMM-001_v0.1_2026-09-03.md" TargetMode="External"/><Relationship Id="rId10" Type="http://schemas.openxmlformats.org/officeDocument/2006/relationships/hyperlink" Target="https://github.com/juantoniolloretegea/SVperitus-dataset/blob/fe8adf76aa030ba5ff4997be5772b5de5e4452f3/dominios/inmunologia/cambio-rumbo/03-base-documental-candidata/05-normalizacion-atomica-en-evaluacion/Contrato_matematico_parametro_atomico_matriz_ruta_INMUNO_v0.3_2026-09-02.md" TargetMode="External"/><Relationship Id="rId13" Type="http://schemas.openxmlformats.org/officeDocument/2006/relationships/hyperlink" Target="https://github.com/juantoniolloretegea/SV-lenguaje-de-computacion/commit/9a107773c572d186efc3530bb08f8f79a8ac5a30" TargetMode="External"/><Relationship Id="rId12" Type="http://schemas.openxmlformats.org/officeDocument/2006/relationships/hyperlink" Target="https://github.com/juantoniolloretegea/SV-lenguaje-de-computacion/blob/aeda68b34cbe6049f8e9b48565cf31701141392a/docs/calidad/Inventario-sv/ranquin-ias-trazabilidad/ACTA_RESULTADOS_Y_RANQUIN_2026_09_12.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juantoniolloretegea/SV-matematica-semantica/blob/b8fd32978292d25adf9b87cf71e409005dce642c/documentos/fundamentos/aprendizaje-trazable-en-inteligencia-artificial/aprendizaje-trazable-en-inteligencia-artificial.md" TargetMode="External"/><Relationship Id="rId15" Type="http://schemas.openxmlformats.org/officeDocument/2006/relationships/hyperlink" Target="https://doi.org/10.21428/39829d0b.183e10f3" TargetMode="External"/><Relationship Id="rId14" Type="http://schemas.openxmlformats.org/officeDocument/2006/relationships/hyperlink" Target="https://github.com/juantoniolloretegea/SV-lenguaje-de-computacion/blob/fe96bea19c14ddbb80c01033b52a7e4761754732/docs/calidad/tuberias-ia/frame-significado-humano-trazabilidad-y-fidelidad/ACTA_EVALUACION_Y_RECEPCION_DOCUMENTAL_RUTAS_CONOCIMIENTO_SV_2026_09_14.md" TargetMode="External"/><Relationship Id="rId17" Type="http://schemas.openxmlformats.org/officeDocument/2006/relationships/hyperlink" Target="https://github.com/juantoniolloretegea/SV-lenguaje-de-computacion/blob/aeda68b34cbe6049f8e9b48565cf31701141392a/docs/calidad/Inventario-sv/ranquin-ias-trazabilidad/ACTA_RESULTADOS_Y_RANQUIN_2026_09_12.md" TargetMode="External"/><Relationship Id="rId16" Type="http://schemas.openxmlformats.org/officeDocument/2006/relationships/hyperlink" Target="https://doi.org/10.21428/39829d0b.bebc607c" TargetMode="External"/><Relationship Id="rId5" Type="http://schemas.openxmlformats.org/officeDocument/2006/relationships/styles" Target="styles.xml"/><Relationship Id="rId19" Type="http://schemas.openxmlformats.org/officeDocument/2006/relationships/hyperlink" Target="https://github.com/juantoniolloretegea/SV-lenguaje-de-computacion/blob/fe96bea19c14ddbb80c01033b52a7e4761754732/docs/calidad/tuberias-ia/frame-significado-humano-trazabilidad-y-fidelidad/ACTA_EVALUACION_Y_RECEPCION_DOCUMENTAL_RUTAS_CONOCIMIENTO_SV_2026_09_14.md" TargetMode="External"/><Relationship Id="rId6" Type="http://schemas.openxmlformats.org/officeDocument/2006/relationships/hyperlink" Target="https://github.com/juantoniolloretegea/SV-lenguaje-de-computacion/blob/main/docs/calidad/tuberias-ia/frame-significado-humano-trazabilidad-y-fidelidad/ACTA_EVALUACION_Y_RECEPCION_DOCUMENTAL_RUTAS_CONOCIMIENTO_SV_2026_09_14.md" TargetMode="External"/><Relationship Id="rId18" Type="http://schemas.openxmlformats.org/officeDocument/2006/relationships/hyperlink" Target="https://github.com/juantoniolloretegea/SV-lenguaje-de-computacion/blob/fe96bea19c14ddbb80c01033b52a7e4761754732/docs/calidad/tuberias-ia/frame-significado-humano-trazabilidad-y-fidelidad/FRAME_SIGNIFICADO_HUMANO_TRAZABILIDAD_Y_FIDELIDAD_2026_09_11.md" TargetMode="External"/><Relationship Id="rId7" Type="http://schemas.openxmlformats.org/officeDocument/2006/relationships/hyperlink" Target="https://doi.org/10.21428/39829d0b.183e10f3" TargetMode="External"/><Relationship Id="rId8" Type="http://schemas.openxmlformats.org/officeDocument/2006/relationships/hyperlink" Target="https://doi.org/10.21428/39829d0b.bebc607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