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center"/>
      </w:pPr>
      <w:r>
        <w:rPr>
          <w:rFonts w:ascii="Aptos Display" w:hAnsi="Aptos Display"/>
          <w:b/>
          <w:color w:val="1F4E79"/>
          <w:sz w:val="40"/>
        </w:rPr>
        <w:t>DOCUMENTO MAESTRO LIMPIO</w:t>
        <w:br/>
        <w:t>SV-ADC(par) v1</w:t>
      </w:r>
    </w:p>
    <w:p>
      <w:pPr>
        <w:spacing w:before="0" w:after="320" w:line="276" w:lineRule="auto"/>
        <w:jc w:val="center"/>
      </w:pPr>
      <w:r>
        <w:rPr>
          <w:i/>
          <w:color w:val="444444"/>
          <w:sz w:val="22"/>
        </w:rPr>
        <w:t>Arquitectura pareada para adenocarcinoma pulmonar primario</w:t>
        <w:br/>
        <w:t>con dataset sintético, render polar canónico y CNN de doble 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8"/>
              </w:rPr>
              <w:t>Arquitectura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8"/>
              </w:rPr>
              <w:t>SV-ADC(par) = SV-ADC_L(25,5) + SV-ADC_V(16,4)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sz w:val="18"/>
              </w:rPr>
              <w:t>Semántica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0 = no apoya · 1 = apoya · U = indeterminado / no consta / no evaluable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sz w:val="18"/>
              </w:rPr>
              <w:t>Composición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Jerárquica por compuerta; se descarta max()</w:t>
            </w:r>
          </w:p>
        </w:tc>
      </w:tr>
    </w:tbl>
    <w:p>
      <w:pPr>
        <w:spacing w:before="160" w:after="120" w:line="276" w:lineRule="auto"/>
      </w:pPr>
      <w:r>
        <w:rPr>
          <w:b/>
        </w:rPr>
        <w:t xml:space="preserve">Propósito. </w:t>
      </w:r>
      <w:r>
        <w:t>Este documento fija la versión maestra y estable del primer modelo SV para adenocarcinoma pulmonar primario. La arquitectura se concibe como un sistema pareado de dos células SV completas: una célula lesional de sospecha clínico-estructurada y una célula de validez confirmatoria diagnóstica. El conjunto alimenta una CNN de doble rama, preentrenada sobre dataset sintético y corregible posteriormente por expertos.</w:t>
      </w:r>
    </w:p>
    <w:p>
      <w:pPr>
        <w:pStyle w:val="Heading1"/>
      </w:pPr>
      <w:r>
        <w:rPr>
          <w:color w:val="1F4E79"/>
        </w:rPr>
        <w:t>1. Principios de diseño</w:t>
      </w:r>
    </w:p>
    <w:p>
      <w:pPr>
        <w:pStyle w:val="ListBullet"/>
        <w:spacing w:before="0" w:after="40" w:line="276" w:lineRule="auto"/>
      </w:pPr>
      <w:r>
        <w:t>Cada célula respeta la restricción formal n = b².</w:t>
      </w:r>
    </w:p>
    <w:p>
      <w:pPr>
        <w:pStyle w:val="ListBullet"/>
        <w:spacing w:before="0" w:after="40" w:line="276" w:lineRule="auto"/>
      </w:pPr>
      <w:r>
        <w:t>La unidad compositiva es la célula completa, no el parámetro aislado.</w:t>
      </w:r>
    </w:p>
    <w:p>
      <w:pPr>
        <w:pStyle w:val="ListBullet"/>
        <w:spacing w:before="0" w:after="40" w:line="276" w:lineRule="auto"/>
      </w:pPr>
      <w:r>
        <w:t>La incertidumbre se explicita siempre mediante U; nunca se imputa 0 por ausencia de dato.</w:t>
      </w:r>
    </w:p>
    <w:p>
      <w:pPr>
        <w:pStyle w:val="ListBullet"/>
        <w:spacing w:before="0" w:after="40" w:line="276" w:lineRule="auto"/>
      </w:pPr>
      <w:r>
        <w:t>La sospecha no sustituye a la confirmación. Por ello, la composición global es jerárquica por compuerta.</w:t>
      </w:r>
    </w:p>
    <w:p>
      <w:pPr>
        <w:pStyle w:val="ListBullet"/>
        <w:spacing w:before="0" w:after="40" w:line="276" w:lineRule="auto"/>
      </w:pPr>
      <w:r>
        <w:t>La CNN no actúa como adorno visual: se define como motor de generalización sobre una gramática visual inicialmente normativa y posteriormente corregida por expertos.</w:t>
      </w:r>
    </w:p>
    <w:p>
      <w:pPr>
        <w:pStyle w:val="Heading1"/>
      </w:pPr>
      <w:r>
        <w:rPr>
          <w:color w:val="1F4E79"/>
        </w:rPr>
        <w:t>2. Lógica global del sistema</w:t>
      </w:r>
    </w:p>
    <w:p>
      <w:r>
        <w:rPr>
          <w:b/>
        </w:rPr>
        <w:t xml:space="preserve">Salidas internas. </w:t>
      </w:r>
      <w:r>
        <w:t>SV-ADC_L produce una salida de sospecha (BAJA_SOSPECHA / U / ALTA_SOSPECHA). SV-ADC_V produce una salida confirmatoria (NO_CONFIRMATORIA / U / CONFIRMATORIA).</w:t>
      </w:r>
    </w:p>
    <w:p>
      <w:r>
        <w:rPr>
          <w:b/>
        </w:rPr>
        <w:t xml:space="preserve">Regla global. </w:t>
      </w:r>
      <w:r>
        <w:t>Si la célula V permanece en U, el resultado global no puede cerrarse, aunque la célula L sea muy sugestiva. Si L es alta y V es confirmatoria, el caso puede cerrarse como adenocarcinoma pulmonar primario compatible/confirmado en el marco del sistema. Si L es baja y V no es confirmatoria, el caso deriva hacia alternativa, no compatible o seguimiento. Las discordancias fuertes se expresan como U por discordancia.</w:t>
      </w:r>
    </w:p>
    <w:p>
      <w:pPr>
        <w:pStyle w:val="Heading1"/>
      </w:pPr>
      <w:r>
        <w:rPr>
          <w:color w:val="1F4E79"/>
        </w:rPr>
        <w:t>3. Células y parámetros</w:t>
      </w:r>
    </w:p>
    <w:p>
      <w:r>
        <w:rPr>
          <w:b/>
        </w:rPr>
        <w:t xml:space="preserve">Convención. </w:t>
      </w:r>
      <w:r>
        <w:t>Todas las variables de ambas células usan la misma codificación ternaria 0 / 1 / U. Los umbrales y reglas incluidos a continuación son operativos para la v1 del dataset sintético.</w:t>
      </w:r>
    </w:p>
    <w:p>
      <w:pPr>
        <w:pStyle w:val="Heading2"/>
      </w:pPr>
      <w:r>
        <w:rPr>
          <w:color w:val="1F4E79"/>
        </w:rPr>
        <w:t>3.1. Célula SV-ADC_L(25,5)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ID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Capa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Variable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Parámetro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0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U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Tipo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L01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age_risk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Edad de riesgo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&lt;55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≥55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L02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smoking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Tabaquismo relevante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Nunca fumador o &lt;20 paquetes-año y no fumador actual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Fumador actual o antecedente ≥20 paquetes-año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L03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prior_cancer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Antecedente personal de cáncer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L04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lung_risk_bg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Pulmón de alto riesgo (EPOC/enfisema/fibrosis)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L05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carcinogen_exp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Exposición carcinógena relevante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evaluado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L06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hemoptysis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Hemoptisis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L07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constitutional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Síndrome constitucional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L08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resp_symptoms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Síntoma respiratorio persistente atribuible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L09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family_lung_ca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Antecedente familiar de cáncer pulmonar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 en familiar de primer grado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L10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persistent_lesion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Persistencia sin resolución infecciosa convincente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Resolución o clara mejoría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Persistencia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Seguimiento insuficiente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L11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size_relevant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Tamaño lesional relevante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Nódulo sólido o componente sólido &lt;8 mm y no masa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Nódulo sólido o componente sólido ≥8 mm, o lesión &gt;30 mm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L12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spic_lob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Espiculación o lobulación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Presentes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descritas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L13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upper_lobe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Localización en lóbulo superior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L14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subsolid_susp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Fenotipo subsólido sugestivo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Part-solid o subsólido persistente sospechoso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clasificable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L15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pleural_vascular_signs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Retracción pleural / convergencia vascular / bronquio hacia lesión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 cualquiera de esos rasgos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descritos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L16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growth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Crecimiento documentado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Sin comparativa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L17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temporal_malign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Dinámica temporal compatible con malignidad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calculable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L18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no_benign_pattern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Ausencia de patrón benigno fuerte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 hay patrón benigno fuerte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hay patrón benigno fuerte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descrito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L19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non_smooth_margin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Margen no liso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Liso / perifisural típico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Irregular / microlobulado / no perifisural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descrito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L20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density_solid_shift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Comportamiento densitométrico no tranquilizador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comparable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L21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L5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pet_susp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PET/CT sugestivo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sugestivo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Sugestivo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realizado / no interpretable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L22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L5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nodes_susp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Adenopatías hiliares o mediastínicas sospechosas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Presentes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L23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L5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pleural_extra_susp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Hallazgos pleurales o extrapulmonares sospechosos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Presentes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L24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L5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better_target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Existencia de diana diagnóstica mejor que la lesión primaria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evaluado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L25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L5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biopsy_access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Accesibilidad técnica razonable a muestreo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valorado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</w:tbl>
    <w:p/>
    <w:p>
      <w:pPr>
        <w:pStyle w:val="Heading2"/>
      </w:pPr>
      <w:r>
        <w:rPr>
          <w:color w:val="1F4E79"/>
        </w:rPr>
        <w:t>3.2. Célula SV-ADC_V(16,4)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ID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Capa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Variable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Parámetro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0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U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Tipo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V01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sample_obtained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Muestra lesional adecuada obtenida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Pendiente / no aclarado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V02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tumor_cellularity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Celularidad tumoral suficiente para interpretación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Insuficiente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Suficiente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especificado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V03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ihc_feasible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Material apto para inmunohistoquímica básica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realizado / no consta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V04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molecular_feasible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Material apto para estudio molecular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valorado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V05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nsclc_established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Neoplasia epitelial maligna / NSCLC establecida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Indeterminada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V06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glandular_diff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Diferenciación glandular presente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valorable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V07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mucin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Mucina demostrable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Presente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estudiada / no valorable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V08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morph_adc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Impresión morfológica final favorece adenocarcinoma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concluyente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V09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ttf1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TTF-1 positivo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Negativo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Positivo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realizado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V10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napsin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Napsin A positivo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Negativo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Positivo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realizado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binario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V11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p40_not_dom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p40 no dominante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p40 difuso/fuerte compatible con escamoso dominante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p40 ausente/débil/no dominante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realizado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V12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V3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neuroend_not_dom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Perfil neuroendocrino no dominante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Perfil neuroendocrino dominante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Ausente o no dominante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realizado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V13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extra_primary_excl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Origen extrapulmonar más plausible razonablemente excluido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Estudio incompleto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V14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clin_radio_path_conc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Concordancia clínico-radiológico-patológica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Discordancia relevante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Concordancia suficiente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valorable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V15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molecular_pathway_ok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Estudio molecular realizado o activado adecuadamente según circuito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Pendiente / no aplicable todavía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  <w:tr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V16</w:t>
            </w:r>
          </w:p>
        </w:tc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V4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molecular_useful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Resultado molecular compatible o útil para el eje adenocarcinoma-NSCLC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No / contradictorio / fallo técnico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Sí / informativo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16"/>
              </w:rPr>
              <w:t>Pendiente / no disponible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6"/>
              </w:rPr>
              <w:t>derivado</w:t>
            </w:r>
          </w:p>
        </w:tc>
      </w:tr>
    </w:tbl>
    <w:p>
      <w:pPr>
        <w:pStyle w:val="Heading1"/>
      </w:pPr>
      <w:r>
        <w:rPr>
          <w:color w:val="1F4E79"/>
        </w:rPr>
        <w:t>4. Papel de la CNN</w:t>
      </w:r>
    </w:p>
    <w:p>
      <w:pPr>
        <w:pStyle w:val="ListBullet"/>
        <w:spacing w:before="0" w:after="40" w:line="276" w:lineRule="auto"/>
      </w:pPr>
      <w:r>
        <w:t>La CNN se define como una arquitectura de doble rama con fusión tardía: una rama procesa la imagen polar canónica de la célula L y la otra procesa la imagen polar canónica de la célula V.</w:t>
      </w:r>
    </w:p>
    <w:p>
      <w:pPr>
        <w:pStyle w:val="ListBullet"/>
        <w:spacing w:before="0" w:after="40" w:line="276" w:lineRule="auto"/>
      </w:pPr>
      <w:r>
        <w:t>El preentrenamiento inicial se realiza sobre dataset sintético generado por el oráculo normativo de esta v1.</w:t>
      </w:r>
    </w:p>
    <w:p>
      <w:pPr>
        <w:pStyle w:val="ListBullet"/>
        <w:spacing w:before="0" w:after="40" w:line="276" w:lineRule="auto"/>
      </w:pPr>
      <w:r>
        <w:t>Después del preentrenamiento, expertos médicos corrigen parámetros, casos frontera, etiquetas y discordancias. La CNN deja entonces de ser espejo rígido del oráculo inicial y aprende configuraciones y contradicciones clínicamente refinadas.</w:t>
      </w:r>
    </w:p>
    <w:p>
      <w:pPr>
        <w:pStyle w:val="ListBullet"/>
        <w:spacing w:before="0" w:after="40" w:line="276" w:lineRule="auto"/>
      </w:pPr>
      <w:r>
        <w:t>La imagen polar no sustituye la anatomía patológica ni el flujo clínico. Su función es estabilizar una gramática visual computable, auditable y extensible.</w:t>
      </w:r>
    </w:p>
    <w:p>
      <w:pPr>
        <w:pStyle w:val="Heading1"/>
      </w:pPr>
      <w:r>
        <w:rPr>
          <w:color w:val="1F4E79"/>
        </w:rPr>
        <w:t>5. Esquema mínimo del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8"/>
              </w:rPr>
              <w:t>Campo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0F172A"/>
                <w:sz w:val="18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case_id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Identificador único del caso sintético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version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Versión del esquema, p. ej. SV-ADC-par-v1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L01..L25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Columnas de la célula lesional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V01..V16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Columnas de la célula confirmatoria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label_L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Salida interna de la rama 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label_V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Salida interna de la rama V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label_global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Salida global jerárquica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rule_trace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Regla o conjunto de reglas que originó el caso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expert_review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Estado de revisión médica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expert_delta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Cambios introducidos por expertos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notes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sz w:val="18"/>
              </w:rPr>
              <w:t>Observaciones libres</w:t>
            </w:r>
          </w:p>
        </w:tc>
      </w:tr>
    </w:tbl>
    <w:p>
      <w:pPr>
        <w:pStyle w:val="Heading1"/>
      </w:pPr>
      <w:r>
        <w:rPr>
          <w:color w:val="1F4E79"/>
        </w:rPr>
        <w:t>6. Orden canónico de render</w:t>
      </w:r>
    </w:p>
    <w:p>
      <w:r>
        <w:rPr>
          <w:b/>
        </w:rPr>
        <w:t xml:space="preserve">SV-ADC_L: </w:t>
      </w:r>
      <w:r>
        <w:t>L01 L02 L03 L04 L05 | L06 L07 L08 L09 L10 | L11 L12 L13 L14 L15 | L16 L17 L18 L19 L20 | L21 L22 L23 L24 L25</w:t>
      </w:r>
    </w:p>
    <w:p>
      <w:r>
        <w:rPr>
          <w:b/>
        </w:rPr>
        <w:t xml:space="preserve">SV-ADC_V: </w:t>
      </w:r>
      <w:r>
        <w:t>V01 V02 V03 V04 | V05 V06 V07 V08 | V09 V10 V11 V12 | V13 V14 V15 V16</w:t>
      </w:r>
    </w:p>
    <w:p>
      <w:r>
        <w:rPr>
          <w:b/>
        </w:rPr>
        <w:t xml:space="preserve">Reglas gráficas. </w:t>
      </w:r>
      <w:r>
        <w:t>Fondo uniforme, colores fijos, grosor fijo, resolución fija, antialiasing fijo, sin rotación ni reordenación angular en v1.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