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SV-ADC(global) v1</w:t>
      </w:r>
    </w:p>
    <w:p>
      <w:pPr>
        <w:pStyle w:val="Subtitle"/>
        <w:jc w:val="center"/>
      </w:pPr>
      <w:r>
        <w:t>Documento maestro limpio • arquitectura ampliada y completa de neumología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13"/>
        <w:gridCol w:w="7013"/>
      </w:tblGrid>
      <w:tr>
        <w:tc>
          <w:tcPr>
            <w:tcW w:type="dxa" w:w="249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Arquitectura</w:t>
            </w:r>
          </w:p>
        </w:tc>
        <w:tc>
          <w:tcPr>
            <w:tcW w:type="dxa" w:w="10318"/>
            <w:shd w:fill="F7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SV-ADC(global) v1 = [SV-ADC_L(25,5) + SV-ADC_V(16,4)] + SV-ADC_META(9,3) + Γ_ADC + compositor secuencial</w:t>
            </w:r>
          </w:p>
        </w:tc>
      </w:tr>
      <w:tr>
        <w:tc>
          <w:tcPr>
            <w:tcW w:type="dxa" w:w="249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Semántica</w:t>
            </w:r>
          </w:p>
        </w:tc>
        <w:tc>
          <w:tcPr>
            <w:tcW w:type="dxa" w:w="10318"/>
            <w:shd w:fill="F7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 = no apoyo/no suficiencia/no progresión • 1 = apoyo/suficiencia/progresión útil • U = indeterminación explícita</w:t>
            </w:r>
          </w:p>
        </w:tc>
      </w:tr>
      <w:tr>
        <w:tc>
          <w:tcPr>
            <w:tcW w:type="dxa" w:w="249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Personalidad nueva</w:t>
            </w:r>
          </w:p>
        </w:tc>
        <w:tc>
          <w:tcPr>
            <w:tcW w:type="dxa" w:w="10318"/>
            <w:shd w:fill="F7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viene de más parámetros manuales, sino de la meta-célula automática, la criticidad activa de la U y la progresión secuencial</w:t>
            </w:r>
          </w:p>
        </w:tc>
      </w:tr>
      <w:tr>
        <w:tc>
          <w:tcPr>
            <w:tcW w:type="dxa" w:w="2494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CNN</w:t>
            </w:r>
          </w:p>
        </w:tc>
        <w:tc>
          <w:tcPr>
            <w:tcW w:type="dxa" w:w="10318"/>
            <w:shd w:fill="F7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Doble rama L/V con control META y aprendizaje adicional de discordancia, criticidad y resolubilidad</w:t>
            </w:r>
          </w:p>
        </w:tc>
      </w:tr>
    </w:tbl>
    <w:p/>
    <w:p>
      <w:pPr>
        <w:pStyle w:val="Heading1"/>
      </w:pPr>
      <w:r>
        <w:t>1. Decisión de arquitectura</w:t>
      </w:r>
    </w:p>
    <w:p>
      <w:pPr>
        <w:pStyle w:val="BoxText"/>
      </w:pPr>
      <w:r>
        <w:t>La primera fase manual permanece cerrada con 41 parámetros humanos: la célula lesional SV-ADC_L(25,5) y la célula confirmatoria SV-ADC_V(16,4).</w:t>
      </w:r>
    </w:p>
    <w:p>
      <w:pPr>
        <w:pStyle w:val="BoxText"/>
      </w:pPr>
      <w:r>
        <w:t>La nueva dimensión global se añade sin inflar el número de parámetros manuales: una meta-célula automática SV-ADC_META(9,3), tres salidas Γ_ADC y un compositor diagnóstico secuencial.</w:t>
      </w:r>
    </w:p>
    <w:p>
      <w:pPr>
        <w:pStyle w:val="BoxText"/>
      </w:pPr>
      <w:r>
        <w:t>La compuerta jerárquica entre L y V se mantiene. META y Γ no sustituyen la medicina del caso; controlan clasificabilidad, criticidad y valor del siguiente paso.</w:t>
      </w:r>
    </w:p>
    <w:p>
      <w:pPr>
        <w:pStyle w:val="Heading1"/>
      </w:pPr>
      <w:r>
        <w:t>2. Semántica oficial</w:t>
      </w:r>
    </w:p>
    <w:p>
      <w:pPr>
        <w:pStyle w:val="BoxText"/>
      </w:pPr>
      <w:r>
        <w:t>0 = no apoyo / no suficiencia / no progresión según el campo.</w:t>
      </w:r>
    </w:p>
    <w:p>
      <w:pPr>
        <w:pStyle w:val="BoxText"/>
      </w:pPr>
      <w:r>
        <w:t>1 = apoyo / suficiencia / progresión útil según el campo.</w:t>
      </w:r>
    </w:p>
    <w:p>
      <w:pPr>
        <w:pStyle w:val="BoxText"/>
      </w:pPr>
      <w:r>
        <w:t>U = no consta, no evaluable, no realizado o conflicto no resuelto.</w:t>
      </w:r>
    </w:p>
    <w:p>
      <w:pPr>
        <w:pStyle w:val="BoxText"/>
      </w:pPr>
      <w:r>
        <w:t>Regla dura: si el dato no está documentado, no se imputa 0; se marca U.</w:t>
      </w:r>
    </w:p>
    <w:p>
      <w:pPr>
        <w:pStyle w:val="Heading2"/>
      </w:pPr>
      <w:r>
        <w:t>3. Tabla maestra — SV-ADC_L(25,5)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rPr>
          <w:tblHeader w:val="true"/>
        </w:trPr>
        <w:tc>
          <w:tcPr>
            <w:tcW w:type="dxa" w:w="73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3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Capa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Variable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Nombre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0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1</w:t>
            </w:r>
          </w:p>
        </w:tc>
        <w:tc>
          <w:tcPr>
            <w:tcW w:type="dxa" w:w="2211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U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L01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age_risk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Edad de riesgo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&lt;55 años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≥55 años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L02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smoking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Tabaquismo relevante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Nunca fumador o &lt;20 paquetes-año y no fumador actual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Fumador actual o antecedente ≥20 paquetes-año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L03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prior_cancer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Antecedente personal de cáncer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L04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lung_risk_bg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Pulmón de alto riesgo (EPOC/enfisema/fibrosis)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L05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carcinogen_exp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Exposición carcinógena relevante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evaluado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L06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hemoptysis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Hemoptisis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L07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constitutional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Síndrome constitucional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L08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resp_symptoms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Síntoma respiratorio persistente atribuible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L09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family_lung_ca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Antecedente familiar de cáncer pulmonar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 en familiar de primer grado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L10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persistent_lesion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Persistencia sin resolución infecciosa convincente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Resolución o clara mejoría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Persistencia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Seguimiento insuficiente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size_relevant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Tamaño lesional relevante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Nódulo sólido o componente sólido &lt;8 mm y no masa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Nódulo sólido o componente sólido ≥8 mm, o lesión &gt;30 mm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L12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spic_lob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Espiculación o lobulación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Presentes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descritas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L13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upper_lobe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Localización en lóbulo superior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L14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subsolid_susp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Fenotipo subsólido sugestivo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Part-solid o subsólido persistente sospechoso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clasificable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L15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pleural_vascular_signs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Retracción pleural / convergencia vascular / bronquio hacia lesión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 cualquiera de esos rasgos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descritos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L16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growth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Crecimiento documentado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Sin comparativa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L17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temporal_malign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Dinámica temporal compatible con malignidad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calculable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L18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no_benign_pattern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Ausencia de patrón benigno fuerte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 hay patrón benigno fuerte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hay patrón benigno fuerte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descrito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L19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non_smooth_margin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Margen no liso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Liso / perifisural típico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Irregular / microlobulado / no perifisural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descrito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L20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density_solid_shift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Comportamiento densitométrico no tranquilizador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comparable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L21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L5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pet_susp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PET/CT sugestivo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sugestivo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Sugestivo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realizado / no interpretable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L22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L5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nodes_susp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Adenopatías hiliares/mediastínicas sospechosas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Presentes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L23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L5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pleural_extra_susp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Hallazgos pleurales o extrapulmonares sospechosos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Presentes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L24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L5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better_target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Existencia de diana diagnóstica mejor que la lesión primaria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evaluado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L25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L5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biopsy_access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Accesibilidad técnica razonable a muestreo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valorado</w:t>
            </w:r>
          </w:p>
        </w:tc>
      </w:tr>
    </w:tbl>
    <w:p/>
    <w:p>
      <w:pPr>
        <w:pStyle w:val="Heading2"/>
      </w:pPr>
      <w:r>
        <w:t>4. Tabla maestra — SV-ADC_V(16,4)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rPr>
          <w:tblHeader w:val="true"/>
        </w:trPr>
        <w:tc>
          <w:tcPr>
            <w:tcW w:type="dxa" w:w="73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3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Capa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Variable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Nombre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0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1</w:t>
            </w:r>
          </w:p>
        </w:tc>
        <w:tc>
          <w:tcPr>
            <w:tcW w:type="dxa" w:w="2211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U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V01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sample_obtained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Muestra lesional adecuada obtenida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Pendiente / no aclarado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V02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tumor_cellularity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Celularidad tumoral suficiente para interpretación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Insuficiente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Suficiente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especificado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V03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ihc_feasible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Material apto para inmunohistoquímica básica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realizado / no consta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V04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molecular_feasible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Material apto para estudio molecular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valorado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V05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nsclc_established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Neoplasia epitelial maligna / NSCLC establecida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Indeterminada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V06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glandular_diff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Diferenciación glandular presente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valorable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V07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mucin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Mucina demostrable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Presente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estudiada / no valorable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V08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morph_adc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Impresión morfológica final favorece adenocarcinoma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concluyente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V09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ttf1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TTF-1 positivo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Negativo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Positivo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realizado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V10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napsin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Napsin A positivo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Negativo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Positivo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realizado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V11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p40_not_dom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p40 no dominante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p40 difuso/fuerte compatible con escamoso dominante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p40 ausente, débil o no dominante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realizado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V12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neuroend_not_dom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Perfil neuroendocrino no dominante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Perfil neuroendocrino dominante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Ausente o no dominante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realizado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V13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extra_primary_excl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Origen extrapulmonar más plausible razonablemente excluido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Estudio incompleto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V14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clin_radio_path_conc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Concordancia clínico-radiológico-patológica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Discordancia relevante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Concordancia suficiente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valorable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V15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molecular_pathway_ok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Estudio molecular realizado o activado adecuadamente según circuito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Pendiente / no aplicable todavía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V16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V4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molecular_useful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Resultado molecular compatible o útil para el eje adenocarcinoma-NSCLC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/ contradictorio / fallo técnico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 / informativo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Pendiente / no disponible</w:t>
            </w:r>
          </w:p>
        </w:tc>
      </w:tr>
    </w:tbl>
    <w:p/>
    <w:p>
      <w:pPr>
        <w:pStyle w:val="Heading2"/>
      </w:pPr>
      <w:r>
        <w:t>5. Tabla maestra — SV-ADC_META(9,3)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rPr>
          <w:tblHeader w:val="true"/>
        </w:trPr>
        <w:tc>
          <w:tcPr>
            <w:tcW w:type="dxa" w:w="73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3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Capa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Variable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Nombre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0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1</w:t>
            </w:r>
          </w:p>
        </w:tc>
        <w:tc>
          <w:tcPr>
            <w:tcW w:type="dxa" w:w="2211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U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M01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L_complete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Completitud adecuada de la célula 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Cobertura crítica insuficiente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Cobertura crítica suficiente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computable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M02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V_complete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Completitud adecuada de la célula V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Cobertura crítica insuficiente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Cobertura crítica suficiente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computable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M03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M1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LV_non_discordant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Ausencia de discordancia mayor L/V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Discordancia mayor presente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hay discordancia mayor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evaluable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M04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morph_suff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Suficiencia morfológica para cierre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Insuficiente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Suficiente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evaluable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M05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ihc_suff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Suficiencia IHQ para cierre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Insuficiente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Suficiente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evaluable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M06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M2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molecular_suff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Suficiencia molecular para el estado del caso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Insuficiente o fallida cuando era relevante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Suficiente / disponible / formalmente activada de forma útil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evaluable / no aplicable aún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M07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coherence_global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Coherencia clínico-radiológico-patológica global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Incoherente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Coherente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evaluable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M08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U_resolvable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Resolubilidad actual de la U global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resoluble en el siguiente paso acotado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Resoluble en el siguiente paso acotado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Resolvibilidad incierta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M09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M3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classifiability_integrity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Integridad técnica del caso para clasificación final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apta / vetada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Apta para clasificación o cierre acotado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evaluable</w:t>
            </w:r>
          </w:p>
        </w:tc>
      </w:tr>
    </w:tbl>
    <w:p/>
    <w:p>
      <w:pPr>
        <w:pStyle w:val="Heading2"/>
      </w:pPr>
      <w:r>
        <w:t>6. Derivados Γ, etiquetas y compositor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rPr>
          <w:tblHeader w:val="true"/>
        </w:trPr>
        <w:tc>
          <w:tcPr>
            <w:tcW w:type="dxa" w:w="73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ID</w:t>
            </w:r>
          </w:p>
        </w:tc>
        <w:tc>
          <w:tcPr>
            <w:tcW w:type="dxa" w:w="73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Capa</w:t>
            </w:r>
          </w:p>
        </w:tc>
        <w:tc>
          <w:tcPr>
            <w:tcW w:type="dxa" w:w="1757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Variable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Nombre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0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1</w:t>
            </w:r>
          </w:p>
        </w:tc>
        <w:tc>
          <w:tcPr>
            <w:tcW w:type="dxa" w:w="2211"/>
            <w:shd w:fill="D9EAF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U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DL1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DL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label_L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Salida interna de 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LOW_L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HIGH_L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U_L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DV1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DV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label_V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Salida interna de V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NONCONF_V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CONF_V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U_V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DM1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DM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label_META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Salida interna de META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META_BLOCK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META_READY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META_TENSE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G01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gamma_L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Γ_ADC-L criticidad activa de la indeterminación en 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hay indeterminación crítica activa o su resolución aporta poco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Hay indeterminación crítica activa y resoluble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 criticidad misma no puede determinarse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G02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gamma_V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Γ_ADC-V criticidad activa de la indeterminación en V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hay indeterminación crítica activa o su resolución aporta poco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Hay indeterminación crítica activa y resoluble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 criticidad misma no puede determinarse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G03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gamma_GLOBAL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Γ_ADC-GLOBAL criticidad activa de la indeterminación global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hay indeterminación crítica activa global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Hay indeterminación crítica global y un próximo paso con alto valor resolutivo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 criticidad global no puede determinarse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DG1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DG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label_global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Salida global del sistema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GLOBAL_LOW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GLOBAL_HIGH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GLOBAL_U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C01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 w:val="0"/>
                <w:sz w:val="18"/>
              </w:rPr>
              <w:t>C</w:t>
            </w:r>
          </w:p>
        </w:tc>
        <w:tc>
          <w:tcPr>
            <w:tcW w:type="dxa" w:w="175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composer_state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Estado del compositor diagnóstico secuencial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Aún no hay progresión suficiente hacia cierre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Existe progresión utilizable hacia el siguiente estado o el cierre</w:t>
            </w:r>
          </w:p>
        </w:tc>
        <w:tc>
          <w:tcPr>
            <w:tcW w:type="dxa" w:w="221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La progresión está bloqueada o es indeterminada</w:t>
            </w:r>
          </w:p>
        </w:tc>
      </w:tr>
    </w:tbl>
    <w:p/>
    <w:p>
      <w:pPr>
        <w:pStyle w:val="Heading1"/>
      </w:pPr>
      <w:r>
        <w:t>7. Regla de composición</w:t>
      </w:r>
    </w:p>
    <w:p>
      <w:pPr>
        <w:pStyle w:val="BoxText"/>
      </w:pPr>
      <w:r>
        <w:t>label_L ∈ {LOW_L, U_L, HIGH_L}.</w:t>
      </w:r>
    </w:p>
    <w:p>
      <w:pPr>
        <w:pStyle w:val="BoxText"/>
      </w:pPr>
      <w:r>
        <w:t>label_V ∈ {NONCONF_V, U_V, CONF_V}.</w:t>
      </w:r>
    </w:p>
    <w:p>
      <w:pPr>
        <w:pStyle w:val="BoxText"/>
      </w:pPr>
      <w:r>
        <w:t>label_META ∈ {META_BLOCK, META_TENSE, META_READY}.</w:t>
      </w:r>
    </w:p>
    <w:p>
      <w:pPr>
        <w:pStyle w:val="BoxText"/>
      </w:pPr>
      <w:r>
        <w:t>GLOBAL_HIGH sólo existe si L = HIGH_L y V = CONF_V y META no bloquea.</w:t>
      </w:r>
    </w:p>
    <w:p>
      <w:pPr>
        <w:pStyle w:val="BoxText"/>
      </w:pPr>
      <w:r>
        <w:t>GLOBAL_LOW sólo existe si L = LOW_L y V = NONCONF_V y META no bloquea ni tensa de forma dominante.</w:t>
      </w:r>
    </w:p>
    <w:p>
      <w:pPr>
        <w:pStyle w:val="BoxText"/>
      </w:pPr>
      <w:r>
        <w:t>Todo lo demás cae en GLOBAL_U, incluyendo discordancia fuerte, insuficiencia de muestra o criticidad activa irresuelta.</w:t>
      </w:r>
    </w:p>
    <w:p>
      <w:pPr>
        <w:pStyle w:val="Heading1"/>
      </w:pPr>
      <w:r>
        <w:t>8. Función de Γ_ADC y del compositor</w:t>
      </w:r>
    </w:p>
    <w:p>
      <w:pPr>
        <w:pStyle w:val="BoxText"/>
      </w:pPr>
      <w:r>
        <w:t>Γ_ADC-L, Γ_ADC-V y Γ_ADC-GLOBAL no diagnostican adenocarcinoma; cuantifican la criticidad activa de la indeterminación.</w:t>
      </w:r>
    </w:p>
    <w:p>
      <w:pPr>
        <w:pStyle w:val="BoxText"/>
      </w:pPr>
      <w:r>
        <w:t>Valor 1 en Γ significa que existe una U crítica y resoluble con alto valor informativo; valor 0, que no existe criticidad activa relevante; valor U, que la propia criticidad no puede determinarse.</w:t>
      </w:r>
    </w:p>
    <w:p>
      <w:pPr>
        <w:pStyle w:val="BoxText"/>
      </w:pPr>
      <w:r>
        <w:t>composer_state resume si existe progresión útil hacia el siguiente estado diagnóstico o si el caso está bloqueado.</w:t>
      </w:r>
    </w:p>
    <w:p>
      <w:pPr>
        <w:pStyle w:val="Heading1"/>
      </w:pPr>
      <w:r>
        <w:t>9. Estructura mínima del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13"/>
        <w:gridCol w:w="7013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Campo</w:t>
            </w:r>
          </w:p>
        </w:tc>
        <w:tc>
          <w:tcPr>
            <w:tcW w:type="dxa" w:w="9978"/>
            <w:shd w:fill="DCE6F1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sz w:val="18"/>
              </w:rPr>
              <w:t>Descripción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case_id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Identificador único del caso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version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Versión del esquema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vector_L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Valores L01–L25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vector_V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Valores V01–V16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vector_META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Valores M01–M09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label_L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Salida interna de la célula 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label_V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Salida interna de la célula V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label_META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Salida interna de la meta-célula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gamma_L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Γ_ADC-L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gamma_V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Γ_ADC-V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gamma_GLOBAL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Γ_ADC-GLOBAL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composer_state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Estado del compositor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label_global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Salida global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rule_trace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Traza de reglas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expert_review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Estado futuro de revisión experta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notes</w:t>
            </w:r>
          </w:p>
        </w:tc>
        <w:tc>
          <w:tcPr>
            <w:tcW w:type="dxa" w:w="997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Observaciones</w:t>
            </w:r>
          </w:p>
        </w:tc>
      </w:tr>
    </w:tbl>
    <w:p/>
    <w:p>
      <w:pPr>
        <w:pStyle w:val="Heading1"/>
      </w:pPr>
      <w:r>
        <w:t>10. Nota doctrinal final</w:t>
      </w:r>
    </w:p>
    <w:p>
      <w:pPr>
        <w:pStyle w:val="BoxText"/>
      </w:pPr>
      <w:r>
        <w:t>La versión global completa no cambia la ontología clínica manual ya fijada; la reorganiza en un sistema capaz de expresar clasificabilidad, criticidad de la U y progresión diagnóstica.</w:t>
      </w:r>
    </w:p>
    <w:p>
      <w:pPr>
        <w:pStyle w:val="BoxText"/>
      </w:pPr>
      <w:r>
        <w:t>La personalidad metodológica añadida respecto a la primera fase neumológica no surge de más ejes humanos, sino de SV-ADC_META(9,3), Γ_ADC y el compositor secuencial.</w:t>
      </w:r>
    </w:p>
    <w:p>
      <w:pPr>
        <w:pStyle w:val="BoxText"/>
      </w:pPr>
      <w:r>
        <w:t>Este paquete debe ser la fuente de verdad previa a la generación del dataset sintético, al render polar canónico y al pipeline de entrenamiento.</w:t>
      </w:r>
    </w:p>
    <w:p>
      <w:pPr>
        <w:pStyle w:val="SmallNote"/>
      </w:pPr>
      <w:r>
        <w:t>Este documento maestro se acompaña de un CSV semilla y de un JSON semilla coherentes con esta misma versión.</w:t>
      </w:r>
    </w:p>
    <w:sectPr w:rsidR="00FC693F" w:rsidRPr="0006063C" w:rsidSect="00034616">
      <w:pgSz w:w="15840" w:h="12240" w:orient="landscape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203864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25A7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0386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666666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xText">
    <w:name w:val="Box Text"/>
    <w:basedOn w:val="Normal"/>
    <w:pPr>
      <w:spacing w:after="50" w:line="252" w:lineRule="auto"/>
    </w:pPr>
    <w:rPr>
      <w:rFonts w:ascii="Aptos" w:hAnsi="Aptos"/>
      <w:sz w:val="18"/>
    </w:rPr>
  </w:style>
  <w:style w:type="paragraph" w:customStyle="1" w:styleId="SmallNote">
    <w:name w:val="Small Note"/>
    <w:basedOn w:val="Normal"/>
    <w:rPr>
      <w:rFonts w:ascii="Aptos" w:hAnsi="Aptos"/>
      <w:i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