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Resolution Frontiers in Stratified Ternary Cells: Infection Prophylaxis, Vaccination, and AI System Integrity</w:t>
      </w:r>
    </w:p>
    <w:p>
      <w:pPr>
        <w:spacing w:line="276" w:lineRule="auto"/>
        <w:jc w:val="center"/>
      </w:pPr>
      <w:r>
        <w:rPr>
          <w:b/>
          <w:sz w:val="22"/>
        </w:rPr>
        <w:t>Research and Applications</w:t>
      </w:r>
    </w:p>
    <w:p>
      <w:pPr>
        <w:spacing w:line="276" w:lineRule="auto"/>
        <w:jc w:val="center"/>
      </w:pPr>
      <w:r>
        <w:t>Juan Antonio Lloret Egea</w:t>
        <w:br/>
        <w:t>Electronics and Automation Engineer; Director, Instituto Tecnológico Virtual de la Inteligencia Artificial para el Español (ITVIA), Madrid, Spain</w:t>
        <w:br/>
        <w:t>ORCID: 0000-0002-6634-3351</w:t>
        <w:br/>
        <w:t>Corresponding author: Juan Antonio Lloret Egea</w:t>
        <w:br/>
        <w:t>Postal address: Calle Puerto de Más Palomas 3, 1.º 1.ª, 28029 Madrid, Spain</w:t>
        <w:br/>
        <w:t>Email: juanantoniolloret@itvia.es</w:t>
        <w:br/>
        <w:t>Telephone: +34 637 542 914</w:t>
      </w:r>
    </w:p>
    <w:p>
      <w:pPr>
        <w:spacing w:line="276" w:lineRule="auto"/>
      </w:pPr>
      <w:r>
        <w:t>Word count (main text only, excluding abstract, references, tables, and declarations): 3265</w:t>
      </w:r>
    </w:p>
    <w:p>
      <w:pPr>
        <w:spacing w:line="276" w:lineRule="auto"/>
      </w:pPr>
      <w:r>
        <w:rPr>
          <w:b/>
        </w:rPr>
        <w:t xml:space="preserve">Keywords: </w:t>
      </w:r>
      <w:r>
        <w:t>biomedical informatics; knowledge representation; formal methods; vaccination; artificial intelligence</w:t>
      </w:r>
    </w:p>
    <w:p>
      <w:r>
        <w:br w:type="page"/>
      </w:r>
    </w:p>
    <w:p>
      <w:pPr>
        <w:pStyle w:val="Heading1"/>
      </w:pPr>
      <w:r>
        <w:t>ABSTRACT</w:t>
      </w:r>
    </w:p>
    <w:p>
      <w:pPr>
        <w:spacing w:line="480" w:lineRule="auto"/>
      </w:pPr>
      <w:r>
        <w:t>Objective: To define, within a finite representation chain for a stratified ternary state, the highest level from which a specified operation remains exactly recoverable, and to verify distinct frontiers in two specified domains.</w:t>
      </w:r>
    </w:p>
    <w:p>
      <w:pPr>
        <w:spacing w:line="480" w:lineRule="auto"/>
      </w:pPr>
      <w:r>
        <w:t>Materials and Methods: We formalized four levels: labeled state, layer-wise ternary counts, global ternary counts, and a typed terminal class. Exact recoverability requires an explicit recovery map. A nonterminal frontier is verified by rule-realizable states that coincide at the next level but differ under the operation. We applied the construction to a 25-parameter immunology cell and an independent 9-parameter AI system integrity cell.</w:t>
      </w:r>
    </w:p>
    <w:p>
      <w:pPr>
        <w:spacing w:line="480" w:lineRule="auto"/>
      </w:pPr>
      <w:r>
        <w:t>Results: Selected immunology operations on vaccination labels, layer localization, U count, and terminal class had frontiers 0, 1, 2, and 3. Independently selected integrity operations realized the same four levels with different semantics and without U in the level-2 witness. Every nonterminal frontier had a recovery map and a rule-realizable separating pair.</w:t>
      </w:r>
    </w:p>
    <w:p>
      <w:pPr>
        <w:spacing w:line="480" w:lineRule="auto"/>
      </w:pPr>
      <w:r>
        <w:t>Discussion: Different operations on the same state can require different representation levels. Frontiers are relative to the realized state space and declared chain, not universal optima. Representational insufficiency does not alter the ternary state.</w:t>
      </w:r>
    </w:p>
    <w:p>
      <w:pPr>
        <w:spacing w:line="480" w:lineRule="auto"/>
      </w:pPr>
      <w:r>
        <w:t>Conclusion: Operation-specific resolution frontiers verify whether an aggregation retains the distinctions required by a specified downstream operation.</w:t>
      </w:r>
    </w:p>
    <w:p>
      <w:pPr>
        <w:pStyle w:val="Heading1"/>
      </w:pPr>
      <w:r>
        <w:t>BACKGROUND AND SIGNIFICANCE</w:t>
      </w:r>
    </w:p>
    <w:p>
      <w:pPr/>
      <w:r>
        <w:t>Biomedical informatics increasingly depends on representations that compress, aggregate, or reorganize structured information while preserving what later operations need. The central difficulty is not whether a richer representation contains more information, but whether a particular distinction remains recoverable after aggregation. Recent accounts of biomedical informatics have accordingly emphasized theoretical work on knowledge representation, reasoning, and architecture as a necessary complement to empirical system building.[1] Clinical guideline formalisms already distinguish conceptual, computable, and implementable representation levels,[2] yet the existence of multiple levels does not by itself identify where a specific operation ceases to be exactly recoverable.</w:t>
      </w:r>
    </w:p>
    <w:p>
      <w:pPr/>
      <w:r>
        <w:t>Several established theories address related questions. In abstract interpretation, property-directed quotients identify the part of an abstract domain useful for computing a specified property.[3] Set-based learning formalizes permutation-invariant representations,[4] while recent clinical set architectures explicitly restore variable-type information that undifferentiated set treatment can lose.[5] More recent work has studied exact decision-relevant abstractions and loss-dependent sufficient representations.[6,7] Taken together, these approaches show that relevance depends on the property, operation, decision, distribution, or loss being preserved. The present study addresses a narrower object: a finite representation chain fixed in advance by domain semantics, and the level in that chain at which a specified operation ceases to be exactly recoverable. It neither searches over all possible abstractions nor treats the declared chain as a canonical quotient.</w:t>
      </w:r>
    </w:p>
    <w:p>
      <w:pPr/>
      <w:r>
        <w:t>The distinction matters in clinical information systems because aggregation can erase labels without making the aggregated state internally inconsistent. Two vaccination states can have identical counts while placing the nonzero values on different vaccines; two integrity states can have identical global counts while locating the compromised control in different functional layers. Whether that loss is acceptable depends on the downstream operation. A terminal class may be entirely adequate for an interface that only transports that class, yet inadequate for a local operation that still requires coordinate identity or a count that the terminal class no longer exposes.</w:t>
      </w:r>
    </w:p>
    <w:p>
      <w:pPr/>
      <w:r>
        <w:t>The present study builds on previously published Vectorial System (SV) constructions that specified SVperitus–IMMUNO-1 (IMMUNO-1), a 25-parameter immunology demonstrator for infection prophylaxis and vaccination in adults with hematologic malignancies and immunosuppression,[8] a separate 9-parameter AI system integrity cell,[9] the algebraic semantics of labeled ternary cells,[10] typed transduction into the ternary alphabet,[11] and a domain-scoped query operator whose declared scope identifies the part of an architecture on which a response depends.[12] A separate SV preprint formalized certified non-closure and revision in finite resolution systems.[13] That work addresses certification of non-closure and revision over finite-resolution structures; the present study instead asks how far aggregation can proceed within a fixed representation chain of a constituted ternary cell before a specified operation is no longer exactly recoverable. These works supply pre-existing cells and semantics; none defines the operation-specific representation frontier studied here.</w:t>
      </w:r>
    </w:p>
    <w:p>
      <w:pPr/>
      <w:r>
        <w:t>This setting is particularly useful in biomedical informatics because labels inside a clinical layer need not be exchangeable. Influenza vaccination and pneumococcal vaccination, for example, are separately defined clinical objects in current oncology vaccination guidance.[14] A layer-wise count can therefore be adequate for one operation and inadequate for another. The present article does not claim a new ternary logic, a new theorem of functional dependence, or a universally best abstraction. It asks a bounded question: within one declared representation chain, what is the largest index from which each specified operation can still be recovered exactly?</w:t>
      </w:r>
    </w:p>
    <w:p>
      <w:pPr>
        <w:pStyle w:val="Heading1"/>
      </w:pPr>
      <w:r>
        <w:t>OBJECTIVE</w:t>
      </w:r>
    </w:p>
    <w:p>
      <w:pPr/>
      <w:r>
        <w:t>The objective was to define a verifiable, operation-specific resolution frontier for a declared four-level representation chain and to determine that frontier for selected operations in two independently constituted domains: infection prophylaxis and vaccination in immunosuppressed adults, and integrity controls for an AI system. A secondary objective was to preserve compatibility with architectures in which cells are connected by explicitly specified interfaces, without making any cell composition mandatory.</w:t>
      </w:r>
    </w:p>
    <w:p>
      <w:pPr>
        <w:pStyle w:val="Heading1"/>
      </w:pPr>
      <w:r>
        <w:t>MATERIALS AND METHODS</w:t>
      </w:r>
    </w:p>
    <w:p>
      <w:pPr>
        <w:pStyle w:val="Heading2"/>
      </w:pPr>
      <w:r>
        <w:t>Formal setting</w:t>
      </w:r>
    </w:p>
    <w:p>
      <w:pPr/>
      <w:r>
        <w:t>Let Σ = {0,1,U}. Let D</w:t>
      </w:r>
      <w:r>
        <w:rPr>
          <w:vertAlign w:val="subscript"/>
        </w:rPr>
        <w:t>c</w:t>
      </w:r>
      <w:r>
        <w:t xml:space="preserve"> be a previously specified domain, I a finite labeled parameter set, and C: D</w:t>
      </w:r>
      <w:r>
        <w:rPr>
          <w:vertAlign w:val="subscript"/>
        </w:rPr>
        <w:t>c</w:t>
      </w:r>
      <w:r>
        <w:t xml:space="preserve"> → Σ</w:t>
      </w:r>
      <w:r>
        <w:rPr>
          <w:vertAlign w:val="superscript"/>
        </w:rPr>
        <w:t>I</w:t>
      </w:r>
      <w:r>
        <w:t xml:space="preserve"> a deterministic cell map. The realized state space is X = C(D</w:t>
      </w:r>
      <w:r>
        <w:rPr>
          <w:vertAlign w:val="subscript"/>
        </w:rPr>
        <w:t>c</w:t>
      </w:r>
      <w:r>
        <w:t>) ⊆ Σ</w:t>
      </w:r>
      <w:r>
        <w:rPr>
          <w:vertAlign w:val="superscript"/>
        </w:rPr>
        <w:t>I</w:t>
      </w:r>
      <w:r>
        <w:t>. Here, constituted means that the parameter semantics and the rule regions used to produce ternary values were fixed before the present frontier analysis. Results are proved on X rather than on the ambient space Σ</w:t>
      </w:r>
      <w:r>
        <w:rPr>
          <w:vertAlign w:val="superscript"/>
        </w:rPr>
        <w:t>I</w:t>
      </w:r>
      <w:r>
        <w:t>; therefore every separating pair used below must be realizable under the declared domain rules. The symbols 0, 1, and U are atomic ternary values. The U witness used in the main results is produced by an observed condition in a published IMMUNO-1 rule region; no main witness uses an absent or pending input as its U witness.</w:t>
      </w:r>
    </w:p>
    <w:p>
      <w:pPr/>
      <w:r>
        <w:t>For the square stratifications used in the two realizations, n = b² and I is partitioned into labeled layers I₁,…,I</w:t>
      </w:r>
      <w:r>
        <w:rPr>
          <w:vertAlign w:val="subscript"/>
        </w:rPr>
        <w:t>b</w:t>
      </w:r>
      <w:r>
        <w:t>, each containing b parameters. This layer partition is declared domain structure; it is not inferred from n=b². No permutation symmetry or exchangeability within a layer is assumed. For a state v ∈ X and layer I</w:t>
      </w:r>
      <w:r>
        <w:rPr>
          <w:vertAlign w:val="subscript"/>
        </w:rPr>
        <w:t>j</w:t>
      </w:r>
      <w:r>
        <w:t>, let n</w:t>
      </w:r>
      <w:r>
        <w:rPr>
          <w:vertAlign w:val="subscript"/>
        </w:rPr>
        <w:t>0,j</w:t>
      </w:r>
      <w:r>
        <w:t>(v), n</w:t>
      </w:r>
      <w:r>
        <w:rPr>
          <w:vertAlign w:val="subscript"/>
        </w:rPr>
        <w:t>1,j</w:t>
      </w:r>
      <w:r>
        <w:t>(v), and n</w:t>
      </w:r>
      <w:r>
        <w:rPr>
          <w:vertAlign w:val="subscript"/>
        </w:rPr>
        <w:t>U,j</w:t>
      </w:r>
      <w:r>
        <w:t>(v) denote the numbers of 0, 1, and U values in that layer. Global counts n₀(v), n₁(v), and n</w:t>
      </w:r>
      <w:r>
        <w:rPr>
          <w:vertAlign w:val="subscript"/>
        </w:rPr>
        <w:t>U</w:t>
      </w:r>
      <w:r>
        <w:t>(v) are defined analogously. For any positive integer r, define A</w:t>
      </w:r>
      <w:r>
        <w:rPr>
          <w:vertAlign w:val="subscript"/>
        </w:rPr>
        <w:t>r</w:t>
      </w:r>
      <w:r>
        <w:t xml:space="preserve"> as the set of non-negative integer triples (a₀,a₁,a</w:t>
      </w:r>
      <w:r>
        <w:rPr>
          <w:vertAlign w:val="subscript"/>
        </w:rPr>
        <w:t>U</w:t>
      </w:r>
      <w:r>
        <w:t>) whose components sum to r.</w:t>
      </w:r>
    </w:p>
    <w:p>
      <w:pPr/>
      <w:r>
        <w:t>We use four representation levels and order their indices, solely within this chain, as 0&lt;1&lt;2&lt;3. F₀: X → X is the identity. F₁: X → A</w:t>
      </w:r>
      <w:r>
        <w:rPr>
          <w:vertAlign w:val="subscript"/>
        </w:rPr>
        <w:t>b</w:t>
      </w:r>
      <w:r>
        <w:rPr>
          <w:vertAlign w:val="superscript"/>
        </w:rPr>
        <w:t>b</w:t>
      </w:r>
      <w:r>
        <w:t xml:space="preserve"> returns the ordered list of ternary count triples for the declared layers. F₂: X → A</w:t>
      </w:r>
      <w:r>
        <w:rPr>
          <w:vertAlign w:val="subscript"/>
        </w:rPr>
        <w:t>n</w:t>
      </w:r>
      <w:r>
        <w:t xml:space="preserve"> returns the global ternary count triple. For each realization, let K</w:t>
      </w:r>
      <w:r>
        <w:rPr>
          <w:vertAlign w:val="subscript"/>
        </w:rPr>
        <w:t>D</w:t>
      </w:r>
      <w:r>
        <w:t xml:space="preserve"> denote its declared terminal codomain and c</w:t>
      </w:r>
      <w:r>
        <w:rPr>
          <w:vertAlign w:val="subscript"/>
        </w:rPr>
        <w:t>D</w:t>
      </w:r>
      <w:r>
        <w:t>: X → K</w:t>
      </w:r>
      <w:r>
        <w:rPr>
          <w:vertAlign w:val="subscript"/>
        </w:rPr>
        <w:t>D</w:t>
      </w:r>
      <w:r>
        <w:t xml:space="preserve"> its threshold classifier; we set F₃=c</w:t>
      </w:r>
      <w:r>
        <w:rPr>
          <w:vertAlign w:val="subscript"/>
        </w:rPr>
        <w:t>D</w:t>
      </w:r>
      <w:r>
        <w:t>. The published IMMUNO-1 terminal labels are APTO, NO_APTO, and INDETERMINADO, whereas the integrity realization uses NORMAL, INTRUSION, and INDETERMINATE. These terminal labels are not elements of Σ. F₂ is obtained from F₁ by component-wise summation, and F₃ is a deterministic function of F₂. Thus there are deterministic aggregation maps r</w:t>
      </w:r>
      <w:r>
        <w:rPr>
          <w:vertAlign w:val="subscript"/>
        </w:rPr>
        <w:t>j</w:t>
      </w:r>
      <w:r>
        <w:t xml:space="preserve"> such that F</w:t>
      </w:r>
      <w:r>
        <w:rPr>
          <w:vertAlign w:val="subscript"/>
        </w:rPr>
        <w:t>j+1</w:t>
      </w:r>
      <w:r>
        <w:t xml:space="preserve"> = r</w:t>
      </w:r>
      <w:r>
        <w:rPr>
          <w:vertAlign w:val="subscript"/>
        </w:rPr>
        <w:t>j</w:t>
      </w:r>
      <w:r>
        <w:t xml:space="preserve"> ∘ F</w:t>
      </w:r>
      <w:r>
        <w:rPr>
          <w:vertAlign w:val="subscript"/>
        </w:rPr>
        <w:t>j</w:t>
      </w:r>
      <w:r>
        <w:t xml:space="preserve"> for j=0,1,2. The order of the layers is retained by F₁; within-layer coordinate identity is not.</w:t>
      </w:r>
    </w:p>
    <w:p>
      <w:pPr>
        <w:pStyle w:val="Heading2"/>
      </w:pPr>
      <w:r>
        <w:t>Exact functional recoverability and frontier</w:t>
      </w:r>
    </w:p>
    <w:p>
      <w:pPr/>
      <w:r>
        <w:t>For an operation Q: X → Y, exact functional recoverability from level j means that an explicit map q</w:t>
      </w:r>
      <w:r>
        <w:rPr>
          <w:vertAlign w:val="subscript"/>
        </w:rPr>
        <w:t>j</w:t>
      </w:r>
      <w:r>
        <w:t>: F</w:t>
      </w:r>
      <w:r>
        <w:rPr>
          <w:vertAlign w:val="subscript"/>
        </w:rPr>
        <w:t>j</w:t>
      </w:r>
      <w:r>
        <w:t>(X) → Y exists such that Q = q</w:t>
      </w:r>
      <w:r>
        <w:rPr>
          <w:vertAlign w:val="subscript"/>
        </w:rPr>
        <w:t>j</w:t>
      </w:r>
      <w:r>
        <w:t xml:space="preserve"> ∘ F</w:t>
      </w:r>
      <w:r>
        <w:rPr>
          <w:vertAlign w:val="subscript"/>
        </w:rPr>
        <w:t>j</w:t>
      </w:r>
      <w:r>
        <w:t>. Throughout this article, resolution in resolution frontier means representational resolution, not the SV operation that resolves a ternary U value. Recoverability is a mathematical factorization property and does not assert the availability of a software runtime implementing Q. For the declared chain ℱ=(F₀,F₁,F₂,F₃), the frontier is defined as:</w:t>
      </w:r>
    </w:p>
    <w:p>
      <w:pPr>
        <w:pStyle w:val="EquationDisplay"/>
      </w:pPr>
      <w:r>
        <w:t>Q = q</w:t>
      </w:r>
      <w:r>
        <w:rPr>
          <w:vertAlign w:val="subscript"/>
        </w:rPr>
        <w:t>j</w:t>
      </w:r>
      <w:r>
        <w:t xml:space="preserve"> ∘ F</w:t>
      </w:r>
      <w:r>
        <w:rPr>
          <w:vertAlign w:val="subscript"/>
        </w:rPr>
        <w:t>j</w:t>
      </w:r>
    </w:p>
    <w:p>
      <w:pPr>
        <w:pStyle w:val="EquationDisplay"/>
      </w:pPr>
      <w:r>
        <w:t>ℓ(X,ℱ;Q) = max { j ∈ {0,1,2,3} : Q = q</w:t>
      </w:r>
      <w:r>
        <w:rPr>
          <w:vertAlign w:val="subscript"/>
        </w:rPr>
        <w:t>j</w:t>
      </w:r>
      <w:r>
        <w:t xml:space="preserve"> ∘ F</w:t>
      </w:r>
      <w:r>
        <w:rPr>
          <w:vertAlign w:val="subscript"/>
        </w:rPr>
        <w:t>j</w:t>
      </w:r>
      <w:r>
        <w:t xml:space="preserve"> for some q</w:t>
      </w:r>
      <w:r>
        <w:rPr>
          <w:vertAlign w:val="subscript"/>
        </w:rPr>
        <w:t>j</w:t>
      </w:r>
      <w:r>
        <w:t xml:space="preserve"> }</w:t>
      </w:r>
    </w:p>
    <w:p>
      <w:pPr>
        <w:pStyle w:val="Heading2"/>
      </w:pPr>
      <w:r>
        <w:t>Chain monotonicity and boundary verification</w:t>
      </w:r>
    </w:p>
    <w:p>
      <w:pPr/>
      <w:r>
        <w:t>Because F</w:t>
      </w:r>
      <w:r>
        <w:rPr>
          <w:vertAlign w:val="subscript"/>
        </w:rPr>
        <w:t>j+1</w:t>
      </w:r>
      <w:r>
        <w:t xml:space="preserve"> = r</w:t>
      </w:r>
      <w:r>
        <w:rPr>
          <w:vertAlign w:val="subscript"/>
        </w:rPr>
        <w:t>j</w:t>
      </w:r>
      <w:r>
        <w:t xml:space="preserve"> ∘ F</w:t>
      </w:r>
      <w:r>
        <w:rPr>
          <w:vertAlign w:val="subscript"/>
        </w:rPr>
        <w:t>j</w:t>
      </w:r>
      <w:r>
        <w:t>, recoverability from level j+1 implies recoverability from level j. Since F₀ is the identity on X, the set of recoverable levels is a nonempty initial segment {0,…,ℓ}; hence the maximum in the definition exists and is unique within the declared chain. For j&lt;3, a boundary verification consists of q</w:t>
      </w:r>
      <w:r>
        <w:rPr>
          <w:vertAlign w:val="subscript"/>
        </w:rPr>
        <w:t>j</w:t>
      </w:r>
      <w:r>
        <w:t xml:space="preserve"> and two states x,y∈X such that F</w:t>
      </w:r>
      <w:r>
        <w:rPr>
          <w:vertAlign w:val="subscript"/>
        </w:rPr>
        <w:t>j+1</w:t>
      </w:r>
      <w:r>
        <w:t>(x)=F</w:t>
      </w:r>
      <w:r>
        <w:rPr>
          <w:vertAlign w:val="subscript"/>
        </w:rPr>
        <w:t>j+1</w:t>
      </w:r>
      <w:r>
        <w:t>(y) but Q(x)≠Q(y). If Q factored through F</w:t>
      </w:r>
      <w:r>
        <w:rPr>
          <w:vertAlign w:val="subscript"/>
        </w:rPr>
        <w:t>j+1</w:t>
      </w:r>
      <w:r>
        <w:t>, equality of F</w:t>
      </w:r>
      <w:r>
        <w:rPr>
          <w:vertAlign w:val="subscript"/>
        </w:rPr>
        <w:t>j+1</w:t>
      </w:r>
      <w:r>
        <w:t xml:space="preserve"> on x and y would force equality of Q, a contradiction. The recovery map and separating pair therefore establish the frontier. For j=3, the recovery map alone suffices because no later level exists. This is an elementary verification device, not a novelty claim for functional dependence.</w:t>
      </w:r>
    </w:p>
    <w:p>
      <w:pPr/>
      <w:r>
        <w:t>For a finite family of operations 𝒬={Q₁,…,Q</w:t>
      </w:r>
      <w:r>
        <w:rPr>
          <w:vertAlign w:val="subscript"/>
        </w:rPr>
        <w:t>r</w:t>
      </w:r>
      <w:r>
        <w:t>}, we record the abbreviated profile Λ</w:t>
      </w:r>
      <w:r>
        <w:rPr>
          <w:vertAlign w:val="subscript"/>
        </w:rPr>
        <w:t>X</w:t>
      </w:r>
      <w:r>
        <w:t>(𝒬)=(ℓ</w:t>
      </w:r>
      <w:r>
        <w:rPr>
          <w:vertAlign w:val="subscript"/>
        </w:rPr>
        <w:t>X</w:t>
      </w:r>
      <w:r>
        <w:t>(Q₁),…,ℓ</w:t>
      </w:r>
      <w:r>
        <w:rPr>
          <w:vertAlign w:val="subscript"/>
        </w:rPr>
        <w:t>X</w:t>
      </w:r>
      <w:r>
        <w:t>(Q</w:t>
      </w:r>
      <w:r>
        <w:rPr>
          <w:vertAlign w:val="subscript"/>
        </w:rPr>
        <w:t>r</w:t>
      </w:r>
      <w:r>
        <w:t>)), where ℓ</w:t>
      </w:r>
      <w:r>
        <w:rPr>
          <w:vertAlign w:val="subscript"/>
        </w:rPr>
        <w:t>X</w:t>
      </w:r>
      <w:r>
        <w:t>(Q) denotes ℓ(X,ℱ;Q) when the chain ℱ is fixed. The profile is only a summary for the chosen operations, realized state space, and declared chain; it is not a clinical or integrity state and is not asserted to be invariant under changes to the domain or representation chain.</w:t>
      </w:r>
    </w:p>
    <w:p>
      <w:pPr>
        <w:pStyle w:val="Heading2"/>
      </w:pPr>
      <w:r>
        <w:t>SVperitus–IMMUNO-1 realization</w:t>
      </w:r>
    </w:p>
    <w:p>
      <w:pPr/>
      <w:r>
        <w:t>The first realization uses the previously specified SVperitus–IMMUNO-1 (IMMUNO-1) cell, published on 5 March 2026.[8] In the published notation, SV(25,5) denotes a 25-parameter cell arranged in five declared layers of five labeled parameters each. Its domain is infection prophylaxis and vaccination in adults with hematologic malignancies and immunosuppression. The five layers are baseline immune status (P01-P05), malignancy and treatment (P06-P10), infectious history (P11-P15), vaccination status (P16-P20), and prophylaxis/follow-up (P21-P25). The complete P01-P25 dictionary and the rule regions used in this study are reproduced in Supplementary Table S1, so the witness construction can be read without consulting the source publication. The terminal threshold is T=19. The source construction was designed as a theoretical and technical demonstrator and has not been validated in a patient cohort. Current oncology and infectious-disease guidance separately addresses vaccination and antimicrobial prophylaxis in this population.[14,15]</w:t>
      </w:r>
    </w:p>
    <w:p>
      <w:pPr/>
      <w:r>
        <w:t>All IMMUNO-1 states used here are established by direct substitution into published rule regions; software execution is not used as evidence for the frontier claims. Supplementary Table S1 gives a jointly compatible baseline assignment and the substitutions used by the five nonbaseline witnesses, Supplementary Note S1 audits the cross-coordinate conditions relevant to joint realizability, and Supplementary Table S2 lists the resulting 25-coordinate states. The only U used in the main results is P02=U for an observed CD4 count of 350 cells/µL, which lies in the published 200-499 rule region. This is a rule-constituted ternary value under the published IMMUNO-1 specification; the present study does not re-establish later operational certification conditions for non-closure.</w:t>
      </w:r>
    </w:p>
    <w:p>
      <w:pPr>
        <w:pStyle w:val="Heading2"/>
      </w:pPr>
      <w:r>
        <w:t>AI system integrity realization</w:t>
      </w:r>
    </w:p>
    <w:p>
      <w:pPr/>
      <w:r>
        <w:t>The second realization uses a separately published SV(9,3) integrity cell.[9] Its three declared layers are model integrity (M1-M3: weight integrity, dataset provenance, access control), operational security (M4-M6: adversarial tests, telemetry, environment isolation), and oversight/software supply chain (M7-M9: immutable logging, human oversight, supply-chain integrity). The terminal threshold is T=7. Under the published integrity specification, a present Boolean True value maps to 0 (verified and conformant) and False maps to 1 (compromised). All witness states used here contain all nine Boolean inputs; no U input is required. Supplementary Table S3 gives the full dictionary and witness states.</w:t>
      </w:r>
    </w:p>
    <w:p>
      <w:pPr>
        <w:pStyle w:val="Heading2"/>
      </w:pPr>
      <w:r>
        <w:t>Cell locality and interfaces</w:t>
      </w:r>
    </w:p>
    <w:p>
      <w:pPr/>
      <w:r>
        <w:t>The frontier construction is local to one cell and one specified representation chain. A connector between cells is a separate typed map with its own declared input and output.[16] If an interface further transforms a source representation F</w:t>
      </w:r>
      <w:r>
        <w:rPr>
          <w:vertAlign w:val="subscript"/>
        </w:rPr>
        <w:t>j</w:t>
      </w:r>
      <w:r>
        <w:t xml:space="preserve"> by a map φ, the downstream component receives H=φ∘F</w:t>
      </w:r>
      <w:r>
        <w:rPr>
          <w:vertAlign w:val="subscript"/>
        </w:rPr>
        <w:t>j</w:t>
      </w:r>
      <w:r>
        <w:t>; an exact downstream recovery claim must therefore factor through H, unless additional side information is explicitly declared. The present results do not impose a universal cell topology. They apply to a local cell and its declared representation chain, while any interface consequence is relative to the information actually transmitted.</w:t>
      </w:r>
    </w:p>
    <w:p>
      <w:pPr>
        <w:spacing w:line="240" w:lineRule="auto" w:before="160" w:after="60"/>
      </w:pPr>
      <w:r>
        <w:rPr>
          <w:rFonts w:ascii="Times New Roman" w:hAnsi="Times New Roman"/>
          <w:b/>
          <w:sz w:val="20"/>
        </w:rPr>
        <w:t>Table 1. Declared representation levels in the four-level chain.</w:t>
      </w:r>
    </w:p>
    <w:tbl>
      <w:tblPr>
        <w:tblStyle w:val="TableGrid"/>
        <w:tblW w:type="auto" w:w="0"/>
        <w:jc w:val="center"/>
        <w:tblLook w:firstColumn="1" w:firstRow="1" w:lastColumn="0" w:lastRow="0" w:noHBand="0" w:noVBand="1" w:val="04A0"/>
      </w:tblPr>
      <w:tblGrid>
        <w:gridCol w:w="2257"/>
        <w:gridCol w:w="2257"/>
        <w:gridCol w:w="2257"/>
        <w:gridCol w:w="2257"/>
      </w:tblGrid>
      <w:tr>
        <w:trPr>
          <w:tblHeader w:val="true"/>
          <w:cantSplit/>
        </w:trPr>
        <w:tc>
          <w:tcPr>
            <w:tcW w:type="dxa" w:w="648"/>
            <w:shd w:fill="D9EAF7"/>
            <w:tcMar>
              <w:top w:w="70" w:type="dxa"/>
              <w:start w:w="90" w:type="dxa"/>
              <w:bottom w:w="70" w:type="dxa"/>
              <w:end w:w="90" w:type="dxa"/>
            </w:tcMar>
            <w:vAlign w:val="center"/>
          </w:tcPr>
          <w:p>
            <w:pPr>
              <w:pStyle w:val="TableHead"/>
            </w:pPr>
            <w:r>
              <w:t>Level</w:t>
            </w:r>
          </w:p>
        </w:tc>
        <w:tc>
          <w:tcPr>
            <w:tcW w:type="dxa" w:w="3240"/>
            <w:shd w:fill="D9EAF7"/>
            <w:tcMar>
              <w:top w:w="70" w:type="dxa"/>
              <w:start w:w="90" w:type="dxa"/>
              <w:bottom w:w="70" w:type="dxa"/>
              <w:end w:w="90" w:type="dxa"/>
            </w:tcMar>
            <w:vAlign w:val="center"/>
          </w:tcPr>
          <w:p>
            <w:pPr>
              <w:pStyle w:val="TableHead"/>
            </w:pPr>
            <w:r>
              <w:t>Map and output</w:t>
            </w:r>
          </w:p>
        </w:tc>
        <w:tc>
          <w:tcPr>
            <w:tcW w:type="dxa" w:w="3096"/>
            <w:shd w:fill="D9EAF7"/>
            <w:tcMar>
              <w:top w:w="70" w:type="dxa"/>
              <w:start w:w="90" w:type="dxa"/>
              <w:bottom w:w="70" w:type="dxa"/>
              <w:end w:w="90" w:type="dxa"/>
            </w:tcMar>
            <w:vAlign w:val="center"/>
          </w:tcPr>
          <w:p>
            <w:pPr>
              <w:pStyle w:val="TableHead"/>
            </w:pPr>
            <w:r>
              <w:t>Retained distinctions</w:t>
            </w:r>
          </w:p>
        </w:tc>
        <w:tc>
          <w:tcPr>
            <w:tcW w:type="dxa" w:w="3168"/>
            <w:shd w:fill="D9EAF7"/>
            <w:tcMar>
              <w:top w:w="70" w:type="dxa"/>
              <w:start w:w="90" w:type="dxa"/>
              <w:bottom w:w="70" w:type="dxa"/>
              <w:end w:w="90" w:type="dxa"/>
            </w:tcMar>
            <w:vAlign w:val="center"/>
          </w:tcPr>
          <w:p>
            <w:pPr>
              <w:pStyle w:val="TableHead"/>
            </w:pPr>
            <w:r>
              <w:t>Information removed relative to the preceding level</w:t>
            </w:r>
          </w:p>
        </w:tc>
      </w:tr>
      <w:tr>
        <w:trPr>
          <w:cantSplit/>
        </w:trPr>
        <w:tc>
          <w:tcPr>
            <w:tcW w:type="dxa" w:w="648"/>
            <w:tcMar>
              <w:top w:w="70" w:type="dxa"/>
              <w:start w:w="90" w:type="dxa"/>
              <w:bottom w:w="70" w:type="dxa"/>
              <w:end w:w="90" w:type="dxa"/>
            </w:tcMar>
            <w:vAlign w:val="top"/>
          </w:tcPr>
          <w:p>
            <w:pPr>
              <w:pStyle w:val="TableText"/>
            </w:pPr>
            <w:r>
              <w:t>0</w:t>
            </w:r>
          </w:p>
        </w:tc>
        <w:tc>
          <w:tcPr>
            <w:tcW w:type="dxa" w:w="3240"/>
            <w:tcMar>
              <w:top w:w="70" w:type="dxa"/>
              <w:start w:w="90" w:type="dxa"/>
              <w:bottom w:w="70" w:type="dxa"/>
              <w:end w:w="90" w:type="dxa"/>
            </w:tcMar>
            <w:vAlign w:val="top"/>
          </w:tcPr>
          <w:p>
            <w:pPr>
              <w:pStyle w:val="TableText"/>
            </w:pPr>
            <w:r>
              <w:t>F₀(v)=v; labeled state in X</w:t>
            </w:r>
          </w:p>
        </w:tc>
        <w:tc>
          <w:tcPr>
            <w:tcW w:type="dxa" w:w="3096"/>
            <w:tcMar>
              <w:top w:w="70" w:type="dxa"/>
              <w:start w:w="90" w:type="dxa"/>
              <w:bottom w:w="70" w:type="dxa"/>
              <w:end w:w="90" w:type="dxa"/>
            </w:tcMar>
            <w:vAlign w:val="top"/>
          </w:tcPr>
          <w:p>
            <w:pPr>
              <w:pStyle w:val="TableText"/>
            </w:pPr>
            <w:r>
              <w:t>All coordinate labels and ternary values</w:t>
            </w:r>
          </w:p>
        </w:tc>
        <w:tc>
          <w:tcPr>
            <w:tcW w:type="dxa" w:w="3168"/>
            <w:tcMar>
              <w:top w:w="70" w:type="dxa"/>
              <w:start w:w="90" w:type="dxa"/>
              <w:bottom w:w="70" w:type="dxa"/>
              <w:end w:w="90" w:type="dxa"/>
            </w:tcMar>
            <w:vAlign w:val="top"/>
          </w:tcPr>
          <w:p>
            <w:pPr>
              <w:pStyle w:val="TableText"/>
            </w:pPr>
            <w:r>
              <w:t>None</w:t>
            </w:r>
          </w:p>
        </w:tc>
      </w:tr>
      <w:tr>
        <w:trPr>
          <w:cantSplit/>
        </w:trPr>
        <w:tc>
          <w:tcPr>
            <w:tcW w:type="dxa" w:w="648"/>
            <w:tcMar>
              <w:top w:w="70" w:type="dxa"/>
              <w:start w:w="90" w:type="dxa"/>
              <w:bottom w:w="70" w:type="dxa"/>
              <w:end w:w="90" w:type="dxa"/>
            </w:tcMar>
            <w:vAlign w:val="top"/>
          </w:tcPr>
          <w:p>
            <w:pPr>
              <w:pStyle w:val="TableText"/>
            </w:pPr>
            <w:r>
              <w:t>1</w:t>
            </w:r>
          </w:p>
        </w:tc>
        <w:tc>
          <w:tcPr>
            <w:tcW w:type="dxa" w:w="3240"/>
            <w:tcMar>
              <w:top w:w="70" w:type="dxa"/>
              <w:start w:w="90" w:type="dxa"/>
              <w:bottom w:w="70" w:type="dxa"/>
              <w:end w:w="90" w:type="dxa"/>
            </w:tcMar>
            <w:vAlign w:val="top"/>
          </w:tcPr>
          <w:p>
            <w:pPr>
              <w:pStyle w:val="TableText"/>
            </w:pPr>
            <w:r>
              <w:t>F₁(v)=ordered layer-wise triples (n</w:t>
            </w:r>
            <w:r>
              <w:rPr>
                <w:vertAlign w:val="subscript"/>
              </w:rPr>
              <w:t>0,j</w:t>
            </w:r>
            <w:r>
              <w:t>,n</w:t>
            </w:r>
            <w:r>
              <w:rPr>
                <w:vertAlign w:val="subscript"/>
              </w:rPr>
              <w:t>1,j</w:t>
            </w:r>
            <w:r>
              <w:t>,n</w:t>
            </w:r>
            <w:r>
              <w:rPr>
                <w:vertAlign w:val="subscript"/>
              </w:rPr>
              <w:t>U,j</w:t>
            </w:r>
            <w:r>
              <w:t>)</w:t>
            </w:r>
          </w:p>
        </w:tc>
        <w:tc>
          <w:tcPr>
            <w:tcW w:type="dxa" w:w="3096"/>
            <w:tcMar>
              <w:top w:w="70" w:type="dxa"/>
              <w:start w:w="90" w:type="dxa"/>
              <w:bottom w:w="70" w:type="dxa"/>
              <w:end w:w="90" w:type="dxa"/>
            </w:tcMar>
            <w:vAlign w:val="top"/>
          </w:tcPr>
          <w:p>
            <w:pPr>
              <w:pStyle w:val="TableText"/>
            </w:pPr>
            <w:r>
              <w:t>Layer identity and ternary counts within each declared layer</w:t>
            </w:r>
          </w:p>
        </w:tc>
        <w:tc>
          <w:tcPr>
            <w:tcW w:type="dxa" w:w="3168"/>
            <w:tcMar>
              <w:top w:w="70" w:type="dxa"/>
              <w:start w:w="90" w:type="dxa"/>
              <w:bottom w:w="70" w:type="dxa"/>
              <w:end w:w="90" w:type="dxa"/>
            </w:tcMar>
            <w:vAlign w:val="top"/>
          </w:tcPr>
          <w:p>
            <w:pPr>
              <w:pStyle w:val="TableText"/>
            </w:pPr>
            <w:r>
              <w:t>Identity of coordinates within a layer</w:t>
            </w:r>
          </w:p>
        </w:tc>
      </w:tr>
      <w:tr>
        <w:trPr>
          <w:cantSplit/>
        </w:trPr>
        <w:tc>
          <w:tcPr>
            <w:tcW w:type="dxa" w:w="648"/>
            <w:tcMar>
              <w:top w:w="70" w:type="dxa"/>
              <w:start w:w="90" w:type="dxa"/>
              <w:bottom w:w="70" w:type="dxa"/>
              <w:end w:w="90" w:type="dxa"/>
            </w:tcMar>
            <w:vAlign w:val="top"/>
          </w:tcPr>
          <w:p>
            <w:pPr>
              <w:pStyle w:val="TableText"/>
            </w:pPr>
            <w:r>
              <w:t>2</w:t>
            </w:r>
          </w:p>
        </w:tc>
        <w:tc>
          <w:tcPr>
            <w:tcW w:type="dxa" w:w="3240"/>
            <w:tcMar>
              <w:top w:w="70" w:type="dxa"/>
              <w:start w:w="90" w:type="dxa"/>
              <w:bottom w:w="70" w:type="dxa"/>
              <w:end w:w="90" w:type="dxa"/>
            </w:tcMar>
            <w:vAlign w:val="top"/>
          </w:tcPr>
          <w:p>
            <w:pPr>
              <w:pStyle w:val="TableText"/>
            </w:pPr>
            <w:r>
              <w:t>F₂(v)=(n₀,n₁,n</w:t>
            </w:r>
            <w:r>
              <w:rPr>
                <w:vertAlign w:val="subscript"/>
              </w:rPr>
              <w:t>U</w:t>
            </w:r>
            <w:r>
              <w:t>)</w:t>
            </w:r>
          </w:p>
        </w:tc>
        <w:tc>
          <w:tcPr>
            <w:tcW w:type="dxa" w:w="3096"/>
            <w:tcMar>
              <w:top w:w="70" w:type="dxa"/>
              <w:start w:w="90" w:type="dxa"/>
              <w:bottom w:w="70" w:type="dxa"/>
              <w:end w:w="90" w:type="dxa"/>
            </w:tcMar>
            <w:vAlign w:val="top"/>
          </w:tcPr>
          <w:p>
            <w:pPr>
              <w:pStyle w:val="TableText"/>
            </w:pPr>
            <w:r>
              <w:t>Global ternary counts</w:t>
            </w:r>
          </w:p>
        </w:tc>
        <w:tc>
          <w:tcPr>
            <w:tcW w:type="dxa" w:w="3168"/>
            <w:tcMar>
              <w:top w:w="70" w:type="dxa"/>
              <w:start w:w="90" w:type="dxa"/>
              <w:bottom w:w="70" w:type="dxa"/>
              <w:end w:w="90" w:type="dxa"/>
            </w:tcMar>
            <w:vAlign w:val="top"/>
          </w:tcPr>
          <w:p>
            <w:pPr>
              <w:pStyle w:val="TableText"/>
            </w:pPr>
            <w:r>
              <w:t>Layer location</w:t>
            </w:r>
          </w:p>
        </w:tc>
      </w:tr>
      <w:tr>
        <w:trPr>
          <w:cantSplit/>
        </w:trPr>
        <w:tc>
          <w:tcPr>
            <w:tcW w:type="dxa" w:w="648"/>
            <w:tcMar>
              <w:top w:w="70" w:type="dxa"/>
              <w:start w:w="90" w:type="dxa"/>
              <w:bottom w:w="70" w:type="dxa"/>
              <w:end w:w="90" w:type="dxa"/>
            </w:tcMar>
            <w:vAlign w:val="top"/>
          </w:tcPr>
          <w:p>
            <w:pPr>
              <w:pStyle w:val="TableText"/>
            </w:pPr>
            <w:r>
              <w:t>3</w:t>
            </w:r>
          </w:p>
        </w:tc>
        <w:tc>
          <w:tcPr>
            <w:tcW w:type="dxa" w:w="3240"/>
            <w:tcMar>
              <w:top w:w="70" w:type="dxa"/>
              <w:start w:w="90" w:type="dxa"/>
              <w:bottom w:w="70" w:type="dxa"/>
              <w:end w:w="90" w:type="dxa"/>
            </w:tcMar>
            <w:vAlign w:val="top"/>
          </w:tcPr>
          <w:p>
            <w:pPr>
              <w:pStyle w:val="TableText"/>
            </w:pPr>
            <w:r>
              <w:t>F₃(v)=terminal threshold class</w:t>
            </w:r>
          </w:p>
        </w:tc>
        <w:tc>
          <w:tcPr>
            <w:tcW w:type="dxa" w:w="3096"/>
            <w:tcMar>
              <w:top w:w="70" w:type="dxa"/>
              <w:start w:w="90" w:type="dxa"/>
              <w:bottom w:w="70" w:type="dxa"/>
              <w:end w:w="90" w:type="dxa"/>
            </w:tcMar>
            <w:vAlign w:val="top"/>
          </w:tcPr>
          <w:p>
            <w:pPr>
              <w:pStyle w:val="TableText"/>
            </w:pPr>
            <w:r>
              <w:t>Only the declared terminal class</w:t>
            </w:r>
          </w:p>
        </w:tc>
        <w:tc>
          <w:tcPr>
            <w:tcW w:type="dxa" w:w="3168"/>
            <w:tcMar>
              <w:top w:w="70" w:type="dxa"/>
              <w:start w:w="90" w:type="dxa"/>
              <w:bottom w:w="70" w:type="dxa"/>
              <w:end w:w="90" w:type="dxa"/>
            </w:tcMar>
            <w:vAlign w:val="top"/>
          </w:tcPr>
          <w:p>
            <w:pPr>
              <w:pStyle w:val="TableText"/>
            </w:pPr>
            <w:r>
              <w:t>Exact global counts</w:t>
            </w:r>
          </w:p>
        </w:tc>
      </w:tr>
    </w:tbl>
    <w:p>
      <w:pPr>
        <w:pStyle w:val="TableText"/>
      </w:pPr>
      <w:r>
        <w:t>The index order 0&lt;1&lt;2&lt;3 is local to this declared chain. It is not a universal ordering of all possible representations.</w:t>
      </w:r>
    </w:p>
    <w:p>
      <w:pPr>
        <w:pStyle w:val="Heading1"/>
      </w:pPr>
      <w:r>
        <w:t>RESULTS</w:t>
      </w:r>
    </w:p>
    <w:p>
      <w:pPr>
        <w:pStyle w:val="Heading2"/>
      </w:pPr>
      <w:r>
        <w:t>Immunology frontiers</w:t>
      </w:r>
    </w:p>
    <w:p>
      <w:pPr/>
      <w:r>
        <w:t>Four operations were evaluated on the IMMUNO-1 realized state space (Table 2). First, Q</w:t>
      </w:r>
      <w:r>
        <w:rPr>
          <w:vertAlign w:val="subscript"/>
        </w:rPr>
        <w:t>vac</w:t>
      </w:r>
      <w:r>
        <w:t>(v)=(v(P16),…,v(P20)) returns the labeled five-parameter vaccination state. It is recovered from F₀ by coordinate projection. For the boundary pair, x</w:t>
      </w:r>
      <w:r>
        <w:rPr>
          <w:vertAlign w:val="subscript"/>
        </w:rPr>
        <w:t>vac</w:t>
      </w:r>
      <w:r>
        <w:t xml:space="preserve"> has P16=1, P17=P18=P19=0, and P20=1; y</w:t>
      </w:r>
      <w:r>
        <w:rPr>
          <w:vertAlign w:val="subscript"/>
        </w:rPr>
        <w:t>vac</w:t>
      </w:r>
      <w:r>
        <w:t xml:space="preserve"> has P16=0, P17=1, P18=P19=0, and the same P20=1. In both states, P20=1 is generated by the same independent rule condition: administration of a live vaccine under an active contraindication. All other coordinates satisfy the common 0-regions. Both vaccination layers therefore have counts (3,2,0), and the remaining layers are identical, so F₁(x</w:t>
      </w:r>
      <w:r>
        <w:rPr>
          <w:vertAlign w:val="subscript"/>
        </w:rPr>
        <w:t>vac</w:t>
      </w:r>
      <w:r>
        <w:t>)=F₁(y</w:t>
      </w:r>
      <w:r>
        <w:rPr>
          <w:vertAlign w:val="subscript"/>
        </w:rPr>
        <w:t>vac</w:t>
      </w:r>
      <w:r>
        <w:t>), while Q</w:t>
      </w:r>
      <w:r>
        <w:rPr>
          <w:vertAlign w:val="subscript"/>
        </w:rPr>
        <w:t>vac</w:t>
      </w:r>
      <w:r>
        <w:t xml:space="preserve"> differs. Hence ℓ</w:t>
      </w:r>
      <w:r>
        <w:rPr>
          <w:vertAlign w:val="subscript"/>
        </w:rPr>
        <w:t>X</w:t>
      </w:r>
      <w:r>
        <w:t>(Q</w:t>
      </w:r>
      <w:r>
        <w:rPr>
          <w:vertAlign w:val="subscript"/>
        </w:rPr>
        <w:t>vac</w:t>
      </w:r>
      <w:r>
        <w:t>)=0.</w:t>
      </w:r>
    </w:p>
    <w:p>
      <w:pPr/>
      <w:r>
        <w:t>Second, Q</w:t>
      </w:r>
      <w:r>
        <w:rPr>
          <w:vertAlign w:val="subscript"/>
        </w:rPr>
        <w:t>loc</w:t>
      </w:r>
      <w:r>
        <w:t>(v) returns the set of declared layers containing at least one 1 or U. From F₁ it is recovered by selecting those layer indices whose second or third count is nonzero. One rule-realizable state has P02=1 from an observed CD4 count below 200 cells/µL, while P21 remains 0 through active and correct PJP prophylaxis and all other coordinates remain in 0-regions. The paired state has P25=1 because no explicit reevaluation plan is present, with every other coordinate in a 0-region. Both states have F₂=(24,1,0), but Q</w:t>
      </w:r>
      <w:r>
        <w:rPr>
          <w:vertAlign w:val="subscript"/>
        </w:rPr>
        <w:t>loc</w:t>
      </w:r>
      <w:r>
        <w:t xml:space="preserve"> returns {1} and {5}, respectively. Therefore ℓ</w:t>
      </w:r>
      <w:r>
        <w:rPr>
          <w:vertAlign w:val="subscript"/>
        </w:rPr>
        <w:t>X</w:t>
      </w:r>
      <w:r>
        <w:t>(Q</w:t>
      </w:r>
      <w:r>
        <w:rPr>
          <w:vertAlign w:val="subscript"/>
        </w:rPr>
        <w:t>loc</w:t>
      </w:r>
      <w:r>
        <w:t>)=1. Q</w:t>
      </w:r>
      <w:r>
        <w:rPr>
          <w:vertAlign w:val="subscript"/>
        </w:rPr>
        <w:t>loc</w:t>
      </w:r>
      <w:r>
        <w:t xml:space="preserve"> is a structural localization operation; it is not presented as a guideline-derived clinical action.</w:t>
      </w:r>
    </w:p>
    <w:p>
      <w:pPr/>
      <w:r>
        <w:t>Third, Q</w:t>
      </w:r>
      <w:r>
        <w:rPr>
          <w:vertAlign w:val="subscript"/>
        </w:rPr>
        <w:t>U</w:t>
      </w:r>
      <w:r>
        <w:t>(v)=n</w:t>
      </w:r>
      <w:r>
        <w:rPr>
          <w:vertAlign w:val="subscript"/>
        </w:rPr>
        <w:t>U</w:t>
      </w:r>
      <w:r>
        <w:t>(v) is recovered from the third coordinate of F₂. The reference state has F₂=(25,0,0), F₃=APTO, and Q</w:t>
      </w:r>
      <w:r>
        <w:rPr>
          <w:vertAlign w:val="subscript"/>
        </w:rPr>
        <w:t>U</w:t>
      </w:r>
      <w:r>
        <w:t>=0. A second rule-realizable state differs at the ternary level only at P02, where an observed CD4 count of 350 cells/µL yields U under the published rule; its global counts are (24,0,1). Because 24≥19, its terminal class is also APTO, but Q</w:t>
      </w:r>
      <w:r>
        <w:rPr>
          <w:vertAlign w:val="subscript"/>
        </w:rPr>
        <w:t>U</w:t>
      </w:r>
      <w:r>
        <w:t>=1. Thus ℓ</w:t>
      </w:r>
      <w:r>
        <w:rPr>
          <w:vertAlign w:val="subscript"/>
        </w:rPr>
        <w:t>X</w:t>
      </w:r>
      <w:r>
        <w:t>(Q</w:t>
      </w:r>
      <w:r>
        <w:rPr>
          <w:vertAlign w:val="subscript"/>
        </w:rPr>
        <w:t>U</w:t>
      </w:r>
      <w:r>
        <w:t>)=2. This witness does not equate U with missingness: the CD4 observation is present and the non-binary value is produced by the declared rule region. Finally, Q</w:t>
      </w:r>
      <w:r>
        <w:rPr>
          <w:vertAlign w:val="subscript"/>
        </w:rPr>
        <w:t>class</w:t>
      </w:r>
      <w:r>
        <w:t>=F₃ has frontier 3 by identity on the terminal representation. The selected operation family therefore constructively realizes Λ</w:t>
      </w:r>
      <w:r>
        <w:rPr>
          <w:vertAlign w:val="subscript"/>
        </w:rPr>
        <w:t>IMM</w:t>
      </w:r>
      <w:r>
        <w:t>=(0,1,2,3), relative only to this state space and chain.</w:t>
      </w:r>
    </w:p>
    <w:p>
      <w:pPr>
        <w:spacing w:line="240" w:lineRule="auto" w:before="160" w:after="60"/>
      </w:pPr>
      <w:r>
        <w:t>Table 2. Operation-specific frontiers in the SVperitus–IMMUNO-1 realization.</w:t>
      </w:r>
    </w:p>
    <w:tbl>
      <w:tblPr>
        <w:tblStyle w:val="TableGrid"/>
        <w:tblW w:type="auto" w:w="0"/>
        <w:jc w:val="center"/>
        <w:tblLook w:firstColumn="1" w:firstRow="1" w:lastColumn="0" w:lastRow="0" w:noHBand="0" w:noVBand="1" w:val="04A0"/>
      </w:tblPr>
      <w:tblGrid>
        <w:gridCol w:w="2257"/>
        <w:gridCol w:w="2257"/>
        <w:gridCol w:w="2257"/>
        <w:gridCol w:w="2257"/>
      </w:tblGrid>
      <w:tr>
        <w:trPr>
          <w:tblHeader w:val="true"/>
          <w:cantSplit/>
        </w:trPr>
        <w:tc>
          <w:tcPr>
            <w:tcW w:type="dxa" w:w="2232"/>
            <w:shd w:fill="E2F0D9"/>
            <w:tcMar>
              <w:top w:w="70" w:type="dxa"/>
              <w:start w:w="90" w:type="dxa"/>
              <w:bottom w:w="70" w:type="dxa"/>
              <w:end w:w="90" w:type="dxa"/>
            </w:tcMar>
            <w:vAlign w:val="center"/>
          </w:tcPr>
          <w:p>
            <w:pPr>
              <w:pStyle w:val="TableHead"/>
            </w:pPr>
            <w:r>
              <w:t>Operation</w:t>
            </w:r>
          </w:p>
        </w:tc>
        <w:tc>
          <w:tcPr>
            <w:tcW w:type="dxa" w:w="2520"/>
            <w:shd w:fill="E2F0D9"/>
            <w:tcMar>
              <w:top w:w="70" w:type="dxa"/>
              <w:start w:w="90" w:type="dxa"/>
              <w:bottom w:w="70" w:type="dxa"/>
              <w:end w:w="90" w:type="dxa"/>
            </w:tcMar>
            <w:vAlign w:val="center"/>
          </w:tcPr>
          <w:p>
            <w:pPr>
              <w:pStyle w:val="TableHead"/>
            </w:pPr>
            <w:r>
              <w:t>Exact reconstruction</w:t>
            </w:r>
          </w:p>
        </w:tc>
        <w:tc>
          <w:tcPr>
            <w:tcW w:type="dxa" w:w="4464"/>
            <w:shd w:fill="E2F0D9"/>
            <w:tcMar>
              <w:top w:w="70" w:type="dxa"/>
              <w:start w:w="90" w:type="dxa"/>
              <w:bottom w:w="70" w:type="dxa"/>
              <w:end w:w="90" w:type="dxa"/>
            </w:tcMar>
            <w:vAlign w:val="center"/>
          </w:tcPr>
          <w:p>
            <w:pPr>
              <w:pStyle w:val="TableHead"/>
            </w:pPr>
            <w:r>
              <w:t>Separating pair at the next level</w:t>
            </w:r>
          </w:p>
        </w:tc>
        <w:tc>
          <w:tcPr>
            <w:tcW w:type="dxa" w:w="792"/>
            <w:shd w:fill="E2F0D9"/>
            <w:tcMar>
              <w:top w:w="70" w:type="dxa"/>
              <w:start w:w="90" w:type="dxa"/>
              <w:bottom w:w="70" w:type="dxa"/>
              <w:end w:w="90" w:type="dxa"/>
            </w:tcMar>
            <w:vAlign w:val="center"/>
          </w:tcPr>
          <w:p>
            <w:pPr>
              <w:pStyle w:val="TableHead"/>
            </w:pPr>
            <w:r>
              <w:t>Frontier</w:t>
            </w:r>
          </w:p>
        </w:tc>
      </w:tr>
      <w:tr>
        <w:trPr>
          <w:cantSplit/>
        </w:trPr>
        <w:tc>
          <w:tcPr>
            <w:tcW w:type="dxa" w:w="2232"/>
            <w:tcMar>
              <w:top w:w="70" w:type="dxa"/>
              <w:start w:w="90" w:type="dxa"/>
              <w:bottom w:w="70" w:type="dxa"/>
              <w:end w:w="90" w:type="dxa"/>
            </w:tcMar>
            <w:vAlign w:val="top"/>
          </w:tcPr>
          <w:p>
            <w:pPr>
              <w:pStyle w:val="TableText"/>
            </w:pPr>
            <w:r>
              <w:t>Q</w:t>
            </w:r>
            <w:r>
              <w:rPr>
                <w:vertAlign w:val="subscript"/>
              </w:rPr>
              <w:t>vac</w:t>
            </w:r>
            <w:r>
              <w:t>=(P16,…,P20)</w:t>
            </w:r>
          </w:p>
        </w:tc>
        <w:tc>
          <w:tcPr>
            <w:tcW w:type="dxa" w:w="2520"/>
            <w:tcMar>
              <w:top w:w="70" w:type="dxa"/>
              <w:start w:w="90" w:type="dxa"/>
              <w:bottom w:w="70" w:type="dxa"/>
              <w:end w:w="90" w:type="dxa"/>
            </w:tcMar>
            <w:vAlign w:val="top"/>
          </w:tcPr>
          <w:p>
            <w:pPr>
              <w:pStyle w:val="TableText"/>
            </w:pPr>
            <w:r>
              <w:t>Projection from F₀</w:t>
            </w:r>
          </w:p>
        </w:tc>
        <w:tc>
          <w:tcPr>
            <w:tcW w:type="dxa" w:w="4464"/>
            <w:tcMar>
              <w:top w:w="70" w:type="dxa"/>
              <w:start w:w="90" w:type="dxa"/>
              <w:bottom w:w="70" w:type="dxa"/>
              <w:end w:w="90" w:type="dxa"/>
            </w:tcMar>
            <w:vAlign w:val="top"/>
          </w:tcPr>
          <w:p>
            <w:pPr>
              <w:pStyle w:val="TableText"/>
            </w:pPr>
            <w:r>
              <w:t>Same F₁; vaccination-layer counts (3,2,0), but labeled vectors (1,0,0,0,1) and (0,1,0,0,1)</w:t>
            </w:r>
          </w:p>
        </w:tc>
        <w:tc>
          <w:tcPr>
            <w:tcW w:type="dxa" w:w="792"/>
            <w:tcMar>
              <w:top w:w="70" w:type="dxa"/>
              <w:start w:w="90" w:type="dxa"/>
              <w:bottom w:w="70" w:type="dxa"/>
              <w:end w:w="90" w:type="dxa"/>
            </w:tcMar>
            <w:vAlign w:val="top"/>
          </w:tcPr>
          <w:p>
            <w:pPr>
              <w:pStyle w:val="TableText"/>
            </w:pPr>
            <w:r>
              <w:t>0</w:t>
            </w:r>
          </w:p>
        </w:tc>
      </w:tr>
      <w:tr>
        <w:trPr>
          <w:cantSplit/>
        </w:trPr>
        <w:tc>
          <w:tcPr>
            <w:tcW w:type="dxa" w:w="2232"/>
            <w:tcMar>
              <w:top w:w="70" w:type="dxa"/>
              <w:start w:w="90" w:type="dxa"/>
              <w:bottom w:w="70" w:type="dxa"/>
              <w:end w:w="90" w:type="dxa"/>
            </w:tcMar>
            <w:vAlign w:val="top"/>
          </w:tcPr>
          <w:p>
            <w:pPr>
              <w:pStyle w:val="TableText"/>
            </w:pPr>
            <w:r>
              <w:t>Q</w:t>
            </w:r>
            <w:r>
              <w:rPr>
                <w:vertAlign w:val="subscript"/>
              </w:rPr>
              <w:t>loc</w:t>
            </w:r>
            <w:r>
              <w:t>=layers containing 1 or U</w:t>
            </w:r>
          </w:p>
        </w:tc>
        <w:tc>
          <w:tcPr>
            <w:tcW w:type="dxa" w:w="2520"/>
            <w:tcMar>
              <w:top w:w="70" w:type="dxa"/>
              <w:start w:w="90" w:type="dxa"/>
              <w:bottom w:w="70" w:type="dxa"/>
              <w:end w:w="90" w:type="dxa"/>
            </w:tcMar>
            <w:vAlign w:val="top"/>
          </w:tcPr>
          <w:p>
            <w:pPr>
              <w:pStyle w:val="TableText"/>
            </w:pPr>
            <w:r>
              <w:t>From F₁, select layers with a</w:t>
            </w:r>
            <w:r>
              <w:rPr>
                <w:vertAlign w:val="subscript"/>
              </w:rPr>
              <w:t>1,j</w:t>
            </w:r>
            <w:r>
              <w:t>+a</w:t>
            </w:r>
            <w:r>
              <w:rPr>
                <w:vertAlign w:val="subscript"/>
              </w:rPr>
              <w:t>U,j</w:t>
            </w:r>
            <w:r>
              <w:t>&gt;0</w:t>
            </w:r>
          </w:p>
        </w:tc>
        <w:tc>
          <w:tcPr>
            <w:tcW w:type="dxa" w:w="4464"/>
            <w:tcMar>
              <w:top w:w="70" w:type="dxa"/>
              <w:start w:w="90" w:type="dxa"/>
              <w:bottom w:w="70" w:type="dxa"/>
              <w:end w:w="90" w:type="dxa"/>
            </w:tcMar>
            <w:vAlign w:val="top"/>
          </w:tcPr>
          <w:p>
            <w:pPr>
              <w:pStyle w:val="TableText"/>
            </w:pPr>
            <w:r>
              <w:t>Same F₂=(24,1,0); Q</w:t>
            </w:r>
            <w:r>
              <w:rPr>
                <w:vertAlign w:val="subscript"/>
              </w:rPr>
              <w:t>loc</w:t>
            </w:r>
            <w:r>
              <w:t>={1} versus {5}</w:t>
            </w:r>
          </w:p>
        </w:tc>
        <w:tc>
          <w:tcPr>
            <w:tcW w:type="dxa" w:w="792"/>
            <w:tcMar>
              <w:top w:w="70" w:type="dxa"/>
              <w:start w:w="90" w:type="dxa"/>
              <w:bottom w:w="70" w:type="dxa"/>
              <w:end w:w="90" w:type="dxa"/>
            </w:tcMar>
            <w:vAlign w:val="top"/>
          </w:tcPr>
          <w:p>
            <w:pPr>
              <w:pStyle w:val="TableText"/>
            </w:pPr>
            <w:r>
              <w:t>1</w:t>
            </w:r>
          </w:p>
        </w:tc>
      </w:tr>
      <w:tr>
        <w:trPr>
          <w:cantSplit/>
        </w:trPr>
        <w:tc>
          <w:tcPr>
            <w:tcW w:type="dxa" w:w="2232"/>
            <w:tcMar>
              <w:top w:w="70" w:type="dxa"/>
              <w:start w:w="90" w:type="dxa"/>
              <w:bottom w:w="70" w:type="dxa"/>
              <w:end w:w="90" w:type="dxa"/>
            </w:tcMar>
            <w:vAlign w:val="top"/>
          </w:tcPr>
          <w:p>
            <w:pPr>
              <w:pStyle w:val="TableText"/>
            </w:pPr>
            <w:r>
              <w:t>Q</w:t>
            </w:r>
            <w:r>
              <w:rPr>
                <w:vertAlign w:val="subscript"/>
              </w:rPr>
              <w:t>U</w:t>
            </w:r>
            <w:r>
              <w:t>=n</w:t>
            </w:r>
            <w:r>
              <w:rPr>
                <w:vertAlign w:val="subscript"/>
              </w:rPr>
              <w:t>U</w:t>
            </w:r>
          </w:p>
        </w:tc>
        <w:tc>
          <w:tcPr>
            <w:tcW w:type="dxa" w:w="2520"/>
            <w:tcMar>
              <w:top w:w="70" w:type="dxa"/>
              <w:start w:w="90" w:type="dxa"/>
              <w:bottom w:w="70" w:type="dxa"/>
              <w:end w:w="90" w:type="dxa"/>
            </w:tcMar>
            <w:vAlign w:val="top"/>
          </w:tcPr>
          <w:p>
            <w:pPr>
              <w:pStyle w:val="TableText"/>
            </w:pPr>
            <w:r>
              <w:t>Third coordinate of F₂</w:t>
            </w:r>
          </w:p>
        </w:tc>
        <w:tc>
          <w:tcPr>
            <w:tcW w:type="dxa" w:w="4464"/>
            <w:tcMar>
              <w:top w:w="70" w:type="dxa"/>
              <w:start w:w="90" w:type="dxa"/>
              <w:bottom w:w="70" w:type="dxa"/>
              <w:end w:w="90" w:type="dxa"/>
            </w:tcMar>
            <w:vAlign w:val="top"/>
          </w:tcPr>
          <w:p>
            <w:r>
              <w:t>Same F₃=APTO; n</w:t>
            </w:r>
            <w:r>
              <w:rPr>
                <w:vertAlign w:val="subscript"/>
              </w:rPr>
              <w:t>U</w:t>
            </w:r>
            <w:r>
              <w:t>=0 versus 1</w:t>
            </w:r>
          </w:p>
        </w:tc>
        <w:tc>
          <w:tcPr>
            <w:tcW w:type="dxa" w:w="792"/>
            <w:tcMar>
              <w:top w:w="70" w:type="dxa"/>
              <w:start w:w="90" w:type="dxa"/>
              <w:bottom w:w="70" w:type="dxa"/>
              <w:end w:w="90" w:type="dxa"/>
            </w:tcMar>
            <w:vAlign w:val="top"/>
          </w:tcPr>
          <w:p>
            <w:pPr>
              <w:pStyle w:val="TableText"/>
            </w:pPr>
            <w:r>
              <w:t>2</w:t>
            </w:r>
          </w:p>
        </w:tc>
      </w:tr>
      <w:tr>
        <w:trPr>
          <w:cantSplit/>
        </w:trPr>
        <w:tc>
          <w:tcPr>
            <w:tcW w:type="dxa" w:w="2232"/>
            <w:tcMar>
              <w:top w:w="70" w:type="dxa"/>
              <w:start w:w="90" w:type="dxa"/>
              <w:bottom w:w="70" w:type="dxa"/>
              <w:end w:w="90" w:type="dxa"/>
            </w:tcMar>
            <w:vAlign w:val="top"/>
          </w:tcPr>
          <w:p>
            <w:r>
              <w:t>Q</w:t>
            </w:r>
            <w:r>
              <w:rPr>
                <w:vertAlign w:val="subscript"/>
              </w:rPr>
              <w:t>class</w:t>
            </w:r>
            <w:r>
              <w:t>=F₃</w:t>
            </w:r>
          </w:p>
        </w:tc>
        <w:tc>
          <w:tcPr>
            <w:tcW w:type="dxa" w:w="2520"/>
            <w:tcMar>
              <w:top w:w="70" w:type="dxa"/>
              <w:start w:w="90" w:type="dxa"/>
              <w:bottom w:w="70" w:type="dxa"/>
              <w:end w:w="90" w:type="dxa"/>
            </w:tcMar>
            <w:vAlign w:val="top"/>
          </w:tcPr>
          <w:p>
            <w:r>
              <w:t>Identity on F₃(X)</w:t>
            </w:r>
          </w:p>
        </w:tc>
        <w:tc>
          <w:tcPr>
            <w:tcW w:type="dxa" w:w="4464"/>
            <w:tcMar>
              <w:top w:w="70" w:type="dxa"/>
              <w:start w:w="90" w:type="dxa"/>
              <w:bottom w:w="70" w:type="dxa"/>
              <w:end w:w="90" w:type="dxa"/>
            </w:tcMar>
            <w:vAlign w:val="top"/>
          </w:tcPr>
          <w:p>
            <w:pPr>
              <w:pStyle w:val="TableText"/>
            </w:pPr>
            <w:r>
              <w:t>No later declared level</w:t>
            </w:r>
          </w:p>
        </w:tc>
        <w:tc>
          <w:tcPr>
            <w:tcW w:type="dxa" w:w="792"/>
            <w:tcMar>
              <w:top w:w="70" w:type="dxa"/>
              <w:start w:w="90" w:type="dxa"/>
              <w:bottom w:w="70" w:type="dxa"/>
              <w:end w:w="90" w:type="dxa"/>
            </w:tcMar>
            <w:vAlign w:val="top"/>
          </w:tcPr>
          <w:p>
            <w:pPr>
              <w:pStyle w:val="TableText"/>
            </w:pPr>
            <w:r>
              <w:t>3</w:t>
            </w:r>
          </w:p>
        </w:tc>
      </w:tr>
    </w:tbl>
    <w:p>
      <w:pPr>
        <w:pStyle w:val="TableText"/>
      </w:pPr>
      <w:r>
        <w:t>Every separating state is supported by the static rule-substitution certificate in Supplementary Table S1 and Supplementary Note S1. Complete 25-coordinate states are given in Supplementary Table S2.</w:t>
      </w:r>
    </w:p>
    <w:p>
      <w:pPr>
        <w:pStyle w:val="Heading2"/>
      </w:pPr>
      <w:r>
        <w:t>AI-integrity frontiers</w:t>
      </w:r>
    </w:p>
    <w:p>
      <w:pPr/>
      <w:r>
        <w:t>The integrity cell independently realizes all four levels with different operations and a different threshold (Table 3). Let Q</w:t>
      </w:r>
      <w:r>
        <w:rPr>
          <w:vertAlign w:val="subscript"/>
        </w:rPr>
        <w:t>model</w:t>
      </w:r>
      <w:r>
        <w:t>(m)=(m(M1),m(M2),m(M3)). One fully observed state has only M1 compromised and another only M2 compromised. Their first-layer counts are both (2,1,0), the other layers are identical, and Q</w:t>
      </w:r>
      <w:r>
        <w:rPr>
          <w:vertAlign w:val="subscript"/>
        </w:rPr>
        <w:t>model</w:t>
      </w:r>
      <w:r>
        <w:t xml:space="preserve"> distinguishes the states; therefore its frontier is 0.</w:t>
      </w:r>
    </w:p>
    <w:p>
      <w:pPr/>
      <w:r>
        <w:t>Let Q</w:t>
      </w:r>
      <w:r>
        <w:rPr>
          <w:vertAlign w:val="subscript"/>
        </w:rPr>
        <w:t>layer</w:t>
      </w:r>
      <w:r>
        <w:t>(m) be the set of integrity layers containing at least one compromised control. A state with only M1=1 and a state with only M4=1 both have F₂=(8,1,0), but Q</w:t>
      </w:r>
      <w:r>
        <w:rPr>
          <w:vertAlign w:val="subscript"/>
        </w:rPr>
        <w:t>layer</w:t>
      </w:r>
      <w:r>
        <w:t xml:space="preserve"> returns {1} and {2}; its frontier is 1. Let Q</w:t>
      </w:r>
      <w:r>
        <w:rPr>
          <w:vertAlign w:val="subscript"/>
        </w:rPr>
        <w:t>comp</w:t>
      </w:r>
      <w:r>
        <w:t>(m)=n₁(m). A fully observed state with M1-M3 compromised has F₂=(6,3,0), while a second state with M1-M4 compromised has F₂=(5,4,0). Neither count reaches threshold 7, so both have terminal class INDETERMINATE, yet Q</w:t>
      </w:r>
      <w:r>
        <w:rPr>
          <w:vertAlign w:val="subscript"/>
        </w:rPr>
        <w:t>comp</w:t>
      </w:r>
      <w:r>
        <w:t xml:space="preserve"> is 3 and 4. Thus its frontier is 2 without using any U input. The terminal integrity class has frontier 3. The selected integrity operations therefore constructively realize Λ</w:t>
      </w:r>
      <w:r>
        <w:rPr>
          <w:vertAlign w:val="subscript"/>
        </w:rPr>
        <w:t>AI</w:t>
      </w:r>
      <w:r>
        <w:t>=(0,1,2,3).</w:t>
      </w:r>
    </w:p>
    <w:p>
      <w:pPr/>
      <w:r>
        <w:t>The equality of the two profiles is not interpreted as a cross-domain invariant. The operation families were deliberately selected to exercise distinct levels of the declared chain. The immunology and integrity realizations differ in parameter semantics, number of layers, dimension, threshold, and level-2 operation. What is shared is only the verification procedure: a positive recovery map at one level and a rule-realizable separating pair at the next.</w:t>
      </w:r>
    </w:p>
    <w:p>
      <w:pPr>
        <w:spacing w:line="240" w:lineRule="auto" w:before="160" w:after="60"/>
      </w:pPr>
      <w:r>
        <w:rPr>
          <w:rFonts w:ascii="Times New Roman" w:hAnsi="Times New Roman"/>
          <w:b/>
          <w:sz w:val="20"/>
        </w:rPr>
        <w:t>Table 3. Operation-specific frontiers in the AI system integrity realization.</w:t>
      </w:r>
    </w:p>
    <w:tbl>
      <w:tblPr>
        <w:tblStyle w:val="TableGrid"/>
        <w:tblW w:type="auto" w:w="0"/>
        <w:jc w:val="center"/>
        <w:tblLook w:firstColumn="1" w:firstRow="1" w:lastColumn="0" w:lastRow="0" w:noHBand="0" w:noVBand="1" w:val="04A0"/>
      </w:tblPr>
      <w:tblGrid>
        <w:gridCol w:w="2257"/>
        <w:gridCol w:w="2257"/>
        <w:gridCol w:w="2257"/>
        <w:gridCol w:w="2257"/>
      </w:tblGrid>
      <w:tr>
        <w:trPr>
          <w:tblHeader w:val="true"/>
          <w:cantSplit/>
        </w:trPr>
        <w:tc>
          <w:tcPr>
            <w:tcW w:type="dxa" w:w="2304"/>
            <w:shd w:fill="FCE4D6"/>
            <w:tcMar>
              <w:top w:w="70" w:type="dxa"/>
              <w:start w:w="90" w:type="dxa"/>
              <w:bottom w:w="70" w:type="dxa"/>
              <w:end w:w="90" w:type="dxa"/>
            </w:tcMar>
            <w:vAlign w:val="center"/>
          </w:tcPr>
          <w:p>
            <w:pPr>
              <w:pStyle w:val="TableHead"/>
            </w:pPr>
            <w:r>
              <w:t>Operation</w:t>
            </w:r>
          </w:p>
        </w:tc>
        <w:tc>
          <w:tcPr>
            <w:tcW w:type="dxa" w:w="2520"/>
            <w:shd w:fill="FCE4D6"/>
            <w:tcMar>
              <w:top w:w="70" w:type="dxa"/>
              <w:start w:w="90" w:type="dxa"/>
              <w:bottom w:w="70" w:type="dxa"/>
              <w:end w:w="90" w:type="dxa"/>
            </w:tcMar>
            <w:vAlign w:val="center"/>
          </w:tcPr>
          <w:p>
            <w:pPr>
              <w:pStyle w:val="TableHead"/>
            </w:pPr>
            <w:r>
              <w:t>Exact reconstruction</w:t>
            </w:r>
          </w:p>
        </w:tc>
        <w:tc>
          <w:tcPr>
            <w:tcW w:type="dxa" w:w="4392"/>
            <w:shd w:fill="FCE4D6"/>
            <w:tcMar>
              <w:top w:w="70" w:type="dxa"/>
              <w:start w:w="90" w:type="dxa"/>
              <w:bottom w:w="70" w:type="dxa"/>
              <w:end w:w="90" w:type="dxa"/>
            </w:tcMar>
            <w:vAlign w:val="center"/>
          </w:tcPr>
          <w:p>
            <w:pPr>
              <w:pStyle w:val="TableHead"/>
            </w:pPr>
            <w:r>
              <w:t>Separating pair at the next level</w:t>
            </w:r>
          </w:p>
        </w:tc>
        <w:tc>
          <w:tcPr>
            <w:tcW w:type="dxa" w:w="792"/>
            <w:shd w:fill="FCE4D6"/>
            <w:tcMar>
              <w:top w:w="70" w:type="dxa"/>
              <w:start w:w="90" w:type="dxa"/>
              <w:bottom w:w="70" w:type="dxa"/>
              <w:end w:w="90" w:type="dxa"/>
            </w:tcMar>
            <w:vAlign w:val="center"/>
          </w:tcPr>
          <w:p>
            <w:pPr>
              <w:pStyle w:val="TableHead"/>
            </w:pPr>
            <w:r>
              <w:t>Frontier</w:t>
            </w:r>
          </w:p>
        </w:tc>
      </w:tr>
      <w:tr>
        <w:trPr>
          <w:cantSplit/>
        </w:trPr>
        <w:tc>
          <w:tcPr>
            <w:tcW w:type="dxa" w:w="2304"/>
            <w:tcMar>
              <w:top w:w="70" w:type="dxa"/>
              <w:start w:w="90" w:type="dxa"/>
              <w:bottom w:w="70" w:type="dxa"/>
              <w:end w:w="90" w:type="dxa"/>
            </w:tcMar>
            <w:vAlign w:val="top"/>
          </w:tcPr>
          <w:p>
            <w:pPr>
              <w:pStyle w:val="TableText"/>
            </w:pPr>
            <w:r>
              <w:t>Q</w:t>
            </w:r>
            <w:r>
              <w:rPr>
                <w:vertAlign w:val="subscript"/>
              </w:rPr>
              <w:t>model</w:t>
            </w:r>
            <w:r>
              <w:t>=(M1,M2,M3)</w:t>
            </w:r>
          </w:p>
        </w:tc>
        <w:tc>
          <w:tcPr>
            <w:tcW w:type="dxa" w:w="2520"/>
            <w:tcMar>
              <w:top w:w="70" w:type="dxa"/>
              <w:start w:w="90" w:type="dxa"/>
              <w:bottom w:w="70" w:type="dxa"/>
              <w:end w:w="90" w:type="dxa"/>
            </w:tcMar>
            <w:vAlign w:val="top"/>
          </w:tcPr>
          <w:p>
            <w:pPr>
              <w:pStyle w:val="TableText"/>
            </w:pPr>
            <w:r>
              <w:t>Projection from F₀</w:t>
            </w:r>
          </w:p>
        </w:tc>
        <w:tc>
          <w:tcPr>
            <w:tcW w:type="dxa" w:w="4392"/>
            <w:tcMar>
              <w:top w:w="70" w:type="dxa"/>
              <w:start w:w="90" w:type="dxa"/>
              <w:bottom w:w="70" w:type="dxa"/>
              <w:end w:w="90" w:type="dxa"/>
            </w:tcMar>
            <w:vAlign w:val="top"/>
          </w:tcPr>
          <w:p>
            <w:pPr>
              <w:pStyle w:val="TableText"/>
            </w:pPr>
            <w:r>
              <w:t>Same F₁; one compromise in layer 1, but M1 versus M2</w:t>
            </w:r>
          </w:p>
        </w:tc>
        <w:tc>
          <w:tcPr>
            <w:tcW w:type="dxa" w:w="792"/>
            <w:tcMar>
              <w:top w:w="70" w:type="dxa"/>
              <w:start w:w="90" w:type="dxa"/>
              <w:bottom w:w="70" w:type="dxa"/>
              <w:end w:w="90" w:type="dxa"/>
            </w:tcMar>
            <w:vAlign w:val="top"/>
          </w:tcPr>
          <w:p>
            <w:pPr>
              <w:pStyle w:val="TableText"/>
            </w:pPr>
            <w:r>
              <w:t>0</w:t>
            </w:r>
          </w:p>
        </w:tc>
      </w:tr>
      <w:tr>
        <w:trPr>
          <w:cantSplit/>
        </w:trPr>
        <w:tc>
          <w:tcPr>
            <w:tcW w:type="dxa" w:w="2304"/>
            <w:tcMar>
              <w:top w:w="70" w:type="dxa"/>
              <w:start w:w="90" w:type="dxa"/>
              <w:bottom w:w="70" w:type="dxa"/>
              <w:end w:w="90" w:type="dxa"/>
            </w:tcMar>
            <w:vAlign w:val="top"/>
          </w:tcPr>
          <w:p>
            <w:pPr>
              <w:pStyle w:val="TableText"/>
            </w:pPr>
            <w:r>
              <w:t>Q</w:t>
            </w:r>
            <w:r>
              <w:rPr>
                <w:vertAlign w:val="subscript"/>
              </w:rPr>
              <w:t>layer</w:t>
            </w:r>
            <w:r>
              <w:t>=layers containing a compromised control</w:t>
            </w:r>
          </w:p>
        </w:tc>
        <w:tc>
          <w:tcPr>
            <w:tcW w:type="dxa" w:w="2520"/>
            <w:tcMar>
              <w:top w:w="70" w:type="dxa"/>
              <w:start w:w="90" w:type="dxa"/>
              <w:bottom w:w="70" w:type="dxa"/>
              <w:end w:w="90" w:type="dxa"/>
            </w:tcMar>
            <w:vAlign w:val="top"/>
          </w:tcPr>
          <w:p>
            <w:pPr>
              <w:pStyle w:val="TableText"/>
            </w:pPr>
            <w:r>
              <w:t>From F₁, select layers with a</w:t>
            </w:r>
            <w:r>
              <w:rPr>
                <w:vertAlign w:val="subscript"/>
              </w:rPr>
              <w:t>1,j</w:t>
            </w:r>
            <w:r>
              <w:t>&gt;0</w:t>
            </w:r>
          </w:p>
        </w:tc>
        <w:tc>
          <w:tcPr>
            <w:tcW w:type="dxa" w:w="4392"/>
            <w:tcMar>
              <w:top w:w="70" w:type="dxa"/>
              <w:start w:w="90" w:type="dxa"/>
              <w:bottom w:w="70" w:type="dxa"/>
              <w:end w:w="90" w:type="dxa"/>
            </w:tcMar>
            <w:vAlign w:val="top"/>
          </w:tcPr>
          <w:p>
            <w:pPr>
              <w:pStyle w:val="TableText"/>
            </w:pPr>
            <w:r>
              <w:t>Same F₂=(8,1,0); Q</w:t>
            </w:r>
            <w:r>
              <w:rPr>
                <w:vertAlign w:val="subscript"/>
              </w:rPr>
              <w:t>layer</w:t>
            </w:r>
            <w:r>
              <w:t>={1} versus {2}</w:t>
            </w:r>
          </w:p>
        </w:tc>
        <w:tc>
          <w:tcPr>
            <w:tcW w:type="dxa" w:w="792"/>
            <w:tcMar>
              <w:top w:w="70" w:type="dxa"/>
              <w:start w:w="90" w:type="dxa"/>
              <w:bottom w:w="70" w:type="dxa"/>
              <w:end w:w="90" w:type="dxa"/>
            </w:tcMar>
            <w:vAlign w:val="top"/>
          </w:tcPr>
          <w:p>
            <w:pPr>
              <w:pStyle w:val="TableText"/>
            </w:pPr>
            <w:r>
              <w:t>1</w:t>
            </w:r>
          </w:p>
        </w:tc>
      </w:tr>
      <w:tr>
        <w:trPr>
          <w:cantSplit/>
        </w:trPr>
        <w:tc>
          <w:tcPr>
            <w:tcW w:type="dxa" w:w="2304"/>
            <w:tcMar>
              <w:top w:w="70" w:type="dxa"/>
              <w:start w:w="90" w:type="dxa"/>
              <w:bottom w:w="70" w:type="dxa"/>
              <w:end w:w="90" w:type="dxa"/>
            </w:tcMar>
            <w:vAlign w:val="top"/>
          </w:tcPr>
          <w:p>
            <w:pPr>
              <w:pStyle w:val="TableText"/>
            </w:pPr>
            <w:r>
              <w:t>Q</w:t>
            </w:r>
            <w:r>
              <w:rPr>
                <w:vertAlign w:val="subscript"/>
              </w:rPr>
              <w:t>comp</w:t>
            </w:r>
            <w:r>
              <w:t>=n₁</w:t>
            </w:r>
          </w:p>
        </w:tc>
        <w:tc>
          <w:tcPr>
            <w:tcW w:type="dxa" w:w="2520"/>
            <w:tcMar>
              <w:top w:w="70" w:type="dxa"/>
              <w:start w:w="90" w:type="dxa"/>
              <w:bottom w:w="70" w:type="dxa"/>
              <w:end w:w="90" w:type="dxa"/>
            </w:tcMar>
            <w:vAlign w:val="top"/>
          </w:tcPr>
          <w:p>
            <w:pPr>
              <w:pStyle w:val="TableText"/>
            </w:pPr>
            <w:r>
              <w:t>Second coordinate of F₂</w:t>
            </w:r>
          </w:p>
        </w:tc>
        <w:tc>
          <w:tcPr>
            <w:tcW w:type="dxa" w:w="4392"/>
            <w:tcMar>
              <w:top w:w="70" w:type="dxa"/>
              <w:start w:w="90" w:type="dxa"/>
              <w:bottom w:w="70" w:type="dxa"/>
              <w:end w:w="90" w:type="dxa"/>
            </w:tcMar>
            <w:vAlign w:val="top"/>
          </w:tcPr>
          <w:p>
            <w:pPr>
              <w:pStyle w:val="TableText"/>
            </w:pPr>
            <w:r>
              <w:t>Same terminal class INDETERMINATE; n₁=3 versus 4</w:t>
            </w:r>
          </w:p>
        </w:tc>
        <w:tc>
          <w:tcPr>
            <w:tcW w:type="dxa" w:w="792"/>
            <w:tcMar>
              <w:top w:w="70" w:type="dxa"/>
              <w:start w:w="90" w:type="dxa"/>
              <w:bottom w:w="70" w:type="dxa"/>
              <w:end w:w="90" w:type="dxa"/>
            </w:tcMar>
            <w:vAlign w:val="top"/>
          </w:tcPr>
          <w:p>
            <w:pPr>
              <w:pStyle w:val="TableText"/>
            </w:pPr>
            <w:r>
              <w:t>2</w:t>
            </w:r>
          </w:p>
        </w:tc>
      </w:tr>
      <w:tr>
        <w:trPr>
          <w:cantSplit/>
        </w:trPr>
        <w:tc>
          <w:tcPr>
            <w:tcW w:type="dxa" w:w="2304"/>
            <w:tcMar>
              <w:top w:w="70" w:type="dxa"/>
              <w:start w:w="90" w:type="dxa"/>
              <w:bottom w:w="70" w:type="dxa"/>
              <w:end w:w="90" w:type="dxa"/>
            </w:tcMar>
            <w:vAlign w:val="top"/>
          </w:tcPr>
          <w:p>
            <w:r>
              <w:t>Q</w:t>
            </w:r>
            <w:r>
              <w:rPr>
                <w:vertAlign w:val="subscript"/>
              </w:rPr>
              <w:t>meta</w:t>
            </w:r>
            <w:r>
              <w:t>=F₃</w:t>
            </w:r>
          </w:p>
        </w:tc>
        <w:tc>
          <w:tcPr>
            <w:tcW w:type="dxa" w:w="2520"/>
            <w:tcMar>
              <w:top w:w="70" w:type="dxa"/>
              <w:start w:w="90" w:type="dxa"/>
              <w:bottom w:w="70" w:type="dxa"/>
              <w:end w:w="90" w:type="dxa"/>
            </w:tcMar>
            <w:vAlign w:val="top"/>
          </w:tcPr>
          <w:p>
            <w:r>
              <w:t>Identity on F₃(X)</w:t>
            </w:r>
          </w:p>
        </w:tc>
        <w:tc>
          <w:tcPr>
            <w:tcW w:type="dxa" w:w="4392"/>
            <w:tcMar>
              <w:top w:w="70" w:type="dxa"/>
              <w:start w:w="90" w:type="dxa"/>
              <w:bottom w:w="70" w:type="dxa"/>
              <w:end w:w="90" w:type="dxa"/>
            </w:tcMar>
            <w:vAlign w:val="top"/>
          </w:tcPr>
          <w:p>
            <w:pPr>
              <w:pStyle w:val="TableText"/>
            </w:pPr>
            <w:r>
              <w:t>No later declared level</w:t>
            </w:r>
          </w:p>
        </w:tc>
        <w:tc>
          <w:tcPr>
            <w:tcW w:type="dxa" w:w="792"/>
            <w:tcMar>
              <w:top w:w="70" w:type="dxa"/>
              <w:start w:w="90" w:type="dxa"/>
              <w:bottom w:w="70" w:type="dxa"/>
              <w:end w:w="90" w:type="dxa"/>
            </w:tcMar>
            <w:vAlign w:val="top"/>
          </w:tcPr>
          <w:p>
            <w:pPr>
              <w:pStyle w:val="TableText"/>
            </w:pPr>
            <w:r>
              <w:t>3</w:t>
            </w:r>
          </w:p>
        </w:tc>
      </w:tr>
    </w:tbl>
    <w:p>
      <w:pPr>
        <w:pStyle w:val="TableText"/>
      </w:pPr>
      <w:r>
        <w:t>Every integrity witness uses all nine Boolean inputs explicitly; no U input is used in the level-2 boundary pair.</w:t>
      </w:r>
    </w:p>
    <w:p>
      <w:pPr>
        <w:pStyle w:val="Heading1"/>
      </w:pPr>
      <w:r>
        <w:t>DISCUSSION</w:t>
      </w:r>
    </w:p>
    <w:p>
      <w:pPr/>
      <w:r>
        <w:t>This study isolates a representation problem that can be obscured when aggregation is treated as generic simplification. A single constituted state can support several legitimate operations, and those operations need not tolerate the same loss of labels, layer location, or global count information. The selected operation families constructively realize all four levels of one declared chain: some operations require the full labeled state; others survive layer aggregation or global counting; and only a terminal-class operation survives the final collapse.</w:t>
      </w:r>
    </w:p>
    <w:p>
      <w:pPr/>
      <w:r>
        <w:t>The result should not be read as a new theory of sufficient statistics or as a search for a universally coarsest representation. Property-directed quotients in abstract interpretation,[3] exact decision quotients,[6] and Bayes-sufficient representations[7] ask related but different questions about information relevant to a property, decision, distribution, or loss. Here the representation chain is fixed before the operation is tested. As in the Methods, resolution here denotes representational resolution, not resolution of a ternary U value. The frontier is the largest index in that specified chain for which exact functional recovery can still be exhibited. A different chain, or a changed realized state space, can yield a different frontier. This restriction is deliberate: biomedical representations are often designed for semantic, workflow, interoperability, or governance reasons that need not coincide with a mathematically canonical quotient.</w:t>
      </w:r>
    </w:p>
    <w:p>
      <w:pPr/>
      <w:r>
        <w:t>The labeled vaccination result illustrates why the distinction matters clinically. The same layer count can correspond to an influenza-related alteration plus a second vaccination condition, or to a pneumococcal alteration plus that same second condition. Current cancer vaccination guidance treats influenza and pneumococcal vaccination as distinct clinical objects,[14] so the identity erased by layer counting remains necessary for Q</w:t>
      </w:r>
      <w:r>
        <w:rPr>
          <w:vertAlign w:val="subscript"/>
        </w:rPr>
        <w:t>vac</w:t>
      </w:r>
      <w:r>
        <w:t>. This is consistent with a broader observation from machine-learning representations: permutation invariance is useful only when exchangeability is justified,[4] and clinical set models may need to restore variable-type structure that an undifferentiated set representation loses.[5] The present result is deterministic rather than empirical, but it makes the same representational hazard explicit for the specified operation.</w:t>
      </w:r>
    </w:p>
    <w:p>
      <w:pPr/>
      <w:r>
        <w:t>The U-count result addresses a different loss. The terminal class can remain APTO while a U value appears in the underlying state. In this study U is not a confidence score, a probability, or a placeholder for unfinished work. The witness uses an observed CD4 value placed by the published IMMUNO-1 rule in a non-binary region. Subsequent SV work formalized operational certification conditions for non-closure,[13] but those later conditions are not re-established here; the present proof requires only the ternary value returned by the previously published IMMUNO-1 rule region. No subtype of U is introduced, and the ternary alphabet remains atomic.</w:t>
      </w:r>
    </w:p>
    <w:p>
      <w:pPr/>
      <w:r>
        <w:t>The independent integrity realization shows that the four-level construction does not depend on U: its level-2 operation counts compromised controls, and every witness input is fully present. This realization is neither a mandatory layer of a clinical cell nor an extension of IMMUNO-1; it is an independent domain used to show that the frontier construction is not confined to clinical parameter semantics. Contemporary clinical-AI work increasingly emphasizes structured, auditable system documentation and lifecycle integrity,[17] but an integrity verdict and a clinical-domain verdict answer different questions. The local frontier construction preserves that separation.</w:t>
      </w:r>
    </w:p>
    <w:p>
      <w:pPr/>
      <w:r>
        <w:t>The same locality clarifies interface claims. If an interface transmits only H=φ∘F</w:t>
      </w:r>
      <w:r>
        <w:rPr>
          <w:vertAlign w:val="subscript"/>
        </w:rPr>
        <w:t>j</w:t>
      </w:r>
      <w:r>
        <w:t>, downstream exact recovery must be assessed against H, not against information that existed upstream but was not transmitted. A representation may therefore be entirely adequate for one interface purpose and insufficient for another operation. Conversely, if a downstream component uses additional information S, the relevant claim is Q=q(H,S), not recovery from H alone. Representational insufficiency is a property of the representation-operation pair; it does not alter the underlying ternary state or authorize reconstruction of an erased distinction as a strong result.</w:t>
      </w:r>
    </w:p>
    <w:p>
      <w:pPr/>
      <w:r>
        <w:t>Several limitations delimit the result. IMMUNO-1 is a previously published theoretical and technical demonstrator, not a validated clinical decision-support system; no patient cohort, clinical outcome, calibration, or treatment recommendation is evaluated here. The threshold values and parameter rules are inherited from the published cells and are not revalidated in this article. Q</w:t>
      </w:r>
      <w:r>
        <w:rPr>
          <w:vertAlign w:val="subscript"/>
        </w:rPr>
        <w:t>loc</w:t>
      </w:r>
      <w:r>
        <w:t xml:space="preserve"> and Q</w:t>
      </w:r>
      <w:r>
        <w:rPr>
          <w:vertAlign w:val="subscript"/>
        </w:rPr>
        <w:t>layer</w:t>
      </w:r>
      <w:r>
        <w:t xml:space="preserve"> are structural controls rather than clinical or governance recommendations. The frontier is relative to the realized state space and four declared levels and does not establish global optimality among other possible representations. Finally, realizability matters: because X=C(D</w:t>
      </w:r>
      <w:r>
        <w:rPr>
          <w:vertAlign w:val="subscript"/>
        </w:rPr>
        <w:t>c</w:t>
      </w:r>
      <w:r>
        <w:t>) can be a strict subset of Σ</w:t>
      </w:r>
      <w:r>
        <w:rPr>
          <w:vertAlign w:val="superscript"/>
        </w:rPr>
        <w:t>I</w:t>
      </w:r>
      <w:r>
        <w:t>, arbitrary symbolic vectors are insufficient as counterexamples. The supplementary material therefore provides a static, rule-based joint-realizability certificate for every IMMUNO-1 separating state.</w:t>
      </w:r>
    </w:p>
    <w:p>
      <w:pPr/>
      <w:r>
        <w:t>Within these limits, the construction offers a practical formal discipline for biomedical informatics: before a richer structured state is replaced by an aggregate representation, the downstream operation can be stated explicitly, an exact recovery map can be supplied, and the next aggregation boundary can be challenged by a rule-realizable pair. The result is a local, auditable statement about representational adequacy rather than an assumption that one level of detail is adequate for every task.</w:t>
      </w:r>
    </w:p>
    <w:p>
      <w:pPr>
        <w:pStyle w:val="Heading1"/>
      </w:pPr>
      <w:r>
        <w:t>CONCLUSION</w:t>
      </w:r>
    </w:p>
    <w:p>
      <w:pPr/>
      <w:r>
        <w:t>Operation-specific resolution frontiers provide a finite, verifiable way to state what a specified aggregation preserves and what it destroys. In a previously specified immunology cell and an independent AI system integrity cell, selected operations constructively realize all four levels of the same declared representation pattern, with each nonterminal frontier supported by an explicit recovery map and a rule-realizable separating pair. The result is intentionally local: it neither selects a universal best representation nor prescribes how cells must be connected. Its value is to make representational loss explicit before an aggregate state is substituted for a richer one.</w:t>
      </w:r>
    </w:p>
    <w:p>
      <w:pPr>
        <w:pStyle w:val="Heading1"/>
      </w:pPr>
      <w:r>
        <w:t>ACKNOWLEDGMENTS</w:t>
      </w:r>
    </w:p>
    <w:p>
      <w:pPr>
        <w:pStyle w:val="DeclarationText"/>
      </w:pPr>
      <w:r>
        <w:t>The author acknowledges the clinical and technical source literature on which the previously constituted IMMUNO-1 domain was based. No clinical expert endorsement or patient-level validation is claimed in the present study.</w:t>
      </w:r>
    </w:p>
    <w:p>
      <w:pPr>
        <w:pStyle w:val="Heading1"/>
      </w:pPr>
      <w:r>
        <w:t>AUTHOR CONTRIBUTIONS</w:t>
      </w:r>
    </w:p>
    <w:p>
      <w:pPr>
        <w:pStyle w:val="DeclarationText"/>
      </w:pPr>
      <w:r>
        <w:t>Juan Antonio Lloret Egea: Conceptualization; Methodology; Formal analysis; Investigation; Writing - original draft; Writing - review &amp; editing.</w:t>
      </w:r>
    </w:p>
    <w:p>
      <w:pPr>
        <w:pStyle w:val="Heading1"/>
      </w:pPr>
      <w:r>
        <w:t>FUNDING</w:t>
      </w:r>
    </w:p>
    <w:p>
      <w:pPr>
        <w:pStyle w:val="DeclarationText"/>
      </w:pPr>
      <w:r>
        <w:t>No external funding was received for this study.</w:t>
      </w:r>
    </w:p>
    <w:p>
      <w:pPr>
        <w:pStyle w:val="Heading1"/>
      </w:pPr>
      <w:r>
        <w:t>COMPETING INTERESTS</w:t>
      </w:r>
    </w:p>
    <w:p>
      <w:pPr>
        <w:pStyle w:val="DeclarationText"/>
      </w:pPr>
      <w:r>
        <w:t>The author declares no competing interests.</w:t>
      </w:r>
    </w:p>
    <w:p>
      <w:pPr>
        <w:pStyle w:val="Heading1"/>
      </w:pPr>
      <w:r>
        <w:t>ETHICS STATEMENT</w:t>
      </w:r>
    </w:p>
    <w:p>
      <w:pPr>
        <w:pStyle w:val="DeclarationText"/>
      </w:pPr>
      <w:r>
        <w:t>Not applicable. No patient-level, participant, or cohort data were collected or analyzed.</w:t>
      </w:r>
    </w:p>
    <w:p>
      <w:pPr>
        <w:pStyle w:val="Heading1"/>
      </w:pPr>
      <w:r>
        <w:t>DATA AVAILABILITY</w:t>
      </w:r>
    </w:p>
    <w:p>
      <w:pPr>
        <w:pStyle w:val="DeclarationText"/>
      </w:pPr>
      <w:r>
        <w:t>No patient-level or cohort dataset underlies the reported results. The formal claims are supported by the published rule definitions cited in References 8 and 9 and by the complete static witness constructions reproduced in the Supplementary Material. No executable code, software test suite, or computational artifact is required as evidence for the results reported in this article.</w:t>
      </w:r>
    </w:p>
    <w:p>
      <w:pPr>
        <w:pStyle w:val="Heading1"/>
      </w:pPr>
      <w:r>
        <w:t>AI ASSISTANCE DISCLOSURE</w:t>
      </w:r>
    </w:p>
    <w:p>
      <w:pPr>
        <w:pStyle w:val="DeclarationText"/>
      </w:pPr>
      <w:r>
        <w:t>OpenAI ChatGPT (GPT-5.6 Sol) was used as a research-support tool for literature discovery, critical consistency checking, manuscript structuring, assistance with mathematical formalization and typesetting support, and English-language editing. Grok 4.5 (xAI) was used as a research-support tool for critical review of successive manuscript versions, identification of structural and mathematical improvements, and suggestions on presentation and positioning. DeepSeek-V4-Pro (DeepSeek AI) contributed to the critical review and formal consistency checking of the manuscript. All AI outputs were treated as non-authoritative research inputs. The author established, reviewed and approved all definitions, mathematical claims, proofs, interpretations and conclusions and takes full responsibility for the submitted manuscript.</w:t>
      </w:r>
    </w:p>
    <w:p>
      <w:pPr>
        <w:pStyle w:val="Heading1"/>
      </w:pPr>
      <w:r>
        <w:t>REFERENCES</w:t>
      </w:r>
    </w:p>
    <w:p>
      <w:pPr>
        <w:pStyle w:val="ReferenceText"/>
      </w:pPr>
      <w:r>
        <w:t>1 Stead WW, Aliferis CF, Bastarache L, et al. Theory and practice in biomedical informatics: a framework for discovery. J Am Med Inform Assoc. 2026;33(8):1532-1537. doi:10.1093/jamia/ocag079.</w:t>
      </w:r>
    </w:p>
    <w:p>
      <w:pPr>
        <w:pStyle w:val="ReferenceText"/>
      </w:pPr>
      <w:r>
        <w:t>2 Boxwala AA, Peleg M, Tu S, et al. GLIF3: a representation format for sharable computer-interpretable clinical practice guidelines. J Biomed Inform. 2004;37(3):147-161. doi:10.1016/j.jbi.2004.04.002.</w:t>
      </w:r>
    </w:p>
    <w:p>
      <w:pPr>
        <w:pStyle w:val="ReferenceText"/>
      </w:pPr>
      <w:r>
        <w:t>3 Cortesi A, Filé G, Winsborough WH. The quotient of an abstract interpretation. Theor Comput Sci. 1998;202(1-2):163-192. doi:10.1016/S0304-3975(97)00137-0.</w:t>
      </w:r>
    </w:p>
    <w:p>
      <w:pPr>
        <w:pStyle w:val="ReferenceText"/>
      </w:pPr>
      <w:r>
        <w:t>4 Zaheer M, Kottur S, Ravanbakhsh S, et al. Deep Sets. In: Advances in Neural Information Processing Systems 30. Curran Associates; 2017:3391-3401.</w:t>
      </w:r>
    </w:p>
    <w:p>
      <w:pPr>
        <w:pStyle w:val="ReferenceText"/>
      </w:pPr>
      <w:r>
        <w:t>5 Lee J, Lee K, Kim C, et al. Structure-Aware Set Transformers: Temporal and Variable-Type Attention Biases for Asynchronous Clinical Time Series. arXiv [Preprint]. 2026. doi:10.48550/arXiv.2603.06605.</w:t>
      </w:r>
    </w:p>
    <w:p>
      <w:pPr>
        <w:pStyle w:val="ReferenceText"/>
      </w:pPr>
      <w:r>
        <w:t>6 Simas T. Decision Quotient: A Regime-Sensitive Complexity Theory of Exact Relevance Certification. arXiv [Preprint]. 2026. doi:10.48550/arXiv.2603.14689.</w:t>
      </w:r>
    </w:p>
    <w:p>
      <w:pPr>
        <w:pStyle w:val="ReferenceText"/>
      </w:pPr>
      <w:r>
        <w:t>7 Sevetlidis V. Bayes-Sufficient Representations in Supervised Learning. arXiv [Preprint]. 2026. doi:10.48550/arXiv.2606.04045.</w:t>
      </w:r>
    </w:p>
    <w:p>
      <w:pPr>
        <w:pStyle w:val="ReferenceText"/>
      </w:pPr>
      <w:r>
        <w:t>8 Lloret Egea JA. De SVcustos, el marco de intrusión, hasta SVperitus: IMMUNO-1—Profilaxis infecciosa y vacunación. Célula SV(25,5). IA eñ. Published March 5, 2026. doi:10.21428/39829d0b.272c2f67. [in Spanish].</w:t>
      </w:r>
    </w:p>
    <w:p>
      <w:pPr>
        <w:pStyle w:val="ReferenceText"/>
      </w:pPr>
      <w:r>
        <w:t>9 Lloret Egea JA. Compilador de fundamentos y célula meta SV(9,3)-IA. IA eñ. Published March 7, 2026. doi:10.21428/39829d0b.3d7a0dce. [in Spanish].</w:t>
      </w:r>
    </w:p>
    <w:p>
      <w:pPr>
        <w:pStyle w:val="ReferenceText"/>
      </w:pPr>
      <w:r>
        <w:t>10 Lloret Egea JA. Fundamentos algebraico-semánticos del Sistema Vectorial SV. IA eñ. Published March 9, 2026. doi:10.21428/39829d0b.b0cf9a13. [in Spanish].</w:t>
      </w:r>
    </w:p>
    <w:p>
      <w:pPr>
        <w:pStyle w:val="ReferenceText"/>
      </w:pPr>
      <w:r>
        <w:t>11 Lloret Egea JA. Álgebra de composición intercelular del marco SV—IV. Transducción al alfabeto ternario e interfaz paramétrica del sistema. IA eñ. Published March 11, 2026. doi:10.21428/39829d0b.5c31d534. [in Spanish].</w:t>
      </w:r>
    </w:p>
    <w:p>
      <w:pPr>
        <w:pStyle w:val="ReferenceText"/>
      </w:pPr>
      <w:r>
        <w:t>12 Lloret Egea JA. Álgebra de composición intercelular—V. Invariantes, agentes especializados y operador de consulta del sistema. IA eñ. Published March 11, 2026. doi:10.21428/39829d0b.82f5fca3. [in Spanish].</w:t>
      </w:r>
    </w:p>
    <w:p>
      <w:pPr>
        <w:pStyle w:val="ReferenceText"/>
      </w:pPr>
      <w:r>
        <w:t>13 Lloret Egea JA. Certified non-closure in finite resolution systems: operational certificates, conservative morphisms and revision complexity. IA eñ. Published August 8, 2026. doi:10.21428/39829d0b.f0892864.</w:t>
      </w:r>
    </w:p>
    <w:p>
      <w:pPr>
        <w:pStyle w:val="ReferenceText"/>
      </w:pPr>
      <w:r>
        <w:t>14 Kamboj M, Bohlke K, Baptiste DM, et al. Vaccination of adults with cancer: ASCO guideline. J Clin Oncol. 2024;42(14):1699-1721. doi:10.1200/JCO.24.00032.</w:t>
      </w:r>
    </w:p>
    <w:p>
      <w:pPr>
        <w:pStyle w:val="ReferenceText"/>
      </w:pPr>
      <w:r>
        <w:t>15 Taplitz RA, Kennedy EB, Bow EJ, et al. Antimicrobial prophylaxis for adult patients with cancer-related immunosuppression: ASCO and IDSA clinical practice guideline update. J Clin Oncol. 2018;36(30):3043-3054. doi:10.1200/JCO.18.00374.</w:t>
      </w:r>
    </w:p>
    <w:p>
      <w:pPr>
        <w:pStyle w:val="ReferenceText"/>
      </w:pPr>
      <w:r>
        <w:t>16 Lloret Egea JA. Álgebra de composición intercelular del marco SV-I. Transmisión en serie por parámetro puente. IA eñ. Published March 10, 2026. doi:10.21428/39829d0b.399c03b0. [in Spanish].</w:t>
      </w:r>
    </w:p>
    <w:p>
      <w:pPr>
        <w:pStyle w:val="ReferenceText"/>
      </w:pPr>
      <w:r>
        <w:t>17 Lohachab A, Jung F, Rommes S, et al. SMART: structured, meaningful, auditable, responsible, and transparent documentation for clinical AI. J Am Med Inform Assoc. Published online August 19, 2026. doi:10.1093/jamia/ocag117.</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Display">
    <w:name w:val="Equation Display"/>
    <w:pPr>
      <w:spacing w:line="240" w:lineRule="auto" w:before="100" w:after="100"/>
      <w:jc w:val="center"/>
    </w:pPr>
    <w:rPr>
      <w:rFonts w:ascii="Cambria Math" w:hAnsi="Cambria Math"/>
      <w:sz w:val="22"/>
    </w:rPr>
  </w:style>
  <w:style w:type="paragraph" w:customStyle="1" w:styleId="TableText">
    <w:name w:val="Table Text"/>
    <w:pPr>
      <w:spacing w:line="240" w:lineRule="auto" w:after="0"/>
    </w:pPr>
    <w:rPr>
      <w:rFonts w:ascii="Times New Roman" w:hAnsi="Times New Roman"/>
      <w:sz w:val="19"/>
    </w:rPr>
  </w:style>
  <w:style w:type="paragraph" w:customStyle="1" w:styleId="TableHead">
    <w:name w:val="Table Head"/>
    <w:pPr>
      <w:spacing w:line="240" w:lineRule="auto" w:after="0"/>
    </w:pPr>
    <w:rPr>
      <w:rFonts w:ascii="Times New Roman" w:hAnsi="Times New Roman"/>
      <w:b/>
      <w:sz w:val="19"/>
    </w:rPr>
  </w:style>
  <w:style w:type="paragraph" w:customStyle="1" w:styleId="ReferenceText">
    <w:name w:val="Reference Text"/>
    <w:pPr>
      <w:spacing w:line="276" w:lineRule="auto" w:after="60"/>
    </w:pPr>
    <w:rPr>
      <w:rFonts w:ascii="Times New Roman" w:hAnsi="Times New Roman"/>
      <w:sz w:val="20"/>
    </w:rPr>
  </w:style>
  <w:style w:type="paragraph" w:customStyle="1" w:styleId="DeclarationText">
    <w:name w:val="Declaration Text"/>
    <w:pPr>
      <w:spacing w:line="276" w:lineRule="auto" w:after="60"/>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