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Nodal-Etary</w:t>
      </w:r>
      <w:r>
        <w:t xml:space="preserve"> </w:t>
      </w:r>
      <w:r>
        <w:t xml:space="preserve">Transduction</w:t>
      </w:r>
      <w:r>
        <w:t xml:space="preserve"> </w:t>
      </w:r>
      <w:r>
        <w:t xml:space="preserve">in</w:t>
      </w:r>
      <w:r>
        <w:t xml:space="preserve"> </w:t>
      </w:r>
      <w:r>
        <w:t xml:space="preserve">Cosmology:</w:t>
      </w:r>
      <w:r>
        <w:t xml:space="preserve"> </w:t>
      </w:r>
      <w:r>
        <w:t xml:space="preserve">DOAN-Ω16</w:t>
      </w:r>
      <w:r>
        <w:t xml:space="preserve"> </w:t>
      </w:r>
      <w:r>
        <w:t xml:space="preserve">(Lanzadera</w:t>
      </w:r>
      <w:r>
        <w:t xml:space="preserve"> </w:t>
      </w:r>
      <w:r>
        <w:t xml:space="preserve">Ómicron)</w:t>
      </w:r>
      <w:r>
        <w:t xml:space="preserve"> </w:t>
      </w:r>
      <w:r>
        <w:t xml:space="preserve">and</w:t>
      </w:r>
      <w:r>
        <w:t xml:space="preserve"> </w:t>
      </w:r>
      <w:r>
        <w:t xml:space="preserve">the</w:t>
      </w:r>
      <w:r>
        <w:t xml:space="preserve"> </w:t>
      </w:r>
      <w:r>
        <w:t xml:space="preserve">Boundary</w:t>
      </w:r>
      <w:r>
        <w:t xml:space="preserve"> </w:t>
      </w:r>
      <w:r>
        <w:t xml:space="preserve">Coordinate</w:t>
      </w:r>
      <w:r>
        <w:t xml:space="preserve"> </w:t>
      </w:r>
      <w:r>
        <w:t xml:space="preserve">of</w:t>
      </w:r>
      <w:r>
        <w:t xml:space="preserve"> </w:t>
      </w:r>
      <w:r>
        <w:t xml:space="preserve">the</w:t>
      </w:r>
      <w:r>
        <w:t xml:space="preserve"> </w:t>
      </w:r>
      <w:r>
        <w:t xml:space="preserve">Observable</w:t>
      </w:r>
      <w:r>
        <w:t xml:space="preserve"> </w:t>
      </w:r>
      <w:r>
        <w:t xml:space="preserve">Universe</w:t>
      </w:r>
    </w:p>
    <w:p>
      <w:pPr>
        <w:pStyle w:val="Author"/>
        <w:spacing w:after="80"/>
        <w:jc w:val="left"/>
      </w:pPr>
      <w:r>
        <w:rPr>
          <w:rFonts w:ascii="Times New Roman" w:hAnsi="Times New Roman"/>
          <w:color w:val="000000"/>
          <w:sz w:val="22"/>
        </w:rPr>
        <w:t xml:space="preserve">Juan</w:t>
      </w:r>
      <w:r>
        <w:rPr>
          <w:rFonts w:ascii="Times New Roman" w:hAnsi="Times New Roman"/>
          <w:color w:val="000000"/>
          <w:sz w:val="22"/>
        </w:rPr>
        <w:t xml:space="preserve"> </w:t>
      </w:r>
      <w:r>
        <w:rPr>
          <w:rFonts w:ascii="Times New Roman" w:hAnsi="Times New Roman"/>
          <w:color w:val="000000"/>
          <w:sz w:val="22"/>
        </w:rPr>
        <w:t xml:space="preserve">Antonio</w:t>
      </w:r>
      <w:r>
        <w:rPr>
          <w:rFonts w:ascii="Times New Roman" w:hAnsi="Times New Roman"/>
          <w:color w:val="000000"/>
          <w:sz w:val="22"/>
        </w:rPr>
        <w:t xml:space="preserve"> </w:t>
      </w:r>
      <w:r>
        <w:rPr>
          <w:rFonts w:ascii="Times New Roman" w:hAnsi="Times New Roman"/>
          <w:color w:val="000000"/>
          <w:sz w:val="22"/>
        </w:rPr>
        <w:t xml:space="preserve">Lloret</w:t>
      </w:r>
      <w:r>
        <w:rPr>
          <w:rFonts w:ascii="Times New Roman" w:hAnsi="Times New Roman"/>
          <w:color w:val="000000"/>
          <w:sz w:val="22"/>
        </w:rPr>
        <w:t xml:space="preserve"> </w:t>
      </w:r>
      <w:r>
        <w:rPr>
          <w:rFonts w:ascii="Times New Roman" w:hAnsi="Times New Roman"/>
          <w:color w:val="000000"/>
          <w:sz w:val="22"/>
        </w:rPr>
        <w:t xml:space="preserve">Egea</w:t>
      </w:r>
    </w:p>
    <w:p>
      <w:pPr>
        <w:pStyle w:val="FirstParagraph"/>
        <w:spacing w:after="80"/>
        <w:jc w:val="left"/>
      </w:pPr>
      <w:r>
        <w:rPr>
          <w:b/>
        </w:rPr>
        <w:t>Affiliation:</w:t>
      </w:r>
      <w:r>
        <w:t xml:space="preserve"> Instituto Tecnológico Virtual de la Inteligencia Artificial para el Español (ITVIA), Madrid, Spain</w:t>
      </w:r>
      <w:r>
        <w:br/>
      </w:r>
      <w:r>
        <w:rPr>
          <w:b/>
        </w:rPr>
        <w:t>Corresponding author:</w:t>
      </w:r>
      <w:r>
        <w:t xml:space="preserve"> juanantoniolloretegea@ieee.org</w:t>
      </w:r>
      <w:r>
        <w:br/>
      </w:r>
      <w:r>
        <w:rPr>
          <w:b/>
        </w:rPr>
        <w:t>ORCID:</w:t>
      </w:r>
      <w:r>
        <w:t xml:space="preserve"> 0000-0002-6634-3351</w:t>
      </w:r>
    </w:p>
    <w:bookmarkStart w:id="20" w:name="abstract"/>
    <w:p>
      <w:pPr>
        <w:pStyle w:val="Heading1"/>
        <w:keepNext/>
      </w:pPr>
      <w:r>
        <w:t xml:space="preserve">Abstract</w:t>
      </w:r>
    </w:p>
    <w:p>
      <w:pPr>
        <w:pStyle w:val="FirstParagraph"/>
      </w:pPr>
      <w:r>
        <w:t xml:space="preserve">This article presents DOAN-Ω16, originally designated</w:t>
      </w:r>
      <w:r>
        <w:t xml:space="preserve"> </w:t>
      </w:r>
      <w:r>
        <w:rPr>
          <w:i/>
          <w:iCs/>
        </w:rPr>
        <w:t xml:space="preserve">Lanzadera Ómicron</w:t>
      </w:r>
      <w:r>
        <w:t xml:space="preserve">, as a formal nodal-etary construction that maps an admitted domain-age record to a situated extensional coordinate. The construction separates four roles that are often conflated in large-scale determination: an etary displacement from a declared reference, a constitutive structural factor of the domain, a dimensionless nodal coordinate, and a locally calibrated extensional scale. Its operative chain is</w:t>
      </w:r>
    </w:p>
    <w:p>
      <w:pPr>
        <w:pStyle w:val="BodyText"/>
      </w:pPr>
      <m:oMathPara>
        <m:oMathParaPr>
          <m:jc m:val="center"/>
        </m:oMathParaPr>
        <m:oMath>
          <m:r>
            <m:t>Δ</m:t>
          </m:r>
          <m:sSub>
            <m:e>
              <m:r>
                <m:t>A</m:t>
              </m:r>
            </m:e>
            <m:sub>
              <m:r>
                <m:t>D</m:t>
              </m:r>
            </m:sub>
          </m:sSub>
          <m:r>
            <m:rPr>
              <m:sty m:val="p"/>
            </m:rPr>
            <m:t>→</m:t>
          </m:r>
          <m:sSub>
            <m:e>
              <m:r>
                <m:t>N</m:t>
              </m:r>
            </m:e>
            <m:sub>
              <m:r>
                <m:t>A</m:t>
              </m:r>
            </m:sub>
          </m:sSub>
          <m:r>
            <m:rPr>
              <m:sty m:val="p"/>
            </m:rPr>
            <m:t>→</m:t>
          </m:r>
          <m:sSub>
            <m:e>
              <m:r>
                <m:t>g</m:t>
              </m:r>
            </m:e>
            <m:sub>
              <m:r>
                <m:t>D</m:t>
              </m:r>
            </m:sub>
          </m:sSub>
          <m:r>
            <m:rPr>
              <m:sty m:val="p"/>
            </m:rPr>
            <m:t>→</m:t>
          </m:r>
          <m:sSub>
            <m:e>
              <m:r>
                <m:t>ν</m:t>
              </m:r>
            </m:e>
            <m:sub>
              <m:r>
                <m:t>D</m:t>
              </m:r>
            </m:sub>
          </m:sSub>
          <m:r>
            <m:rPr>
              <m:sty m:val="p"/>
            </m:rPr>
            <m:t>→</m:t>
          </m:r>
          <m:sSub>
            <m:e>
              <m:r>
                <m:t>σ</m:t>
              </m:r>
            </m:e>
            <m:sub>
              <m:r>
                <m:t>Ω</m:t>
              </m:r>
              <m:r>
                <m:t>16</m:t>
              </m:r>
            </m:sub>
          </m:sSub>
          <m:r>
            <m:rPr>
              <m:sty m:val="p"/>
            </m:rPr>
            <m:t>→</m:t>
          </m:r>
          <m:sSub>
            <m:e>
              <m:r>
                <m:t>λ</m:t>
              </m:r>
            </m:e>
            <m:sub>
              <m:r>
                <m:t>D</m:t>
              </m:r>
            </m:sub>
          </m:sSub>
          <m:r>
            <m:rPr>
              <m:sty m:val="p"/>
            </m:rPr>
            <m:t>.</m:t>
          </m:r>
        </m:oMath>
      </m:oMathPara>
    </w:p>
    <w:p>
      <w:pPr>
        <w:pStyle w:val="FirstParagraph"/>
      </w:pPr>
      <w:r>
        <w:t xml:space="preserve">For the returned observable domain, the admitted values are an access age of 13.8 billion Julian years, a declared closure age of 27.6 billion Julian years, and a Solar-System reference age of 4.568 billion Julian years. The domain factor is defined constitutively as</w:t>
      </w:r>
      <w:r>
        <w:t xml:space="preserve"> </w:t>
      </w:r>
      <m:oMath>
        <m:sSub>
          <m:e>
            <m:r>
              <m:t>g</m:t>
            </m:r>
          </m:e>
          <m:sub>
            <m:r>
              <m:t>D</m:t>
            </m:r>
          </m:sub>
        </m:sSub>
        <m:box>
          <m:boxPr>
            <m:opEmu m:val="on"/>
          </m:boxPr>
          <m:e>
            <m:r>
              <m:rPr>
                <m:sty m:val="p"/>
              </m:rPr>
              <m:t>:=</m:t>
            </m:r>
          </m:e>
        </m:box>
        <m:rad>
          <m:radPr>
            <m:degHide m:val="on"/>
          </m:radPr>
          <m:deg/>
          <m:e>
            <m:d>
              <m:dPr>
                <m:begChr m:val="("/>
                <m:endChr m:val=")"/>
                <m:sepChr m:val=""/>
                <m:grow/>
              </m:dPr>
              <m:e>
                <m:r>
                  <m:t>1</m:t>
                </m:r>
                <m:r>
                  <m:rPr>
                    <m:sty m:val="p"/>
                  </m:rPr>
                  <m:t>+</m:t>
                </m:r>
                <m:sSub>
                  <m:e>
                    <m:r>
                      <m:t>χ</m:t>
                    </m:r>
                  </m:e>
                  <m:sub>
                    <m:r>
                      <m:t>D</m:t>
                    </m:r>
                  </m:sub>
                </m:sSub>
              </m:e>
            </m:d>
            <m:r>
              <m:rPr>
                <m:sty m:val="p"/>
              </m:rPr>
              <m:t>/</m:t>
            </m:r>
            <m:r>
              <m:t>2</m:t>
            </m:r>
          </m:e>
        </m:rad>
      </m:oMath>
      <w:r>
        <w:t xml:space="preserve"> </w:t>
      </w:r>
      <w:r>
        <w:t xml:space="preserve">and is held fixed between access and boundary; the change is carried by the etary count. The construction yields a present-access coordinate and a positive closure-boundary coordinate from the terrestrial origin, related by the exact rational factor</w:t>
      </w:r>
      <w:r>
        <w:t xml:space="preserve"> </w:t>
      </w:r>
      <m:oMath>
        <m:r>
          <m:t>2879</m:t>
        </m:r>
        <m:r>
          <m:rPr>
            <m:sty m:val="p"/>
          </m:rPr>
          <m:t>/</m:t>
        </m:r>
        <m:r>
          <m:t>1154</m:t>
        </m:r>
      </m:oMath>
      <w:r>
        <w:t xml:space="preserve">. The boundary coordinate is then coordinated, by an explicit change-of-origin decomposition, with a previously declared structural radius. This coordination is not presented as a second independent derivation of that radius. Exact rational identities, multiprecision quantities, historical precision freezing, and residual classes are distinguished throughout. No observational validation, universal uniqueness of the constitutive factor, or equivalence with standard cosmological distance measures is claimed.</w:t>
      </w:r>
    </w:p>
    <w:p>
      <w:pPr>
        <w:pStyle w:val="BodyText"/>
      </w:pPr>
      <w:r>
        <w:rPr>
          <w:b/>
          <w:bCs/>
        </w:rPr>
        <w:t xml:space="preserve">Keywords:</w:t>
      </w:r>
      <w:r>
        <w:t xml:space="preserve"> </w:t>
      </w:r>
      <w:r>
        <w:t xml:space="preserve">nodal-etary transduction; observable universe; boundary coordinate; constitutive operator; change of origin; cosmological foundations</w:t>
      </w:r>
    </w:p>
    <w:bookmarkEnd w:id="20"/>
    <w:bookmarkStart w:id="24" w:name="introduction"/>
    <w:p>
      <w:pPr>
        <w:pStyle w:val="Heading1"/>
        <w:keepNext/>
      </w:pPr>
      <w:r>
        <w:t xml:space="preserve">1 Introduction</w:t>
      </w:r>
    </w:p>
    <w:p>
      <w:pPr>
        <w:pStyle w:val="FirstParagraph"/>
      </w:pPr>
      <w:r>
        <w:t xml:space="preserve">Cosmological distance is not a single primitive quantity. Contemporary cosmology distinguishes, among other objects, line-of-sight and transverse comoving distances, angular-diameter distance, luminosity distance, lookback time, and horizon scales [1]. Each is defined through a declared observational or geometrical framework. Cosmic-chronometer methods use differential galaxy ages to estimate</w:t>
      </w:r>
      <w:r>
        <w:t xml:space="preserve"> </w:t>
      </w:r>
      <m:oMath>
        <m:r>
          <m:t>d</m:t>
        </m:r>
        <m:r>
          <m:t>z</m:t>
        </m:r>
        <m:r>
          <m:rPr>
            <m:sty m:val="p"/>
          </m:rPr>
          <m:t>/</m:t>
        </m:r>
        <m:r>
          <m:t>d</m:t>
        </m:r>
        <m:r>
          <m:t>t</m:t>
        </m:r>
      </m:oMath>
      <w:r>
        <w:t xml:space="preserve"> </w:t>
      </w:r>
      <w:r>
        <w:t xml:space="preserve">and thereby constrain</w:t>
      </w:r>
      <w:r>
        <w:t xml:space="preserve"> </w:t>
      </w:r>
      <m:oMath>
        <m:r>
          <m:t>H</m:t>
        </m:r>
        <m:d>
          <m:dPr>
            <m:begChr m:val="("/>
            <m:endChr m:val=")"/>
            <m:sepChr m:val=""/>
            <m:grow/>
          </m:dPr>
          <m:e>
            <m:r>
              <m:t>z</m:t>
            </m:r>
          </m:e>
        </m:d>
      </m:oMath>
      <w:r>
        <w:t xml:space="preserve"> </w:t>
      </w:r>
      <w:r>
        <w:t xml:space="preserve">[2,3]. Type Ia supernova methods can infer luminosity distances without a spectroscopic redshift known</w:t>
      </w:r>
      <w:r>
        <w:t xml:space="preserve"> </w:t>
      </w:r>
      <w:r>
        <w:rPr>
          <w:i/>
          <w:iCs/>
        </w:rPr>
        <w:t xml:space="preserve">a priori</w:t>
      </w:r>
      <w:r>
        <w:t xml:space="preserve"> </w:t>
      </w:r>
      <w:r>
        <w:t xml:space="preserve">by marginalising over redshift, while redshift remains a variable of the method [4]. General cosmological-distance algorithms calculate angular-size and related distances inside parametrised Friedmann-Lemaître models [5]. Chronometric geodesy provides a distinct example of temporal or frequency information being converted into a spatial or geopotential quantity through an explicit physical law and calibration [6,7].</w:t>
      </w:r>
    </w:p>
    <w:p>
      <w:pPr>
        <w:pStyle w:val="BodyText"/>
      </w:pPr>
      <w:r>
        <w:t xml:space="preserve">The construction examined here addresses a different formal question:</w:t>
      </w:r>
    </w:p>
    <w:p>
      <w:pPr>
        <w:pStyle w:val="BlockText"/>
      </w:pPr>
      <w:r>
        <w:t xml:space="preserve">Under a declared domain, reference, scale, and boundary, can an admitted age record be transformed into a situated extensional coordinate through a fully typed chain?</w:t>
      </w:r>
    </w:p>
    <w:p>
      <w:pPr>
        <w:pStyle w:val="FirstParagraph"/>
      </w:pPr>
      <w:r>
        <w:t xml:space="preserve">DOAN-Ω16 answers that question by separating the input record from the operator that consumes it. It does not infer</w:t>
      </w:r>
      <w:r>
        <w:t xml:space="preserve"> </w:t>
      </w:r>
      <m:oMath>
        <m:r>
          <m:t>H</m:t>
        </m:r>
        <m:d>
          <m:dPr>
            <m:begChr m:val="("/>
            <m:endChr m:val=")"/>
            <m:sepChr m:val=""/>
            <m:grow/>
          </m:dPr>
          <m:e>
            <m:r>
              <m:t>z</m:t>
            </m:r>
          </m:e>
        </m:d>
      </m:oMath>
      <w:r>
        <w:t xml:space="preserve">, marginalise over redshift, introduce a new Friedmann-Lemaître distance, or claim to replace observational distance determination. It maps a declared etary difference to a dimensionless nodal coordinate and returns that coordinate through a locally constructed extensional scale.</w:t>
      </w:r>
    </w:p>
    <w:p>
      <w:pPr>
        <w:pStyle w:val="BodyText"/>
      </w:pPr>
      <w:r>
        <w:t xml:space="preserve">The present article is a peer-review-oriented formalisation of a procedure previously disclosed in a Spanish-language, non-peer-reviewed preprint [8]. The earlier disclosure preserved the access and boundary outputs but did not present, in one continuous scientific argument, the complete genealogy of the scale, the constitutive status of the domain factor, the separation between structural signature and etary variation, or the precision policy required to reproduce the historical values. Those elements are made explicit here. The coordination of the boundary coordinate with a previously declared structural radius uses the change-of-origin framework later stated in a related preprint [9]; only the minimum required part of that framework is imported.</w:t>
      </w:r>
    </w:p>
    <w:p>
      <w:pPr>
        <w:pStyle w:val="BodyText"/>
      </w:pPr>
      <w:r>
        <w:t xml:space="preserve">The contribution is deliberately narrow. The observable domain is the principal execution, not a gateway to the entire underlying corpus. The article establishes:</w:t>
      </w:r>
    </w:p>
    <w:p>
      <w:pPr>
        <w:pStyle w:val="Compact"/>
        <w:numPr>
          <w:ilvl w:val="0"/>
          <w:numId w:val="1001"/>
        </w:numPr>
      </w:pPr>
      <w:r>
        <w:t xml:space="preserve">the declared input and output types of DOAN-Ω16;</w:t>
      </w:r>
    </w:p>
    <w:p>
      <w:pPr>
        <w:pStyle w:val="Compact"/>
        <w:numPr>
          <w:ilvl w:val="0"/>
          <w:numId w:val="1001"/>
        </w:numPr>
      </w:pPr>
      <w:r>
        <w:t xml:space="preserve">the construction of the Ω16 scale from the Earth-Moon-Sun calibration frame;</w:t>
      </w:r>
    </w:p>
    <w:p>
      <w:pPr>
        <w:pStyle w:val="Compact"/>
        <w:numPr>
          <w:ilvl w:val="0"/>
          <w:numId w:val="1001"/>
        </w:numPr>
      </w:pPr>
      <w:r>
        <w:t xml:space="preserve">the constitutive status and verified regularity of the domain factor</w:t>
      </w:r>
      <w:r>
        <w:t xml:space="preserve"> </w:t>
      </w:r>
      <m:oMath>
        <m:sSub>
          <m:e>
            <m:r>
              <m:t>g</m:t>
            </m:r>
          </m:e>
          <m:sub>
            <m:r>
              <m:t>D</m:t>
            </m:r>
          </m:sub>
        </m:sSub>
      </m:oMath>
      <w:r>
        <w:t xml:space="preserve">;</w:t>
      </w:r>
    </w:p>
    <w:p>
      <w:pPr>
        <w:pStyle w:val="Compact"/>
        <w:numPr>
          <w:ilvl w:val="0"/>
          <w:numId w:val="1001"/>
        </w:numPr>
      </w:pPr>
      <w:r>
        <w:t xml:space="preserve">the formation of access and closure-boundary coordinates;</w:t>
      </w:r>
    </w:p>
    <w:p>
      <w:pPr>
        <w:pStyle w:val="Compact"/>
        <w:numPr>
          <w:ilvl w:val="0"/>
          <w:numId w:val="1001"/>
        </w:numPr>
      </w:pPr>
      <w:r>
        <w:t xml:space="preserve">the exact rational relation between the two coordinates;</w:t>
      </w:r>
    </w:p>
    <w:p>
      <w:pPr>
        <w:pStyle w:val="Compact"/>
        <w:numPr>
          <w:ilvl w:val="0"/>
          <w:numId w:val="1001"/>
        </w:numPr>
      </w:pPr>
      <w:r>
        <w:t xml:space="preserve">the distinction between exact identities and multiprecision evaluation;</w:t>
      </w:r>
    </w:p>
    <w:p>
      <w:pPr>
        <w:pStyle w:val="Compact"/>
        <w:numPr>
          <w:ilvl w:val="0"/>
          <w:numId w:val="1001"/>
        </w:numPr>
      </w:pPr>
      <w:r>
        <w:t xml:space="preserve">the coordination of the situated boundary coordinate with a structural radius by change of origin; and</w:t>
      </w:r>
    </w:p>
    <w:p>
      <w:pPr>
        <w:pStyle w:val="Compact"/>
        <w:numPr>
          <w:ilvl w:val="0"/>
          <w:numId w:val="1001"/>
        </w:numPr>
      </w:pPr>
      <w:r>
        <w:t xml:space="preserve">the limits of the construction.</w:t>
      </w:r>
    </w:p>
    <w:p>
      <w:pPr>
        <w:pStyle w:val="FirstParagraph"/>
      </w:pPr>
      <w:r>
        <w:t xml:space="preserve">It does not derive a general theory of ages, claim observational exactness, prove universal uniqueness of</w:t>
      </w:r>
      <w:r>
        <w:t xml:space="preserve"> </w:t>
      </w:r>
      <m:oMath>
        <m:sSub>
          <m:e>
            <m:r>
              <m:t>g</m:t>
            </m:r>
          </m:e>
          <m:sub>
            <m:r>
              <m:t>D</m:t>
            </m:r>
          </m:sub>
        </m:sSub>
      </m:oMath>
      <w:r>
        <w:t xml:space="preserve">, or determine whether the output is equivalent or inequivalent to any standard cosmological metric. Those are separate questions.</w:t>
      </w:r>
    </w:p>
    <w:p>
      <w:pPr>
        <w:pStyle w:val="CaptionedFigure"/>
      </w:pPr>
      <w:r>
        <w:drawing>
          <wp:inline>
            <wp:extent cx="5465445" cy="1439487"/>
            <wp:effectExtent b="0" l="0" r="0" t="0"/>
            <wp:docPr descr="Typed chain of DOAN-Ω16. The age record and declared reference feed a dimensionless nodal branch; only the Ω16 scale introduces extension." title="" id="22" name="Picture"/>
            <a:graphic>
              <a:graphicData uri="http://schemas.openxmlformats.org/drawingml/2006/picture">
                <pic:pic>
                  <pic:nvPicPr>
                    <pic:cNvPr descr="figures/figure1_chain.png" id="23" name="Picture"/>
                    <pic:cNvPicPr>
                      <a:picLocks noChangeArrowheads="1" noChangeAspect="1"/>
                    </pic:cNvPicPr>
                  </pic:nvPicPr>
                  <pic:blipFill>
                    <a:blip r:embed="rId21"/>
                    <a:stretch>
                      <a:fillRect/>
                    </a:stretch>
                  </pic:blipFill>
                  <pic:spPr bwMode="auto">
                    <a:xfrm>
                      <a:off x="0" y="0"/>
                      <a:ext cx="5465445" cy="1439487"/>
                    </a:xfrm>
                    <a:prstGeom prst="rect">
                      <a:avLst/>
                    </a:prstGeom>
                    <a:noFill/>
                    <a:ln w="9525">
                      <a:noFill/>
                      <a:headEnd/>
                      <a:tailEnd/>
                    </a:ln>
                  </pic:spPr>
                </pic:pic>
              </a:graphicData>
            </a:graphic>
          </wp:inline>
        </w:drawing>
      </w:r>
    </w:p>
    <w:p>
      <w:pPr>
        <w:pStyle w:val="ImageCaption"/>
      </w:pPr>
      <w:r>
        <w:t xml:space="preserve">Typed chain of DOAN-Ω16. The age record and declared reference feed a dimensionless nodal branch; only the Ω16 scale introduces extension.</w:t>
      </w:r>
    </w:p>
    <w:bookmarkEnd w:id="24"/>
    <w:bookmarkStart w:id="29" w:name="X9a83ca9df0b65b7e4261c972b76f7a2e9c62f2d"/>
    <w:p>
      <w:pPr>
        <w:pStyle w:val="Heading1"/>
        <w:keepNext/>
      </w:pPr>
      <w:r>
        <w:t xml:space="preserve">2 Declared domain, input, and situated output</w:t>
      </w:r>
    </w:p>
    <w:bookmarkStart w:id="25" w:name="returned-observable-domain"/>
    <w:p>
      <w:pPr>
        <w:pStyle w:val="Heading2"/>
        <w:keepNext/>
      </w:pPr>
      <w:r>
        <w:t xml:space="preserve">2.1 Returned observable domain</w:t>
      </w:r>
    </w:p>
    <w:p>
      <w:pPr>
        <w:pStyle w:val="FirstParagraph"/>
      </w:pPr>
      <w:r>
        <w:t xml:space="preserve">Let</w:t>
      </w:r>
      <w:r>
        <w:t xml:space="preserve"> </w:t>
      </w:r>
      <m:oMath>
        <m:sSub>
          <m:e>
            <m:r>
              <m:t>Ω</m:t>
            </m:r>
          </m:e>
          <m:sub>
            <m:r>
              <m:rPr>
                <m:sty m:val="p"/>
              </m:rPr>
              <m:t>o</m:t>
            </m:r>
            <m:r>
              <m:rPr>
                <m:sty m:val="p"/>
              </m:rPr>
              <m:t>b</m:t>
            </m:r>
            <m:r>
              <m:rPr>
                <m:sty m:val="p"/>
              </m:rPr>
              <m:t>s</m:t>
            </m:r>
          </m:sub>
        </m:sSub>
      </m:oMath>
      <w:r>
        <w:t xml:space="preserve"> </w:t>
      </w:r>
      <w:r>
        <w:t xml:space="preserve">denote the returned observable domain considered in this execution. The notation does not denote an absolute totality of physical existence. It denotes the specific cosmological domain to which the admitted age, declared closure, reference, origin, and boundary are assigned.</w:t>
      </w:r>
    </w:p>
    <w:p>
      <w:pPr>
        <w:pStyle w:val="BodyText"/>
      </w:pPr>
      <w:r>
        <w:t xml:space="preserve">The calculation uses the following declared values:</w:t>
      </w:r>
    </w:p>
    <w:p>
      <w:pPr>
        <w:pStyle w:val="BodyText"/>
      </w:pPr>
      <m:oMathPara>
        <m:oMathParaPr>
          <m:jc m:val="center"/>
        </m:oMathParaPr>
        <m:oMath>
          <m:sSub>
            <m:e>
              <m:r>
                <m:t>A</m:t>
              </m:r>
            </m:e>
            <m:sub>
              <m:sSub>
                <m:e>
                  <m:r>
                    <m:t>Ω</m:t>
                  </m:r>
                </m:e>
                <m:sub>
                  <m:r>
                    <m:rPr>
                      <m:sty m:val="p"/>
                    </m:rPr>
                    <m:t>o</m:t>
                  </m:r>
                  <m:r>
                    <m:rPr>
                      <m:sty m:val="p"/>
                    </m:rPr>
                    <m:t>b</m:t>
                  </m:r>
                  <m:r>
                    <m:rPr>
                      <m:sty m:val="p"/>
                    </m:rPr>
                    <m:t>s</m:t>
                  </m:r>
                </m:sub>
              </m:sSub>
            </m:sub>
          </m:sSub>
          <m:r>
            <m:rPr>
              <m:sty m:val="p"/>
            </m:rPr>
            <m:t>=</m:t>
          </m:r>
          <m:r>
            <m:t>13</m:t>
          </m:r>
          <m:r>
            <m:t> </m:t>
          </m:r>
          <m:r>
            <m:t>800</m:t>
          </m:r>
          <m:r>
            <m:t> </m:t>
          </m:r>
          <m:r>
            <m:t>000</m:t>
          </m:r>
          <m:r>
            <m:t> </m:t>
          </m:r>
          <m:r>
            <m:t>000</m:t>
          </m:r>
          <m:r>
            <m:t> </m:t>
          </m:r>
          <m:sSub>
            <m:e>
              <m:r>
                <m:t>a</m:t>
              </m:r>
            </m:e>
            <m:sub>
              <m:r>
                <m:t>J</m:t>
              </m:r>
            </m:sub>
          </m:sSub>
          <m:r>
            <m:rPr>
              <m:sty m:val="p"/>
            </m:rPr>
            <m:t>,</m:t>
          </m:r>
        </m:oMath>
      </m:oMathPara>
    </w:p>
    <w:p>
      <w:pPr>
        <w:pStyle w:val="FirstParagraph"/>
      </w:pPr>
      <m:oMathPara>
        <m:oMathParaPr>
          <m:jc m:val="center"/>
        </m:oMathParaPr>
        <m:oMath>
          <m:sSub>
            <m:e>
              <m:r>
                <m:t>F</m:t>
              </m:r>
            </m:e>
            <m:sub>
              <m:sSub>
                <m:e>
                  <m:r>
                    <m:t>Ω</m:t>
                  </m:r>
                </m:e>
                <m:sub>
                  <m:r>
                    <m:rPr>
                      <m:sty m:val="p"/>
                    </m:rPr>
                    <m:t>o</m:t>
                  </m:r>
                  <m:r>
                    <m:rPr>
                      <m:sty m:val="p"/>
                    </m:rPr>
                    <m:t>b</m:t>
                  </m:r>
                  <m:r>
                    <m:rPr>
                      <m:sty m:val="p"/>
                    </m:rPr>
                    <m:t>s</m:t>
                  </m:r>
                </m:sub>
              </m:sSub>
            </m:sub>
          </m:sSub>
          <m:r>
            <m:rPr>
              <m:sty m:val="p"/>
            </m:rPr>
            <m:t>=</m:t>
          </m:r>
          <m:r>
            <m:t>27</m:t>
          </m:r>
          <m:r>
            <m:t> </m:t>
          </m:r>
          <m:r>
            <m:t>600</m:t>
          </m:r>
          <m:r>
            <m:t> </m:t>
          </m:r>
          <m:r>
            <m:t>000</m:t>
          </m:r>
          <m:r>
            <m:t> </m:t>
          </m:r>
          <m:r>
            <m:t>000</m:t>
          </m:r>
          <m:r>
            <m:t> </m:t>
          </m:r>
          <m:sSub>
            <m:e>
              <m:r>
                <m:t>a</m:t>
              </m:r>
            </m:e>
            <m:sub>
              <m:r>
                <m:t>J</m:t>
              </m:r>
            </m:sub>
          </m:sSub>
          <m:r>
            <m:rPr>
              <m:sty m:val="p"/>
            </m:rPr>
            <m:t>,</m:t>
          </m:r>
        </m:oMath>
      </m:oMathPara>
    </w:p>
    <w:p>
      <w:pPr>
        <w:pStyle w:val="FirstParagraph"/>
      </w:pPr>
      <m:oMathPara>
        <m:oMathParaPr>
          <m:jc m:val="center"/>
        </m:oMathParaPr>
        <m:oMath>
          <m:sSub>
            <m:e>
              <m:r>
                <m:t>A</m:t>
              </m:r>
            </m:e>
            <m:sub>
              <m:r>
                <m:t>Ω</m:t>
              </m:r>
              <m:r>
                <m:t>S</m:t>
              </m:r>
              <m:r>
                <m:t>S</m:t>
              </m:r>
            </m:sub>
          </m:sSub>
          <m:r>
            <m:rPr>
              <m:sty m:val="p"/>
            </m:rPr>
            <m:t>=</m:t>
          </m:r>
          <m:r>
            <m:t>4</m:t>
          </m:r>
          <m:r>
            <m:t> </m:t>
          </m:r>
          <m:r>
            <m:t>568</m:t>
          </m:r>
          <m:r>
            <m:t> </m:t>
          </m:r>
          <m:r>
            <m:t>000</m:t>
          </m:r>
          <m:r>
            <m:t> </m:t>
          </m:r>
          <m:r>
            <m:t>000</m:t>
          </m:r>
          <m:r>
            <m:t> </m:t>
          </m:r>
          <m:sSub>
            <m:e>
              <m:r>
                <m:t>a</m:t>
              </m:r>
            </m:e>
            <m:sub>
              <m:r>
                <m:t>J</m:t>
              </m:r>
            </m:sub>
          </m:sSub>
          <m:r>
            <m:rPr>
              <m:sty m:val="p"/>
            </m:rPr>
            <m:t>,</m:t>
          </m:r>
        </m:oMath>
      </m:oMathPara>
    </w:p>
    <w:p>
      <w:pPr>
        <w:pStyle w:val="FirstParagraph"/>
      </w:pPr>
      <w:r>
        <w:t xml:space="preserve">where</w:t>
      </w:r>
      <w:r>
        <w:t xml:space="preserve"> </w:t>
      </w:r>
      <m:oMath>
        <m:sSub>
          <m:e>
            <m:r>
              <m:t>a</m:t>
            </m:r>
          </m:e>
          <m:sub>
            <m:r>
              <m:t>J</m:t>
            </m:r>
          </m:sub>
        </m:sSub>
      </m:oMath>
      <w:r>
        <w:t xml:space="preserve"> </w:t>
      </w:r>
      <w:r>
        <w:t xml:space="preserve">is the Julian year. Equation (1) is the admitted access age of the returned observable domain, Eq. (2) is its declared closure age in the present regime, and Eq. (3) is the reference age assigned to the Solar System.</w:t>
      </w:r>
    </w:p>
    <w:p>
      <w:pPr>
        <w:pStyle w:val="BodyText"/>
      </w:pPr>
      <w:r>
        <w:t xml:space="preserve">The article takes these values as admitted inputs. Their general derivation is outside scope. This restriction is essential: DOAN-Ω16 is evaluated as an operator that consumes a typed age record, not as a general age-determination theory. The prior age publication is cited only to document the record and its domain assignment [10]; no result in the present article depends on reopening its full internal argument.</w:t>
      </w:r>
    </w:p>
    <w:bookmarkEnd w:id="25"/>
    <w:bookmarkStart w:id="26" w:name="situated-origin-and-boundary"/>
    <w:p>
      <w:pPr>
        <w:pStyle w:val="Heading2"/>
        <w:keepNext/>
      </w:pPr>
      <w:r>
        <w:t xml:space="preserve">2.2 Situated origin and boundary</w:t>
      </w:r>
    </w:p>
    <w:p>
      <w:pPr>
        <w:pStyle w:val="FirstParagraph"/>
      </w:pPr>
      <w:r>
        <w:t xml:space="preserve">The operative origin is the terrestrial reference point</w:t>
      </w:r>
      <w:r>
        <w:t xml:space="preserve"> </w:t>
      </w:r>
      <m:oMath>
        <m:r>
          <m:t>T</m:t>
        </m:r>
      </m:oMath>
      <w:r>
        <w:t xml:space="preserve">. The boundary is denoted by</w:t>
      </w:r>
    </w:p>
    <w:p>
      <w:pPr>
        <w:pStyle w:val="BodyText"/>
      </w:pPr>
      <m:oMathPara>
        <m:oMathParaPr>
          <m:jc m:val="center"/>
        </m:oMathParaPr>
        <m:oMath>
          <m:r>
            <m:rPr>
              <m:sty m:val="p"/>
            </m:rPr>
            <m:t>∂</m:t>
          </m:r>
          <m:sSub>
            <m:e>
              <m:r>
                <m:t>Ω</m:t>
              </m:r>
            </m:e>
            <m:sub>
              <m:r>
                <m:rPr>
                  <m:sty m:val="p"/>
                </m:rPr>
                <m:t>o</m:t>
              </m:r>
              <m:r>
                <m:rPr>
                  <m:sty m:val="p"/>
                </m:rPr>
                <m:t>b</m:t>
              </m:r>
              <m:r>
                <m:rPr>
                  <m:sty m:val="p"/>
                </m:rPr>
                <m:t>s</m:t>
              </m:r>
            </m:sub>
          </m:sSub>
          <m:r>
            <m:rPr>
              <m:sty m:val="p"/>
            </m:rPr>
            <m:t>.</m:t>
          </m:r>
        </m:oMath>
      </m:oMathPara>
    </w:p>
    <w:p>
      <w:pPr>
        <w:pStyle w:val="FirstParagraph"/>
      </w:pPr>
      <w:r>
        <w:t xml:space="preserve">The principal closure output is therefore a coordinate of the form</w:t>
      </w:r>
    </w:p>
    <w:p>
      <w:pPr>
        <w:pStyle w:val="BodyText"/>
      </w:pPr>
      <m:oMathPara>
        <m:oMathParaPr>
          <m:jc m:val="center"/>
        </m:oMathParaPr>
        <m:oMath>
          <m:r>
            <m:t>D</m:t>
          </m:r>
          <m:r>
            <m:t>​</m:t>
          </m:r>
          <m:d>
            <m:dPr>
              <m:begChr m:val="("/>
              <m:endChr m:val=")"/>
              <m:sepChr m:val=""/>
              <m:grow/>
            </m:dPr>
            <m:e>
              <m:r>
                <m:t>T</m:t>
              </m:r>
              <m:r>
                <m:rPr>
                  <m:sty m:val="p"/>
                </m:rPr>
                <m:t>,</m:t>
              </m:r>
              <m:r>
                <m:rPr>
                  <m:sty m:val="p"/>
                </m:rPr>
                <m:t>∂</m:t>
              </m:r>
              <m:sSub>
                <m:e>
                  <m:r>
                    <m:t>Ω</m:t>
                  </m:r>
                </m:e>
                <m:sub>
                  <m:r>
                    <m:rPr>
                      <m:sty m:val="p"/>
                    </m:rPr>
                    <m:t>o</m:t>
                  </m:r>
                  <m:r>
                    <m:rPr>
                      <m:sty m:val="p"/>
                    </m:rPr>
                    <m:t>b</m:t>
                  </m:r>
                  <m:r>
                    <m:rPr>
                      <m:sty m:val="p"/>
                    </m:rPr>
                    <m:t>s</m:t>
                  </m:r>
                </m:sub>
              </m:sSub>
            </m:e>
          </m:d>
          <m:r>
            <m:rPr>
              <m:sty m:val="p"/>
            </m:rPr>
            <m:t>.</m:t>
          </m:r>
        </m:oMath>
      </m:oMathPara>
    </w:p>
    <w:p>
      <w:pPr>
        <w:pStyle w:val="FirstParagraph"/>
      </w:pPr>
      <w:r>
        <w:t xml:space="preserve">This quantity is distinct from the previously declared structural radius</w:t>
      </w:r>
    </w:p>
    <w:p>
      <w:pPr>
        <w:pStyle w:val="BodyText"/>
      </w:pPr>
      <m:oMathPara>
        <m:oMathParaPr>
          <m:jc m:val="center"/>
        </m:oMathParaPr>
        <m:oMath>
          <m:sSub>
            <m:e>
              <m:r>
                <m:t>R</m:t>
              </m:r>
            </m:e>
            <m:sub>
              <m:r>
                <m:t>U</m:t>
              </m:r>
            </m:sub>
          </m:sSub>
          <m:r>
            <m:rPr>
              <m:sty m:val="p"/>
            </m:rPr>
            <m:t>=</m:t>
          </m:r>
          <m:r>
            <m:t>D</m:t>
          </m:r>
          <m:r>
            <m:t>​</m:t>
          </m:r>
          <m:d>
            <m:dPr>
              <m:begChr m:val="("/>
              <m:endChr m:val=")"/>
              <m:sepChr m:val=""/>
              <m:grow/>
            </m:dPr>
            <m:e>
              <m:sSub>
                <m:e>
                  <m:r>
                    <m:t>O</m:t>
                  </m:r>
                </m:e>
                <m:sub>
                  <m:r>
                    <m:t>U</m:t>
                  </m:r>
                </m:sub>
              </m:sSub>
              <m:r>
                <m:rPr>
                  <m:sty m:val="p"/>
                </m:rPr>
                <m:t>,</m:t>
              </m:r>
              <m:r>
                <m:rPr>
                  <m:sty m:val="p"/>
                </m:rPr>
                <m:t>∂</m:t>
              </m:r>
              <m:sSub>
                <m:e>
                  <m:r>
                    <m:t>Ω</m:t>
                  </m:r>
                </m:e>
                <m:sub>
                  <m:r>
                    <m:rPr>
                      <m:sty m:val="p"/>
                    </m:rPr>
                    <m:t>o</m:t>
                  </m:r>
                  <m:r>
                    <m:rPr>
                      <m:sty m:val="p"/>
                    </m:rPr>
                    <m:t>b</m:t>
                  </m:r>
                  <m:r>
                    <m:rPr>
                      <m:sty m:val="p"/>
                    </m:rPr>
                    <m:t>s</m:t>
                  </m:r>
                </m:sub>
              </m:sSub>
            </m:e>
          </m:d>
          <m:r>
            <m:rPr>
              <m:sty m:val="p"/>
            </m:rPr>
            <m:t>,</m:t>
          </m:r>
        </m:oMath>
      </m:oMathPara>
    </w:p>
    <w:p>
      <w:pPr>
        <w:pStyle w:val="FirstParagraph"/>
      </w:pPr>
      <w:r>
        <w:t xml:space="preserve">whose origin is the formal cosmological origin</w:t>
      </w:r>
      <w:r>
        <w:t xml:space="preserve"> </w:t>
      </w:r>
      <m:oMath>
        <m:sSub>
          <m:e>
            <m:r>
              <m:t>O</m:t>
            </m:r>
          </m:e>
          <m:sub>
            <m:r>
              <m:t>U</m:t>
            </m:r>
          </m:sub>
        </m:sSub>
      </m:oMath>
      <w:r>
        <w:t xml:space="preserve">. DOAN-Ω16 does not introduce a second autonomous derivation of</w:t>
      </w:r>
      <w:r>
        <w:t xml:space="preserve"> </w:t>
      </w:r>
      <m:oMath>
        <m:sSub>
          <m:e>
            <m:r>
              <m:t>R</m:t>
            </m:r>
          </m:e>
          <m:sub>
            <m:r>
              <m:t>U</m:t>
            </m:r>
          </m:sub>
        </m:sSub>
      </m:oMath>
      <w:r>
        <w:t xml:space="preserve">. Its own cosmological output is a terrestrial-origin boundary coordinate. The relation between Eqs. (5) and (6) is addressed only through change-of-origin decomposition in Sect. 7.</w:t>
      </w:r>
    </w:p>
    <w:bookmarkEnd w:id="26"/>
    <w:bookmarkStart w:id="27" w:name="definition-of-the-output"/>
    <w:p>
      <w:pPr>
        <w:pStyle w:val="Heading2"/>
        <w:keepNext/>
      </w:pPr>
      <w:r>
        <w:t xml:space="preserve">2.3 Definition of the output</w:t>
      </w:r>
    </w:p>
    <w:p>
      <w:pPr>
        <w:pStyle w:val="FirstParagraph"/>
      </w:pPr>
      <w:r>
        <w:t xml:space="preserve">For a declared domain</w:t>
      </w:r>
      <w:r>
        <w:t xml:space="preserve"> </w:t>
      </w:r>
      <m:oMath>
        <m:r>
          <m:t>D</m:t>
        </m:r>
      </m:oMath>
      <w:r>
        <w:t xml:space="preserve">, the construction returns</w:t>
      </w:r>
    </w:p>
    <w:p>
      <w:pPr>
        <w:pStyle w:val="BodyText"/>
      </w:pPr>
      <m:oMathPara>
        <m:oMathParaPr>
          <m:jc m:val="center"/>
        </m:oMathParaPr>
        <m:oMath>
          <m:sSub>
            <m:e>
              <m:r>
                <m:t>λ</m:t>
              </m:r>
            </m:e>
            <m:sub>
              <m:r>
                <m:t>D</m:t>
              </m:r>
            </m:sub>
          </m:sSub>
          <m:r>
            <m:rPr>
              <m:sty m:val="p"/>
            </m:rPr>
            <m:t>.</m:t>
          </m:r>
        </m:oMath>
      </m:oMathPara>
    </w:p>
    <w:p>
      <w:pPr>
        <w:pStyle w:val="FirstParagraph"/>
      </w:pPr>
      <w:r>
        <w:t xml:space="preserve">Within DOAN-Ω16,</w:t>
      </w:r>
      <w:r>
        <w:t xml:space="preserve"> </w:t>
      </w:r>
      <m:oMath>
        <m:sSub>
          <m:e>
            <m:r>
              <m:t>λ</m:t>
            </m:r>
          </m:e>
          <m:sub>
            <m:r>
              <m:t>D</m:t>
            </m:r>
          </m:sub>
        </m:sSub>
      </m:oMath>
      <w:r>
        <w:t xml:space="preserve"> </w:t>
      </w:r>
      <w:r>
        <w:t xml:space="preserve">is a</w:t>
      </w:r>
      <w:r>
        <w:t xml:space="preserve"> </w:t>
      </w:r>
      <w:r>
        <w:rPr>
          <w:b/>
          <w:bCs/>
        </w:rPr>
        <w:t xml:space="preserve">situated nodal-etary extensional coordinate</w:t>
      </w:r>
      <w:r>
        <w:t xml:space="preserve">. Each qualifier is necessary:</w:t>
      </w:r>
    </w:p>
    <w:p>
      <w:pPr>
        <w:pStyle w:val="Compact"/>
        <w:numPr>
          <w:ilvl w:val="0"/>
          <w:numId w:val="1002"/>
        </w:numPr>
      </w:pPr>
      <w:r>
        <w:rPr>
          <w:i/>
          <w:iCs/>
        </w:rPr>
        <w:t xml:space="preserve">situated</w:t>
      </w:r>
      <w:r>
        <w:t xml:space="preserve">: the coordinate is referred to a declared origin;</w:t>
      </w:r>
    </w:p>
    <w:p>
      <w:pPr>
        <w:pStyle w:val="Compact"/>
        <w:numPr>
          <w:ilvl w:val="0"/>
          <w:numId w:val="1002"/>
        </w:numPr>
      </w:pPr>
      <w:r>
        <w:rPr>
          <w:i/>
          <w:iCs/>
        </w:rPr>
        <w:t xml:space="preserve">nodal</w:t>
      </w:r>
      <w:r>
        <w:t xml:space="preserve">: it is formed through an internal nodal coordinate</w:t>
      </w:r>
      <w:r>
        <w:t xml:space="preserve"> </w:t>
      </w:r>
      <m:oMath>
        <m:sSub>
          <m:e>
            <m:r>
              <m:t>ν</m:t>
            </m:r>
          </m:e>
          <m:sub>
            <m:r>
              <m:t>D</m:t>
            </m:r>
          </m:sub>
        </m:sSub>
      </m:oMath>
      <w:r>
        <w:t xml:space="preserve">;</w:t>
      </w:r>
    </w:p>
    <w:p>
      <w:pPr>
        <w:pStyle w:val="Compact"/>
        <w:numPr>
          <w:ilvl w:val="0"/>
          <w:numId w:val="1002"/>
        </w:numPr>
      </w:pPr>
      <w:r>
        <w:rPr>
          <w:i/>
          <w:iCs/>
        </w:rPr>
        <w:t xml:space="preserve">etary</w:t>
      </w:r>
      <w:r>
        <w:t xml:space="preserve">: its variable input is constructed from an age difference;</w:t>
      </w:r>
    </w:p>
    <w:p>
      <w:pPr>
        <w:pStyle w:val="Compact"/>
        <w:numPr>
          <w:ilvl w:val="0"/>
          <w:numId w:val="1002"/>
        </w:numPr>
      </w:pPr>
      <w:r>
        <w:rPr>
          <w:i/>
          <w:iCs/>
        </w:rPr>
        <w:t xml:space="preserve">extensional</w:t>
      </w:r>
      <w:r>
        <w:t xml:space="preserve">: its final return carries the length unit of the declared Ω16 scale.</w:t>
      </w:r>
    </w:p>
    <w:p>
      <w:pPr>
        <w:pStyle w:val="FirstParagraph"/>
      </w:pPr>
      <w:r>
        <w:t xml:space="preserve">For the closure execution of the returned observable domain,</w:t>
      </w:r>
    </w:p>
    <w:p>
      <w:pPr>
        <w:pStyle w:val="BodyText"/>
      </w:pPr>
      <m:oMathPara>
        <m:oMathParaPr>
          <m:jc m:val="center"/>
        </m:oMathParaPr>
        <m:oMath>
          <m:sSub>
            <m:e>
              <m:r>
                <m:t>λ</m:t>
              </m:r>
            </m:e>
            <m:sub>
              <m:r>
                <m:rPr>
                  <m:sty m:val="p"/>
                </m:rPr>
                <m:t>∂</m:t>
              </m:r>
            </m:sub>
          </m:sSub>
          <m:r>
            <m:rPr>
              <m:sty m:val="p"/>
            </m:rPr>
            <m:t>=</m:t>
          </m:r>
          <m:r>
            <m:t>D</m:t>
          </m:r>
          <m:r>
            <m:t>​</m:t>
          </m:r>
          <m:d>
            <m:dPr>
              <m:begChr m:val="("/>
              <m:endChr m:val=")"/>
              <m:sepChr m:val=""/>
              <m:grow/>
            </m:dPr>
            <m:e>
              <m:r>
                <m:t>T</m:t>
              </m:r>
              <m:r>
                <m:rPr>
                  <m:sty m:val="p"/>
                </m:rPr>
                <m:t>,</m:t>
              </m:r>
              <m:r>
                <m:rPr>
                  <m:sty m:val="p"/>
                </m:rPr>
                <m:t>∂</m:t>
              </m:r>
              <m:sSub>
                <m:e>
                  <m:r>
                    <m:t>Ω</m:t>
                  </m:r>
                </m:e>
                <m:sub>
                  <m:r>
                    <m:rPr>
                      <m:sty m:val="p"/>
                    </m:rPr>
                    <m:t>o</m:t>
                  </m:r>
                  <m:r>
                    <m:rPr>
                      <m:sty m:val="p"/>
                    </m:rPr>
                    <m:t>b</m:t>
                  </m:r>
                  <m:r>
                    <m:rPr>
                      <m:sty m:val="p"/>
                    </m:rPr>
                    <m:t>s</m:t>
                  </m:r>
                </m:sub>
              </m:sSub>
            </m:e>
          </m:d>
        </m:oMath>
      </m:oMathPara>
    </w:p>
    <w:p>
      <w:pPr>
        <w:pStyle w:val="FirstParagraph"/>
      </w:pPr>
      <w:r>
        <w:t xml:space="preserve">within the formal regime of the construction.</w:t>
      </w:r>
    </w:p>
    <w:p>
      <w:pPr>
        <w:pStyle w:val="BodyText"/>
      </w:pPr>
      <w:r>
        <w:t xml:space="preserve">Equation (8) assigns the completed chain its physical reading. It does not establish observational equivalence with a conventional cosmological distance measure. No equivalence rule, incompatibility result, or transformation between</w:t>
      </w:r>
      <w:r>
        <w:t xml:space="preserve"> </w:t>
      </w:r>
      <m:oMath>
        <m:sSub>
          <m:e>
            <m:r>
              <m:t>λ</m:t>
            </m:r>
          </m:e>
          <m:sub>
            <m:r>
              <m:rPr>
                <m:sty m:val="p"/>
              </m:rPr>
              <m:t>∂</m:t>
            </m:r>
          </m:sub>
        </m:sSub>
      </m:oMath>
      <w:r>
        <w:t xml:space="preserve"> </w:t>
      </w:r>
      <w:r>
        <w:t xml:space="preserve">and standard cosmological distance measures is investigated or claimed.</w:t>
      </w:r>
    </w:p>
    <w:bookmarkEnd w:id="27"/>
    <w:bookmarkStart w:id="28" w:name="meaning-of-determination"/>
    <w:p>
      <w:pPr>
        <w:pStyle w:val="Heading2"/>
        <w:keepNext/>
      </w:pPr>
      <w:r>
        <w:t xml:space="preserve">2.4 Meaning of determination</w:t>
      </w:r>
    </w:p>
    <w:p>
      <w:pPr>
        <w:pStyle w:val="FirstParagraph"/>
      </w:pPr>
      <w:r>
        <w:t xml:space="preserve">The word</w:t>
      </w:r>
      <w:r>
        <w:t xml:space="preserve"> </w:t>
      </w:r>
      <w:r>
        <w:rPr>
          <w:i/>
          <w:iCs/>
        </w:rPr>
        <w:t xml:space="preserve">determination</w:t>
      </w:r>
      <w:r>
        <w:t xml:space="preserve"> </w:t>
      </w:r>
      <w:r>
        <w:t xml:space="preserve">is used in a restricted formal sense: declared inputs and constitutive rules produce one numerical output under a stated precision and residual policy. It does not mean direct observation of the cosmological boundary, empirical uncertainty equal to zero, model-independent recovery of a conventional distance, or experimental validation of the Ω16 scale.</w:t>
      </w:r>
    </w:p>
    <w:bookmarkEnd w:id="28"/>
    <w:bookmarkEnd w:id="29"/>
    <w:bookmarkStart w:id="34" w:name="Xeeab9e30ef8e062313575aae6d92a8c12ae3273"/>
    <w:p>
      <w:pPr>
        <w:pStyle w:val="Heading1"/>
        <w:keepNext/>
      </w:pPr>
      <w:r>
        <w:t xml:space="preserve">3 Etary branch and constitutive domain factor</w:t>
      </w:r>
    </w:p>
    <w:bookmarkStart w:id="30" w:name="etary-difference-and-count"/>
    <w:p>
      <w:pPr>
        <w:pStyle w:val="Heading2"/>
        <w:keepNext/>
      </w:pPr>
      <w:r>
        <w:t xml:space="preserve">3.1 Etary difference and count</w:t>
      </w:r>
    </w:p>
    <w:p>
      <w:pPr>
        <w:pStyle w:val="FirstParagraph"/>
      </w:pPr>
      <w:r>
        <w:t xml:space="preserve">For a domain</w:t>
      </w:r>
      <w:r>
        <w:t xml:space="preserve"> </w:t>
      </w:r>
      <m:oMath>
        <m:r>
          <m:t>D</m:t>
        </m:r>
      </m:oMath>
      <w:r>
        <w:t xml:space="preserve"> </w:t>
      </w:r>
      <w:r>
        <w:t xml:space="preserve">and reference age</w:t>
      </w:r>
      <w:r>
        <w:t xml:space="preserve"> </w:t>
      </w:r>
      <m:oMath>
        <m:sSub>
          <m:e>
            <m:r>
              <m:t>A</m:t>
            </m:r>
          </m:e>
          <m:sub>
            <m:r>
              <m:rPr>
                <m:sty m:val="p"/>
              </m:rPr>
              <m:t>r</m:t>
            </m:r>
            <m:r>
              <m:rPr>
                <m:sty m:val="p"/>
              </m:rPr>
              <m:t>e</m:t>
            </m:r>
            <m:r>
              <m:rPr>
                <m:sty m:val="p"/>
              </m:rPr>
              <m:t>f</m:t>
            </m:r>
          </m:sub>
        </m:sSub>
      </m:oMath>
      <w:r>
        <w:t xml:space="preserve">, define</w:t>
      </w:r>
    </w:p>
    <w:p>
      <w:pPr>
        <w:pStyle w:val="BodyText"/>
      </w:pPr>
      <m:oMathPara>
        <m:oMathParaPr>
          <m:jc m:val="center"/>
        </m:oMathParaPr>
        <m:oMath>
          <m:r>
            <m:t>Δ</m:t>
          </m:r>
          <m:sSub>
            <m:e>
              <m:r>
                <m:t>A</m:t>
              </m:r>
            </m:e>
            <m:sub>
              <m:r>
                <m:t>D</m:t>
              </m:r>
            </m:sub>
          </m:sSub>
          <m:r>
            <m:rPr>
              <m:sty m:val="p"/>
            </m:rPr>
            <m:t>=</m:t>
          </m:r>
          <m:sSub>
            <m:e>
              <m:r>
                <m:t>A</m:t>
              </m:r>
            </m:e>
            <m:sub>
              <m:r>
                <m:t>D</m:t>
              </m:r>
            </m:sub>
          </m:sSub>
          <m:r>
            <m:rPr>
              <m:sty m:val="p"/>
            </m:rPr>
            <m:t>−</m:t>
          </m:r>
          <m:sSub>
            <m:e>
              <m:r>
                <m:t>A</m:t>
              </m:r>
            </m:e>
            <m:sub>
              <m:r>
                <m:rPr>
                  <m:sty m:val="p"/>
                </m:rPr>
                <m:t>r</m:t>
              </m:r>
              <m:r>
                <m:rPr>
                  <m:sty m:val="p"/>
                </m:rPr>
                <m:t>e</m:t>
              </m:r>
              <m:r>
                <m:rPr>
                  <m:sty m:val="p"/>
                </m:rPr>
                <m:t>f</m:t>
              </m:r>
            </m:sub>
          </m:sSub>
          <m:r>
            <m:rPr>
              <m:sty m:val="p"/>
            </m:rPr>
            <m:t>.</m:t>
          </m:r>
        </m:oMath>
      </m:oMathPara>
    </w:p>
    <w:p>
      <w:pPr>
        <w:pStyle w:val="FirstParagraph"/>
      </w:pPr>
      <w:r>
        <w:t xml:space="preserve">The etary count is</w:t>
      </w:r>
    </w:p>
    <w:p>
      <w:pPr>
        <w:pStyle w:val="BodyText"/>
      </w:pPr>
      <m:oMathPara>
        <m:oMathParaPr>
          <m:jc m:val="center"/>
        </m:oMathParaPr>
        <m:oMath>
          <m:sSub>
            <m:e>
              <m:r>
                <m:t>N</m:t>
              </m:r>
            </m:e>
            <m:sub>
              <m:r>
                <m:t>A</m:t>
              </m:r>
            </m:sub>
          </m:sSub>
          <m:d>
            <m:dPr>
              <m:begChr m:val="("/>
              <m:endChr m:val=")"/>
              <m:sepChr m:val=""/>
              <m:grow/>
            </m:dPr>
            <m:e>
              <m:r>
                <m:t>D</m:t>
              </m:r>
              <m:r>
                <m:rPr>
                  <m:sty m:val="p"/>
                </m:rPr>
                <m:t>∣</m:t>
              </m:r>
              <m:sSub>
                <m:e>
                  <m:r>
                    <m:t>A</m:t>
                  </m:r>
                </m:e>
                <m:sub>
                  <m:r>
                    <m:rPr>
                      <m:sty m:val="p"/>
                    </m:rPr>
                    <m:t>r</m:t>
                  </m:r>
                  <m:r>
                    <m:rPr>
                      <m:sty m:val="p"/>
                    </m:rPr>
                    <m:t>e</m:t>
                  </m:r>
                  <m:r>
                    <m:rPr>
                      <m:sty m:val="p"/>
                    </m:rPr>
                    <m:t>f</m:t>
                  </m:r>
                </m:sub>
              </m:sSub>
            </m:e>
          </m:d>
          <m:r>
            <m:rPr>
              <m:sty m:val="p"/>
            </m:rPr>
            <m:t>=</m:t>
          </m:r>
          <m:f>
            <m:fPr>
              <m:type m:val="bar"/>
            </m:fPr>
            <m:num>
              <m:sSub>
                <m:e>
                  <m:r>
                    <m:t>A</m:t>
                  </m:r>
                </m:e>
                <m:sub>
                  <m:r>
                    <m:t>D</m:t>
                  </m:r>
                </m:sub>
              </m:sSub>
              <m:r>
                <m:rPr>
                  <m:sty m:val="p"/>
                </m:rPr>
                <m:t>−</m:t>
              </m:r>
              <m:sSub>
                <m:e>
                  <m:r>
                    <m:t>A</m:t>
                  </m:r>
                </m:e>
                <m:sub>
                  <m:r>
                    <m:rPr>
                      <m:sty m:val="p"/>
                    </m:rPr>
                    <m:t>r</m:t>
                  </m:r>
                  <m:r>
                    <m:rPr>
                      <m:sty m:val="p"/>
                    </m:rPr>
                    <m:t>e</m:t>
                  </m:r>
                  <m:r>
                    <m:rPr>
                      <m:sty m:val="p"/>
                    </m:rPr>
                    <m:t>f</m:t>
                  </m:r>
                </m:sub>
              </m:sSub>
            </m:num>
            <m:den>
              <m:r>
                <m:t>1</m:t>
              </m:r>
              <m:r>
                <m:t> </m:t>
              </m:r>
              <m:sSub>
                <m:e>
                  <m:r>
                    <m:t>a</m:t>
                  </m:r>
                </m:e>
                <m:sub>
                  <m:r>
                    <m:t>J</m:t>
                  </m:r>
                </m:sub>
              </m:sSub>
            </m:den>
          </m:f>
          <m:r>
            <m:rPr>
              <m:sty m:val="p"/>
            </m:rPr>
            <m:t>.</m:t>
          </m:r>
        </m:oMath>
      </m:oMathPara>
    </w:p>
    <w:p>
      <w:pPr>
        <w:pStyle w:val="FirstParagraph"/>
      </w:pPr>
      <w:r>
        <w:t xml:space="preserve">The numerator and denominator have the same temporal dimension, so</w:t>
      </w:r>
    </w:p>
    <w:p>
      <w:pPr>
        <w:pStyle w:val="BodyText"/>
      </w:pPr>
      <m:oMathPara>
        <m:oMathParaPr>
          <m:jc m:val="center"/>
        </m:oMathParaPr>
        <m:oMath>
          <m:d>
            <m:dPr>
              <m:begChr m:val="["/>
              <m:endChr m:val="]"/>
              <m:sepChr m:val=""/>
              <m:grow/>
            </m:dPr>
            <m:e>
              <m:sSub>
                <m:e>
                  <m:r>
                    <m:t>N</m:t>
                  </m:r>
                </m:e>
                <m:sub>
                  <m:r>
                    <m:t>A</m:t>
                  </m:r>
                </m:sub>
              </m:sSub>
            </m:e>
          </m:d>
          <m:r>
            <m:rPr>
              <m:sty m:val="p"/>
            </m:rPr>
            <m:t>=</m:t>
          </m:r>
          <m:r>
            <m:t>1</m:t>
          </m:r>
          <m:r>
            <m:rPr>
              <m:sty m:val="p"/>
            </m:rPr>
            <m:t>.</m:t>
          </m:r>
        </m:oMath>
      </m:oMathPara>
    </w:p>
    <w:p>
      <w:pPr>
        <w:pStyle w:val="FirstParagraph"/>
      </w:pPr>
      <w:r>
        <w:t xml:space="preserve">For present access,</w:t>
      </w:r>
    </w:p>
    <w:p>
      <w:pPr>
        <w:pStyle w:val="BodyText"/>
      </w:pPr>
      <m:oMathPara>
        <m:oMathParaPr>
          <m:jc m:val="center"/>
        </m:oMathParaPr>
        <m:oMath>
          <m:sSub>
            <m:e>
              <m:r>
                <m:t>N</m:t>
              </m:r>
            </m:e>
            <m:sub>
              <m:r>
                <m:t>A</m:t>
              </m:r>
              <m:r>
                <m:rPr>
                  <m:sty m:val="p"/>
                </m:rPr>
                <m:t>,</m:t>
              </m:r>
              <m:r>
                <m:rPr>
                  <m:sty m:val="p"/>
                </m:rPr>
                <m:t>a</m:t>
              </m:r>
              <m:r>
                <m:rPr>
                  <m:sty m:val="p"/>
                </m:rPr>
                <m:t>c</m:t>
              </m:r>
              <m:r>
                <m:rPr>
                  <m:sty m:val="p"/>
                </m:rPr>
                <m:t>c</m:t>
              </m:r>
            </m:sub>
          </m:sSub>
          <m:r>
            <m:rPr>
              <m:sty m:val="p"/>
            </m:rPr>
            <m:t>=</m:t>
          </m:r>
          <m:r>
            <m:t>13</m:t>
          </m:r>
          <m:r>
            <m:t> </m:t>
          </m:r>
          <m:r>
            <m:t>800</m:t>
          </m:r>
          <m:r>
            <m:t> </m:t>
          </m:r>
          <m:r>
            <m:t>000</m:t>
          </m:r>
          <m:r>
            <m:t> </m:t>
          </m:r>
          <m:r>
            <m:t>000</m:t>
          </m:r>
          <m:r>
            <m:rPr>
              <m:sty m:val="p"/>
            </m:rPr>
            <m:t>−</m:t>
          </m:r>
          <m:r>
            <m:t>4</m:t>
          </m:r>
          <m:r>
            <m:t> </m:t>
          </m:r>
          <m:r>
            <m:t>568</m:t>
          </m:r>
          <m:r>
            <m:t> </m:t>
          </m:r>
          <m:r>
            <m:t>000</m:t>
          </m:r>
          <m:r>
            <m:t> </m:t>
          </m:r>
          <m:r>
            <m:t>000</m:t>
          </m:r>
          <m:r>
            <m:rPr>
              <m:sty m:val="p"/>
            </m:rPr>
            <m:t>=</m:t>
          </m:r>
          <m:r>
            <m:t>9</m:t>
          </m:r>
          <m:r>
            <m:t> </m:t>
          </m:r>
          <m:r>
            <m:t>232</m:t>
          </m:r>
          <m:r>
            <m:t> </m:t>
          </m:r>
          <m:r>
            <m:t>000</m:t>
          </m:r>
          <m:r>
            <m:t> </m:t>
          </m:r>
          <m:r>
            <m:t>000</m:t>
          </m:r>
          <m:r>
            <m:rPr>
              <m:sty m:val="p"/>
            </m:rPr>
            <m:t>.</m:t>
          </m:r>
        </m:oMath>
      </m:oMathPara>
    </w:p>
    <w:p>
      <w:pPr>
        <w:pStyle w:val="FirstParagraph"/>
      </w:pPr>
      <w:r>
        <w:t xml:space="preserve">For the declared closure boundary,</w:t>
      </w:r>
    </w:p>
    <w:p>
      <w:pPr>
        <w:pStyle w:val="BodyText"/>
      </w:pPr>
      <m:oMathPara>
        <m:oMathParaPr>
          <m:jc m:val="center"/>
        </m:oMathParaPr>
        <m:oMath>
          <m:sSub>
            <m:e>
              <m:r>
                <m:t>N</m:t>
              </m:r>
            </m:e>
            <m:sub>
              <m:r>
                <m:t>A</m:t>
              </m:r>
              <m:r>
                <m:rPr>
                  <m:sty m:val="p"/>
                </m:rPr>
                <m:t>,</m:t>
              </m:r>
              <m:r>
                <m:rPr>
                  <m:sty m:val="p"/>
                </m:rPr>
                <m:t>∂</m:t>
              </m:r>
            </m:sub>
          </m:sSub>
          <m:r>
            <m:rPr>
              <m:sty m:val="p"/>
            </m:rPr>
            <m:t>=</m:t>
          </m:r>
          <m:r>
            <m:t>27</m:t>
          </m:r>
          <m:r>
            <m:t> </m:t>
          </m:r>
          <m:r>
            <m:t>600</m:t>
          </m:r>
          <m:r>
            <m:t> </m:t>
          </m:r>
          <m:r>
            <m:t>000</m:t>
          </m:r>
          <m:r>
            <m:t> </m:t>
          </m:r>
          <m:r>
            <m:t>000</m:t>
          </m:r>
          <m:r>
            <m:rPr>
              <m:sty m:val="p"/>
            </m:rPr>
            <m:t>−</m:t>
          </m:r>
          <m:r>
            <m:t>4</m:t>
          </m:r>
          <m:r>
            <m:t> </m:t>
          </m:r>
          <m:r>
            <m:t>568</m:t>
          </m:r>
          <m:r>
            <m:t> </m:t>
          </m:r>
          <m:r>
            <m:t>000</m:t>
          </m:r>
          <m:r>
            <m:t> </m:t>
          </m:r>
          <m:r>
            <m:t>000</m:t>
          </m:r>
          <m:r>
            <m:rPr>
              <m:sty m:val="p"/>
            </m:rPr>
            <m:t>=</m:t>
          </m:r>
          <m:r>
            <m:t>23</m:t>
          </m:r>
          <m:r>
            <m:t> </m:t>
          </m:r>
          <m:r>
            <m:t>032</m:t>
          </m:r>
          <m:r>
            <m:t> </m:t>
          </m:r>
          <m:r>
            <m:t>000</m:t>
          </m:r>
          <m:r>
            <m:t> </m:t>
          </m:r>
          <m:r>
            <m:t>000</m:t>
          </m:r>
          <m:r>
            <m:rPr>
              <m:sty m:val="p"/>
            </m:rPr>
            <m:t>.</m:t>
          </m:r>
        </m:oMath>
      </m:oMathPara>
    </w:p>
    <w:p>
      <w:pPr>
        <w:pStyle w:val="FirstParagraph"/>
      </w:pPr>
      <w:r>
        <w:t xml:space="preserve">These two counts are exact integers once the declared ages are fixed.</w:t>
      </w:r>
    </w:p>
    <w:bookmarkEnd w:id="30"/>
    <w:bookmarkStart w:id="31" w:name="structural-cycle-fraction"/>
    <w:p>
      <w:pPr>
        <w:pStyle w:val="Heading2"/>
        <w:keepNext/>
      </w:pPr>
      <w:r>
        <w:t xml:space="preserve">3.2 Structural cycle fraction</w:t>
      </w:r>
    </w:p>
    <w:p>
      <w:pPr>
        <w:pStyle w:val="FirstParagraph"/>
      </w:pPr>
      <w:r>
        <w:t xml:space="preserve">The cycle fraction is</w:t>
      </w:r>
    </w:p>
    <w:p>
      <w:pPr>
        <w:pStyle w:val="BodyText"/>
      </w:pPr>
      <m:oMathPara>
        <m:oMathParaPr>
          <m:jc m:val="center"/>
        </m:oMathParaPr>
        <m:oMath>
          <m:sSub>
            <m:e>
              <m:r>
                <m:t>χ</m:t>
              </m:r>
            </m:e>
            <m:sub>
              <m:r>
                <m:t>D</m:t>
              </m:r>
            </m:sub>
          </m:sSub>
          <m:r>
            <m:rPr>
              <m:sty m:val="p"/>
            </m:rPr>
            <m:t>=</m:t>
          </m:r>
          <m:f>
            <m:fPr>
              <m:type m:val="bar"/>
            </m:fPr>
            <m:num>
              <m:sSub>
                <m:e>
                  <m:r>
                    <m:t>A</m:t>
                  </m:r>
                </m:e>
                <m:sub>
                  <m:r>
                    <m:t>D</m:t>
                  </m:r>
                </m:sub>
              </m:sSub>
            </m:num>
            <m:den>
              <m:sSub>
                <m:e>
                  <m:r>
                    <m:t>F</m:t>
                  </m:r>
                </m:e>
                <m:sub>
                  <m:r>
                    <m:t>D</m:t>
                  </m:r>
                </m:sub>
              </m:sSub>
            </m:den>
          </m:f>
          <m:r>
            <m:rPr>
              <m:sty m:val="p"/>
            </m:rPr>
            <m:t>.</m:t>
          </m:r>
        </m:oMath>
      </m:oMathPara>
    </w:p>
    <w:p>
      <w:pPr>
        <w:pStyle w:val="FirstParagraph"/>
      </w:pPr>
      <w:r>
        <w:t xml:space="preserve">For the admitted observable-domain access state,</w:t>
      </w:r>
    </w:p>
    <w:p>
      <w:pPr>
        <w:pStyle w:val="BodyText"/>
      </w:pPr>
      <m:oMathPara>
        <m:oMathParaPr>
          <m:jc m:val="center"/>
        </m:oMathParaPr>
        <m:oMath>
          <m:sSub>
            <m:e>
              <m:r>
                <m:t>χ</m:t>
              </m:r>
            </m:e>
            <m:sub>
              <m:sSub>
                <m:e>
                  <m:r>
                    <m:t>Ω</m:t>
                  </m:r>
                </m:e>
                <m:sub>
                  <m:r>
                    <m:rPr>
                      <m:sty m:val="p"/>
                    </m:rPr>
                    <m:t>o</m:t>
                  </m:r>
                  <m:r>
                    <m:rPr>
                      <m:sty m:val="p"/>
                    </m:rPr>
                    <m:t>b</m:t>
                  </m:r>
                  <m:r>
                    <m:rPr>
                      <m:sty m:val="p"/>
                    </m:rPr>
                    <m:t>s</m:t>
                  </m:r>
                </m:sub>
              </m:sSub>
            </m:sub>
          </m:sSub>
          <m:r>
            <m:rPr>
              <m:sty m:val="p"/>
            </m:rPr>
            <m:t>=</m:t>
          </m:r>
          <m:f>
            <m:fPr>
              <m:type m:val="bar"/>
            </m:fPr>
            <m:num>
              <m:r>
                <m:t>13</m:t>
              </m:r>
              <m:r>
                <m:t> </m:t>
              </m:r>
              <m:r>
                <m:t>800</m:t>
              </m:r>
              <m:r>
                <m:t> </m:t>
              </m:r>
              <m:r>
                <m:t>000</m:t>
              </m:r>
              <m:r>
                <m:t> </m:t>
              </m:r>
              <m:r>
                <m:t>000</m:t>
              </m:r>
            </m:num>
            <m:den>
              <m:r>
                <m:t>27</m:t>
              </m:r>
              <m:r>
                <m:t> </m:t>
              </m:r>
              <m:r>
                <m:t>600</m:t>
              </m:r>
              <m:r>
                <m:t> </m:t>
              </m:r>
              <m:r>
                <m:t>000</m:t>
              </m:r>
              <m:r>
                <m:t> </m:t>
              </m:r>
              <m:r>
                <m:t>000</m:t>
              </m:r>
            </m:den>
          </m:f>
          <m:r>
            <m:rPr>
              <m:sty m:val="p"/>
            </m:rPr>
            <m:t>=</m:t>
          </m:r>
          <m:f>
            <m:fPr>
              <m:type m:val="bar"/>
            </m:fPr>
            <m:num>
              <m:r>
                <m:t>1</m:t>
              </m:r>
            </m:num>
            <m:den>
              <m:r>
                <m:t>2</m:t>
              </m:r>
            </m:den>
          </m:f>
          <m:r>
            <m:rPr>
              <m:sty m:val="p"/>
            </m:rPr>
            <m:t>.</m:t>
          </m:r>
        </m:oMath>
      </m:oMathPara>
    </w:p>
    <w:p>
      <w:pPr>
        <w:pStyle w:val="FirstParagraph"/>
      </w:pPr>
      <w:r>
        <w:t xml:space="preserve">The quantity is dimensionless and is not interpreted as a probability. In the historical DOAN-Ω16 execution, the admitted value of</w:t>
      </w:r>
      <w:r>
        <w:t xml:space="preserve"> </w:t>
      </w:r>
      <m:oMath>
        <m:sSub>
          <m:e>
            <m:r>
              <m:t>χ</m:t>
            </m:r>
          </m:e>
          <m:sub>
            <m:r>
              <m:t>D</m:t>
            </m:r>
          </m:sub>
        </m:sSub>
      </m:oMath>
      <w:r>
        <w:t xml:space="preserve"> </w:t>
      </w:r>
      <w:r>
        <w:t xml:space="preserve">acts as the structural signature from which the domain factor is constructed. Once the access-to-boundary execution is fixed, that signature is retained. The boundary count does not replace</w:t>
      </w:r>
      <w:r>
        <w:t xml:space="preserve"> </w:t>
      </w:r>
      <m:oMath>
        <m:sSub>
          <m:e>
            <m:r>
              <m:t>χ</m:t>
            </m:r>
          </m:e>
          <m:sub>
            <m:r>
              <m:t>D</m:t>
            </m:r>
          </m:sub>
        </m:sSub>
        <m:r>
          <m:rPr>
            <m:sty m:val="p"/>
          </m:rPr>
          <m:t>=</m:t>
        </m:r>
        <m:r>
          <m:t>1</m:t>
        </m:r>
        <m:r>
          <m:rPr>
            <m:sty m:val="p"/>
          </m:rPr>
          <m:t>/</m:t>
        </m:r>
        <m:r>
          <m:t>2</m:t>
        </m:r>
      </m:oMath>
      <w:r>
        <w:t xml:space="preserve"> </w:t>
      </w:r>
      <w:r>
        <w:t xml:space="preserve">with</w:t>
      </w:r>
      <w:r>
        <w:t xml:space="preserve"> </w:t>
      </w:r>
      <m:oMath>
        <m:sSub>
          <m:e>
            <m:r>
              <m:t>χ</m:t>
            </m:r>
          </m:e>
          <m:sub>
            <m:r>
              <m:t>D</m:t>
            </m:r>
          </m:sub>
        </m:sSub>
        <m:r>
          <m:rPr>
            <m:sty m:val="p"/>
          </m:rPr>
          <m:t>=</m:t>
        </m:r>
        <m:r>
          <m:t>1</m:t>
        </m:r>
      </m:oMath>
      <w:r>
        <w:t xml:space="preserve">.</w:t>
      </w:r>
    </w:p>
    <w:p>
      <w:pPr>
        <w:pStyle w:val="BodyText"/>
      </w:pPr>
      <w:r>
        <w:t xml:space="preserve">This distinction prevents a category error. The access-to-boundary variation is carried by</w:t>
      </w:r>
      <w:r>
        <w:t xml:space="preserve"> </w:t>
      </w:r>
      <m:oMath>
        <m:sSub>
          <m:e>
            <m:r>
              <m:t>N</m:t>
            </m:r>
          </m:e>
          <m:sub>
            <m:r>
              <m:t>A</m:t>
            </m:r>
          </m:sub>
        </m:sSub>
      </m:oMath>
      <w:r>
        <w:t xml:space="preserve">, while</w:t>
      </w:r>
      <w:r>
        <w:t xml:space="preserve"> </w:t>
      </w:r>
      <m:oMath>
        <m:sSub>
          <m:e>
            <m:r>
              <m:t>χ</m:t>
            </m:r>
          </m:e>
          <m:sub>
            <m:r>
              <m:t>D</m:t>
            </m:r>
          </m:sub>
        </m:sSub>
      </m:oMath>
      <w:r>
        <w:t xml:space="preserve"> </w:t>
      </w:r>
      <w:r>
        <w:t xml:space="preserve">supplies the frozen structural signature of that execution.</w:t>
      </w:r>
    </w:p>
    <w:bookmarkEnd w:id="31"/>
    <w:bookmarkStart w:id="32" w:name="constitutive-factor"/>
    <w:p>
      <w:pPr>
        <w:pStyle w:val="Heading2"/>
        <w:keepNext/>
      </w:pPr>
      <w:r>
        <w:t xml:space="preserve">3.3 Constitutive factor</w:t>
      </w:r>
    </w:p>
    <w:p>
      <w:pPr>
        <w:pStyle w:val="FirstParagraph"/>
      </w:pPr>
      <w:r>
        <w:t xml:space="preserve">The domain factor is defined by</w:t>
      </w:r>
    </w:p>
    <w:p>
      <w:pPr>
        <w:pStyle w:val="BodyText"/>
      </w:pPr>
      <m:oMathPara>
        <m:oMathParaPr>
          <m:jc m:val="center"/>
        </m:oMathParaPr>
        <m:oMath>
          <m:sSub>
            <m:e>
              <m:r>
                <m:t>g</m:t>
              </m:r>
            </m:e>
            <m:sub>
              <m:r>
                <m:t>D</m:t>
              </m:r>
            </m:sub>
          </m:sSub>
          <m:box>
            <m:boxPr>
              <m:opEmu m:val="on"/>
            </m:boxPr>
            <m:e>
              <m:r>
                <m:rPr>
                  <m:sty m:val="p"/>
                </m:rPr>
                <m:t>:=</m:t>
              </m:r>
            </m:e>
          </m:box>
          <m:rad>
            <m:radPr>
              <m:degHide m:val="on"/>
            </m:radPr>
            <m:deg/>
            <m:e>
              <m:f>
                <m:fPr>
                  <m:type m:val="bar"/>
                </m:fPr>
                <m:num>
                  <m:r>
                    <m:t>1</m:t>
                  </m:r>
                  <m:r>
                    <m:rPr>
                      <m:sty m:val="p"/>
                    </m:rPr>
                    <m:t>+</m:t>
                  </m:r>
                  <m:sSub>
                    <m:e>
                      <m:r>
                        <m:t>χ</m:t>
                      </m:r>
                    </m:e>
                    <m:sub>
                      <m:r>
                        <m:t>D</m:t>
                      </m:r>
                    </m:sub>
                  </m:sSub>
                </m:num>
                <m:den>
                  <m:r>
                    <m:t>2</m:t>
                  </m:r>
                </m:den>
              </m:f>
            </m:e>
          </m:rad>
          <m:r>
            <m:rPr>
              <m:sty m:val="p"/>
            </m:rPr>
            <m:t>.</m:t>
          </m:r>
        </m:oMath>
      </m:oMathPara>
    </w:p>
    <w:p>
      <w:pPr>
        <w:pStyle w:val="FirstParagraph"/>
      </w:pPr>
      <w:r>
        <w:t xml:space="preserve">For the observable domain,</w:t>
      </w:r>
    </w:p>
    <w:p>
      <w:pPr>
        <w:pStyle w:val="BodyText"/>
      </w:pPr>
      <m:oMathPara>
        <m:oMathParaPr>
          <m:jc m:val="center"/>
        </m:oMathParaPr>
        <m:oMath>
          <m:sSub>
            <m:e>
              <m:r>
                <m:t>g</m:t>
              </m:r>
            </m:e>
            <m:sub>
              <m:sSub>
                <m:e>
                  <m:r>
                    <m:t>Ω</m:t>
                  </m:r>
                </m:e>
                <m:sub>
                  <m:r>
                    <m:rPr>
                      <m:sty m:val="p"/>
                    </m:rPr>
                    <m:t>o</m:t>
                  </m:r>
                  <m:r>
                    <m:rPr>
                      <m:sty m:val="p"/>
                    </m:rPr>
                    <m:t>b</m:t>
                  </m:r>
                  <m:r>
                    <m:rPr>
                      <m:sty m:val="p"/>
                    </m:rPr>
                    <m:t>s</m:t>
                  </m:r>
                </m:sub>
              </m:sSub>
            </m:sub>
          </m:sSub>
          <m:r>
            <m:rPr>
              <m:sty m:val="p"/>
            </m:rPr>
            <m:t>=</m:t>
          </m:r>
          <m:rad>
            <m:radPr>
              <m:degHide m:val="on"/>
            </m:radPr>
            <m:deg/>
            <m:e>
              <m:f>
                <m:fPr>
                  <m:type m:val="bar"/>
                </m:fPr>
                <m:num>
                  <m:r>
                    <m:t>1</m:t>
                  </m:r>
                  <m:r>
                    <m:rPr>
                      <m:sty m:val="p"/>
                    </m:rPr>
                    <m:t>+</m:t>
                  </m:r>
                  <m:r>
                    <m:t>1</m:t>
                  </m:r>
                  <m:r>
                    <m:rPr>
                      <m:sty m:val="p"/>
                    </m:rPr>
                    <m:t>/</m:t>
                  </m:r>
                  <m:r>
                    <m:t>2</m:t>
                  </m:r>
                </m:num>
                <m:den>
                  <m:r>
                    <m:t>2</m:t>
                  </m:r>
                </m:den>
              </m:f>
            </m:e>
          </m:rad>
          <m:r>
            <m:rPr>
              <m:sty m:val="p"/>
            </m:rPr>
            <m:t>=</m:t>
          </m:r>
          <m:rad>
            <m:radPr>
              <m:degHide m:val="on"/>
            </m:radPr>
            <m:deg/>
            <m:e>
              <m:f>
                <m:fPr>
                  <m:type m:val="bar"/>
                </m:fPr>
                <m:num>
                  <m:r>
                    <m:t>3</m:t>
                  </m:r>
                </m:num>
                <m:den>
                  <m:r>
                    <m:t>4</m:t>
                  </m:r>
                </m:den>
              </m:f>
            </m:e>
          </m:rad>
          <m:r>
            <m:rPr>
              <m:sty m:val="p"/>
            </m:rPr>
            <m:t>=</m:t>
          </m:r>
          <m:f>
            <m:fPr>
              <m:type m:val="bar"/>
            </m:fPr>
            <m:num>
              <m:rad>
                <m:radPr>
                  <m:degHide m:val="on"/>
                </m:radPr>
                <m:deg/>
                <m:e>
                  <m:r>
                    <m:t>3</m:t>
                  </m:r>
                </m:e>
              </m:rad>
            </m:num>
            <m:den>
              <m:r>
                <m:t>2</m:t>
              </m:r>
            </m:den>
          </m:f>
          <m:r>
            <m:rPr>
              <m:sty m:val="p"/>
            </m:rPr>
            <m:t>.</m:t>
          </m:r>
        </m:oMath>
      </m:oMathPara>
    </w:p>
    <w:p>
      <w:pPr>
        <w:pStyle w:val="FirstParagraph"/>
      </w:pPr>
      <w:r>
        <w:t xml:space="preserve">Equation (16) has constitutive status within DOAN-Ω16. It is not presented as the consequence of an independently established universal physical law. Neither is it claimed to be the unique mathematically admissible transformation of</w:t>
      </w:r>
      <w:r>
        <w:t xml:space="preserve"> </w:t>
      </w:r>
      <m:oMath>
        <m:sSub>
          <m:e>
            <m:r>
              <m:t>χ</m:t>
            </m:r>
          </m:e>
          <m:sub>
            <m:r>
              <m:t>D</m:t>
            </m:r>
          </m:sub>
        </m:sSub>
      </m:oMath>
      <w:r>
        <w:t xml:space="preserve">.</w:t>
      </w:r>
    </w:p>
    <w:p>
      <w:pPr>
        <w:pStyle w:val="BodyText"/>
      </w:pPr>
      <w:r>
        <w:t xml:space="preserve">For</w:t>
      </w:r>
      <w:r>
        <w:t xml:space="preserve"> </w:t>
      </w:r>
      <m:oMath>
        <m:r>
          <m:t>0</m:t>
        </m:r>
        <m:r>
          <m:rPr>
            <m:sty m:val="p"/>
          </m:rPr>
          <m:t>≤</m:t>
        </m:r>
        <m:r>
          <m:t>χ</m:t>
        </m:r>
        <m:r>
          <m:rPr>
            <m:sty m:val="p"/>
          </m:rPr>
          <m:t>≤</m:t>
        </m:r>
        <m:r>
          <m:t>1</m:t>
        </m:r>
      </m:oMath>
      <w:r>
        <w:t xml:space="preserve">, let</w:t>
      </w:r>
    </w:p>
    <w:p>
      <w:pPr>
        <w:pStyle w:val="BodyText"/>
      </w:pPr>
      <m:oMathPara>
        <m:oMathParaPr>
          <m:jc m:val="center"/>
        </m:oMathParaPr>
        <m:oMath>
          <m:r>
            <m:t>g</m:t>
          </m:r>
          <m:d>
            <m:dPr>
              <m:begChr m:val="("/>
              <m:endChr m:val=")"/>
              <m:sepChr m:val=""/>
              <m:grow/>
            </m:dPr>
            <m:e>
              <m:r>
                <m:t>χ</m:t>
              </m:r>
            </m:e>
          </m:d>
          <m:r>
            <m:rPr>
              <m:sty m:val="p"/>
            </m:rPr>
            <m:t>=</m:t>
          </m:r>
          <m:rad>
            <m:radPr>
              <m:degHide m:val="on"/>
            </m:radPr>
            <m:deg/>
            <m:e>
              <m:f>
                <m:fPr>
                  <m:type m:val="bar"/>
                </m:fPr>
                <m:num>
                  <m:r>
                    <m:t>1</m:t>
                  </m:r>
                  <m:r>
                    <m:rPr>
                      <m:sty m:val="p"/>
                    </m:rPr>
                    <m:t>+</m:t>
                  </m:r>
                  <m:r>
                    <m:t>χ</m:t>
                  </m:r>
                </m:num>
                <m:den>
                  <m:r>
                    <m:t>2</m:t>
                  </m:r>
                </m:den>
              </m:f>
            </m:e>
          </m:rad>
          <m:r>
            <m:rPr>
              <m:sty m:val="p"/>
            </m:rPr>
            <m:t>.</m:t>
          </m:r>
        </m:oMath>
      </m:oMathPara>
    </w:p>
    <w:p>
      <w:pPr>
        <w:pStyle w:val="FirstParagraph"/>
      </w:pPr>
      <w:r>
        <w:t xml:space="preserve">Then</w:t>
      </w:r>
    </w:p>
    <w:p>
      <w:pPr>
        <w:pStyle w:val="BodyText"/>
      </w:pPr>
      <m:oMathPara>
        <m:oMathParaPr>
          <m:jc m:val="center"/>
        </m:oMathParaPr>
        <m:oMath>
          <m:r>
            <m:t>g</m:t>
          </m:r>
          <m:d>
            <m:dPr>
              <m:begChr m:val="("/>
              <m:endChr m:val=")"/>
              <m:sepChr m:val=""/>
              <m:grow/>
            </m:dPr>
            <m:e>
              <m:r>
                <m:t>0</m:t>
              </m:r>
            </m:e>
          </m:d>
          <m:r>
            <m:rPr>
              <m:sty m:val="p"/>
            </m:rPr>
            <m:t>=</m:t>
          </m:r>
          <m:f>
            <m:fPr>
              <m:type m:val="bar"/>
            </m:fPr>
            <m:num>
              <m:r>
                <m:t>1</m:t>
              </m:r>
            </m:num>
            <m:den>
              <m:rad>
                <m:radPr>
                  <m:degHide m:val="on"/>
                </m:radPr>
                <m:deg/>
                <m:e>
                  <m:r>
                    <m:t>2</m:t>
                  </m:r>
                </m:e>
              </m:rad>
            </m:den>
          </m:f>
          <m:r>
            <m:rPr>
              <m:sty m:val="p"/>
            </m:rPr>
            <m:t>,</m:t>
          </m:r>
          <m:r>
            <m:t>  </m:t>
          </m:r>
          <m:r>
            <m:t>g</m:t>
          </m:r>
          <m:d>
            <m:dPr>
              <m:begChr m:val="("/>
              <m:endChr m:val=")"/>
              <m:sepChr m:val=""/>
              <m:grow/>
            </m:dPr>
            <m:e>
              <m:r>
                <m:t>1</m:t>
              </m:r>
            </m:e>
          </m:d>
          <m:r>
            <m:rPr>
              <m:sty m:val="p"/>
            </m:rPr>
            <m:t>=</m:t>
          </m:r>
          <m:r>
            <m:t>1</m:t>
          </m:r>
          <m:r>
            <m:rPr>
              <m:sty m:val="p"/>
            </m:rPr>
            <m:t>,</m:t>
          </m:r>
        </m:oMath>
      </m:oMathPara>
    </w:p>
    <w:p>
      <w:pPr>
        <w:pStyle w:val="FirstParagraph"/>
      </w:pPr>
      <w:r>
        <w:t xml:space="preserve">and</w:t>
      </w:r>
    </w:p>
    <w:p>
      <w:pPr>
        <w:pStyle w:val="BodyText"/>
      </w:pPr>
      <m:oMathPara>
        <m:oMathParaPr>
          <m:jc m:val="center"/>
        </m:oMathParaPr>
        <m:oMath>
          <m:f>
            <m:fPr>
              <m:type m:val="bar"/>
            </m:fPr>
            <m:num>
              <m:r>
                <m:t>1</m:t>
              </m:r>
            </m:num>
            <m:den>
              <m:rad>
                <m:radPr>
                  <m:degHide m:val="on"/>
                </m:radPr>
                <m:deg/>
                <m:e>
                  <m:r>
                    <m:t>2</m:t>
                  </m:r>
                </m:e>
              </m:rad>
            </m:den>
          </m:f>
          <m:r>
            <m:rPr>
              <m:sty m:val="p"/>
            </m:rPr>
            <m:t>≤</m:t>
          </m:r>
          <m:r>
            <m:t>g</m:t>
          </m:r>
          <m:d>
            <m:dPr>
              <m:begChr m:val="("/>
              <m:endChr m:val=")"/>
              <m:sepChr m:val=""/>
              <m:grow/>
            </m:dPr>
            <m:e>
              <m:r>
                <m:t>χ</m:t>
              </m:r>
            </m:e>
          </m:d>
          <m:r>
            <m:rPr>
              <m:sty m:val="p"/>
            </m:rPr>
            <m:t>≤</m:t>
          </m:r>
          <m:r>
            <m:t>1</m:t>
          </m:r>
          <m:r>
            <m:rPr>
              <m:sty m:val="p"/>
            </m:rPr>
            <m:t>.</m:t>
          </m:r>
        </m:oMath>
      </m:oMathPara>
    </w:p>
    <w:p>
      <w:pPr>
        <w:pStyle w:val="FirstParagraph"/>
      </w:pPr>
      <w:r>
        <w:t xml:space="preserve">Its derivatives are</w:t>
      </w:r>
    </w:p>
    <w:p>
      <w:pPr>
        <w:pStyle w:val="BodyText"/>
      </w:pPr>
      <m:oMathPara>
        <m:oMathParaPr>
          <m:jc m:val="center"/>
        </m:oMathParaPr>
        <m:oMath>
          <m:r>
            <m:t>g</m:t>
          </m:r>
          <m:r>
            <m:rPr>
              <m:sty m:val="p"/>
            </m:rPr>
            <m:t>′</m:t>
          </m:r>
          <m:d>
            <m:dPr>
              <m:begChr m:val="("/>
              <m:endChr m:val=")"/>
              <m:sepChr m:val=""/>
              <m:grow/>
            </m:dPr>
            <m:e>
              <m:r>
                <m:t>χ</m:t>
              </m:r>
            </m:e>
          </m:d>
          <m:r>
            <m:rPr>
              <m:sty m:val="p"/>
            </m:rPr>
            <m:t>=</m:t>
          </m:r>
          <m:f>
            <m:fPr>
              <m:type m:val="bar"/>
            </m:fPr>
            <m:num>
              <m:r>
                <m:t>1</m:t>
              </m:r>
            </m:num>
            <m:den>
              <m:r>
                <m:t>2</m:t>
              </m:r>
              <m:rad>
                <m:radPr>
                  <m:degHide m:val="on"/>
                </m:radPr>
                <m:deg/>
                <m:e>
                  <m:r>
                    <m:t>2</m:t>
                  </m:r>
                  <m:d>
                    <m:dPr>
                      <m:begChr m:val="("/>
                      <m:endChr m:val=")"/>
                      <m:sepChr m:val=""/>
                      <m:grow/>
                    </m:dPr>
                    <m:e>
                      <m:r>
                        <m:t>1</m:t>
                      </m:r>
                      <m:r>
                        <m:rPr>
                          <m:sty m:val="p"/>
                        </m:rPr>
                        <m:t>+</m:t>
                      </m:r>
                      <m:r>
                        <m:t>χ</m:t>
                      </m:r>
                    </m:e>
                  </m:d>
                </m:e>
              </m:rad>
            </m:den>
          </m:f>
          <m:r>
            <m:rPr>
              <m:sty m:val="p"/>
            </m:rPr>
            <m:t>&gt;</m:t>
          </m:r>
          <m:r>
            <m:t>0</m:t>
          </m:r>
          <m:r>
            <m:rPr>
              <m:sty m:val="p"/>
            </m:rPr>
            <m:t>,</m:t>
          </m:r>
        </m:oMath>
      </m:oMathPara>
    </w:p>
    <w:p>
      <w:pPr>
        <w:pStyle w:val="FirstParagraph"/>
      </w:pPr>
      <m:oMathPara>
        <m:oMathParaPr>
          <m:jc m:val="center"/>
        </m:oMathParaPr>
        <m:oMath>
          <m:r>
            <m:t>g</m:t>
          </m:r>
          <m:r>
            <m:rPr>
              <m:sty m:val="p"/>
            </m:rPr>
            <m:t>″</m:t>
          </m:r>
          <m:d>
            <m:dPr>
              <m:begChr m:val="("/>
              <m:endChr m:val=")"/>
              <m:sepChr m:val=""/>
              <m:grow/>
            </m:dPr>
            <m:e>
              <m:r>
                <m:t>χ</m:t>
              </m:r>
            </m:e>
          </m:d>
          <m:r>
            <m:rPr>
              <m:sty m:val="p"/>
            </m:rPr>
            <m:t>=</m:t>
          </m:r>
          <m:r>
            <m:rPr>
              <m:sty m:val="p"/>
            </m:rPr>
            <m:t>−</m:t>
          </m:r>
          <m:f>
            <m:fPr>
              <m:type m:val="bar"/>
            </m:fPr>
            <m:num>
              <m:r>
                <m:t>1</m:t>
              </m:r>
            </m:num>
            <m:den>
              <m:r>
                <m:t>4</m:t>
              </m:r>
              <m:rad>
                <m:radPr>
                  <m:degHide m:val="on"/>
                </m:radPr>
                <m:deg/>
                <m:e>
                  <m:r>
                    <m:t>2</m:t>
                  </m:r>
                </m:e>
              </m:rad>
              <m:sSup>
                <m:e>
                  <m:d>
                    <m:dPr>
                      <m:begChr m:val="("/>
                      <m:endChr m:val=")"/>
                      <m:sepChr m:val=""/>
                      <m:grow/>
                    </m:dPr>
                    <m:e>
                      <m:r>
                        <m:t>1</m:t>
                      </m:r>
                      <m:r>
                        <m:rPr>
                          <m:sty m:val="p"/>
                        </m:rPr>
                        <m:t>+</m:t>
                      </m:r>
                      <m:r>
                        <m:t>χ</m:t>
                      </m:r>
                    </m:e>
                  </m:d>
                </m:e>
                <m:sup>
                  <m:r>
                    <m:t>3</m:t>
                  </m:r>
                  <m:r>
                    <m:rPr>
                      <m:sty m:val="p"/>
                    </m:rPr>
                    <m:t>/</m:t>
                  </m:r>
                  <m:r>
                    <m:t>2</m:t>
                  </m:r>
                </m:sup>
              </m:sSup>
            </m:den>
          </m:f>
          <m:r>
            <m:rPr>
              <m:sty m:val="p"/>
            </m:rPr>
            <m:t>&lt;</m:t>
          </m:r>
          <m:r>
            <m:t>0</m:t>
          </m:r>
          <m:r>
            <m:rPr>
              <m:sty m:val="p"/>
            </m:rPr>
            <m:t>.</m:t>
          </m:r>
        </m:oMath>
      </m:oMathPara>
    </w:p>
    <w:p>
      <w:pPr>
        <w:pStyle w:val="FirstParagraph"/>
      </w:pPr>
      <w:r>
        <w:t xml:space="preserve">Thus the rule is positive, increasing, and concave on the admitted interval. It preserves ordering and compresses separation toward the upper normalised bound. These are verified properties of the definition, not a proof of universal necessity.</w:t>
      </w:r>
    </w:p>
    <w:bookmarkEnd w:id="32"/>
    <w:bookmarkStart w:id="33" w:name="frozen-factor-rule-and-nodal-coordinate"/>
    <w:p>
      <w:pPr>
        <w:pStyle w:val="Heading2"/>
        <w:keepNext/>
      </w:pPr>
      <w:r>
        <w:t xml:space="preserve">3.4 Frozen-factor rule and nodal coordinate</w:t>
      </w:r>
    </w:p>
    <w:p>
      <w:pPr>
        <w:pStyle w:val="FirstParagraph"/>
      </w:pPr>
      <w:r>
        <w:t xml:space="preserve">For a single declared execution,</w:t>
      </w:r>
    </w:p>
    <w:p>
      <w:pPr>
        <w:pStyle w:val="BodyText"/>
      </w:pPr>
      <m:oMathPara>
        <m:oMathParaPr>
          <m:jc m:val="center"/>
        </m:oMathParaPr>
        <m:oMath>
          <m:sSub>
            <m:e>
              <m:r>
                <m:t>g</m:t>
              </m:r>
            </m:e>
            <m:sub>
              <m:r>
                <m:t>D</m:t>
              </m:r>
              <m:r>
                <m:rPr>
                  <m:sty m:val="p"/>
                </m:rPr>
                <m:t>,</m:t>
              </m:r>
              <m:r>
                <m:rPr>
                  <m:sty m:val="p"/>
                </m:rPr>
                <m:t>a</m:t>
              </m:r>
              <m:r>
                <m:rPr>
                  <m:sty m:val="p"/>
                </m:rPr>
                <m:t>c</m:t>
              </m:r>
              <m:r>
                <m:rPr>
                  <m:sty m:val="p"/>
                </m:rPr>
                <m:t>c</m:t>
              </m:r>
            </m:sub>
          </m:sSub>
          <m:r>
            <m:rPr>
              <m:sty m:val="p"/>
            </m:rPr>
            <m:t>=</m:t>
          </m:r>
          <m:sSub>
            <m:e>
              <m:r>
                <m:t>g</m:t>
              </m:r>
            </m:e>
            <m:sub>
              <m:r>
                <m:t>D</m:t>
              </m:r>
              <m:r>
                <m:rPr>
                  <m:sty m:val="p"/>
                </m:rPr>
                <m:t>,</m:t>
              </m:r>
              <m:r>
                <m:rPr>
                  <m:sty m:val="p"/>
                </m:rPr>
                <m:t>∂</m:t>
              </m:r>
            </m:sub>
          </m:sSub>
          <m:r>
            <m:rPr>
              <m:sty m:val="p"/>
            </m:rPr>
            <m:t>.</m:t>
          </m:r>
        </m:oMath>
      </m:oMathPara>
    </w:p>
    <w:p>
      <w:pPr>
        <w:pStyle w:val="FirstParagraph"/>
      </w:pPr>
      <w:r>
        <w:t xml:space="preserve">In the present case,</w:t>
      </w:r>
    </w:p>
    <w:p>
      <w:pPr>
        <w:pStyle w:val="BodyText"/>
      </w:pPr>
      <m:oMathPara>
        <m:oMathParaPr>
          <m:jc m:val="center"/>
        </m:oMathParaPr>
        <m:oMath>
          <m:sSub>
            <m:e>
              <m:r>
                <m:t>g</m:t>
              </m:r>
            </m:e>
            <m:sub>
              <m:r>
                <m:rPr>
                  <m:sty m:val="p"/>
                </m:rPr>
                <m:t>a</m:t>
              </m:r>
              <m:r>
                <m:rPr>
                  <m:sty m:val="p"/>
                </m:rPr>
                <m:t>c</m:t>
              </m:r>
              <m:r>
                <m:rPr>
                  <m:sty m:val="p"/>
                </m:rPr>
                <m:t>c</m:t>
              </m:r>
            </m:sub>
          </m:sSub>
          <m:r>
            <m:rPr>
              <m:sty m:val="p"/>
            </m:rPr>
            <m:t>=</m:t>
          </m:r>
          <m:sSub>
            <m:e>
              <m:r>
                <m:t>g</m:t>
              </m:r>
            </m:e>
            <m:sub>
              <m:r>
                <m:rPr>
                  <m:sty m:val="p"/>
                </m:rPr>
                <m:t>∂</m:t>
              </m:r>
            </m:sub>
          </m:sSub>
          <m:r>
            <m:rPr>
              <m:sty m:val="p"/>
            </m:rPr>
            <m:t>=</m:t>
          </m:r>
          <m:f>
            <m:fPr>
              <m:type m:val="bar"/>
            </m:fPr>
            <m:num>
              <m:rad>
                <m:radPr>
                  <m:degHide m:val="on"/>
                </m:radPr>
                <m:deg/>
                <m:e>
                  <m:r>
                    <m:t>3</m:t>
                  </m:r>
                </m:e>
              </m:rad>
            </m:num>
            <m:den>
              <m:r>
                <m:t>2</m:t>
              </m:r>
            </m:den>
          </m:f>
          <m:r>
            <m:rPr>
              <m:sty m:val="p"/>
            </m:rPr>
            <m:t>.</m:t>
          </m:r>
        </m:oMath>
      </m:oMathPara>
    </w:p>
    <w:p>
      <w:pPr>
        <w:pStyle w:val="FirstParagraph"/>
      </w:pPr>
      <w:r>
        <w:t xml:space="preserve">The dimensionless nodal coordinate is</w:t>
      </w:r>
    </w:p>
    <w:p>
      <w:pPr>
        <w:pStyle w:val="BodyText"/>
      </w:pPr>
      <m:oMathPara>
        <m:oMathParaPr>
          <m:jc m:val="center"/>
        </m:oMathParaPr>
        <m:oMath>
          <m:sSub>
            <m:e>
              <m:r>
                <m:t>ν</m:t>
              </m:r>
            </m:e>
            <m:sub>
              <m:r>
                <m:t>D</m:t>
              </m:r>
            </m:sub>
          </m:sSub>
          <m:r>
            <m:rPr>
              <m:sty m:val="p"/>
            </m:rPr>
            <m:t>=</m:t>
          </m:r>
          <m:sSub>
            <m:e>
              <m:r>
                <m:t>N</m:t>
              </m:r>
            </m:e>
            <m:sub>
              <m:r>
                <m:t>A</m:t>
              </m:r>
            </m:sub>
          </m:sSub>
          <m:sSub>
            <m:e>
              <m:r>
                <m:t>g</m:t>
              </m:r>
            </m:e>
            <m:sub>
              <m:r>
                <m:t>D</m:t>
              </m:r>
            </m:sub>
          </m:sSub>
          <m:r>
            <m:rPr>
              <m:sty m:val="p"/>
            </m:rPr>
            <m:t>,</m:t>
          </m:r>
        </m:oMath>
      </m:oMathPara>
    </w:p>
    <w:p>
      <w:pPr>
        <w:pStyle w:val="FirstParagraph"/>
      </w:pPr>
      <w:r>
        <w:t xml:space="preserve">so</w:t>
      </w:r>
      <w:r>
        <w:t xml:space="preserve"> </w:t>
      </w:r>
      <m:oMath>
        <m:d>
          <m:dPr>
            <m:begChr m:val="["/>
            <m:endChr m:val="]"/>
            <m:sepChr m:val=""/>
            <m:grow/>
          </m:dPr>
          <m:e>
            <m:sSub>
              <m:e>
                <m:r>
                  <m:t>ν</m:t>
                </m:r>
              </m:e>
              <m:sub>
                <m:r>
                  <m:t>D</m:t>
                </m:r>
              </m:sub>
            </m:sSub>
          </m:e>
        </m:d>
        <m:r>
          <m:rPr>
            <m:sty m:val="p"/>
          </m:rPr>
          <m:t>=</m:t>
        </m:r>
        <m:r>
          <m:t>1</m:t>
        </m:r>
      </m:oMath>
      <w:r>
        <w:t xml:space="preserve">. The access and boundary coordinates are therefore</w:t>
      </w:r>
    </w:p>
    <w:p>
      <w:pPr>
        <w:pStyle w:val="BodyText"/>
      </w:pPr>
      <m:oMathPara>
        <m:oMathParaPr>
          <m:jc m:val="center"/>
        </m:oMathParaPr>
        <m:oMath>
          <m:sSub>
            <m:e>
              <m:r>
                <m:t>ν</m:t>
              </m:r>
            </m:e>
            <m:sub>
              <m:r>
                <m:rPr>
                  <m:sty m:val="p"/>
                </m:rPr>
                <m:t>a</m:t>
              </m:r>
              <m:r>
                <m:rPr>
                  <m:sty m:val="p"/>
                </m:rPr>
                <m:t>c</m:t>
              </m:r>
              <m:r>
                <m:rPr>
                  <m:sty m:val="p"/>
                </m:rPr>
                <m:t>c</m:t>
              </m:r>
            </m:sub>
          </m:sSub>
          <m:r>
            <m:rPr>
              <m:sty m:val="p"/>
            </m:rPr>
            <m:t>=</m:t>
          </m:r>
          <m:r>
            <m:t>9</m:t>
          </m:r>
          <m:r>
            <m:t> </m:t>
          </m:r>
          <m:r>
            <m:t>232</m:t>
          </m:r>
          <m:r>
            <m:t> </m:t>
          </m:r>
          <m:r>
            <m:t>000</m:t>
          </m:r>
          <m:r>
            <m:t> </m:t>
          </m:r>
          <m:r>
            <m:t>000</m:t>
          </m:r>
          <m:f>
            <m:fPr>
              <m:type m:val="bar"/>
            </m:fPr>
            <m:num>
              <m:rad>
                <m:radPr>
                  <m:degHide m:val="on"/>
                </m:radPr>
                <m:deg/>
                <m:e>
                  <m:r>
                    <m:t>3</m:t>
                  </m:r>
                </m:e>
              </m:rad>
            </m:num>
            <m:den>
              <m:r>
                <m:t>2</m:t>
              </m:r>
            </m:den>
          </m:f>
          <m:r>
            <m:rPr>
              <m:sty m:val="p"/>
            </m:rPr>
            <m:t>,</m:t>
          </m:r>
        </m:oMath>
      </m:oMathPara>
    </w:p>
    <w:p>
      <w:pPr>
        <w:pStyle w:val="FirstParagraph"/>
      </w:pPr>
      <m:oMathPara>
        <m:oMathParaPr>
          <m:jc m:val="center"/>
        </m:oMathParaPr>
        <m:oMath>
          <m:sSub>
            <m:e>
              <m:r>
                <m:t>ν</m:t>
              </m:r>
            </m:e>
            <m:sub>
              <m:r>
                <m:rPr>
                  <m:sty m:val="p"/>
                </m:rPr>
                <m:t>∂</m:t>
              </m:r>
            </m:sub>
          </m:sSub>
          <m:r>
            <m:rPr>
              <m:sty m:val="p"/>
            </m:rPr>
            <m:t>=</m:t>
          </m:r>
          <m:r>
            <m:t>23</m:t>
          </m:r>
          <m:r>
            <m:t> </m:t>
          </m:r>
          <m:r>
            <m:t>032</m:t>
          </m:r>
          <m:r>
            <m:t> </m:t>
          </m:r>
          <m:r>
            <m:t>000</m:t>
          </m:r>
          <m:r>
            <m:t> </m:t>
          </m:r>
          <m:r>
            <m:t>000</m:t>
          </m:r>
          <m:f>
            <m:fPr>
              <m:type m:val="bar"/>
            </m:fPr>
            <m:num>
              <m:rad>
                <m:radPr>
                  <m:degHide m:val="on"/>
                </m:radPr>
                <m:deg/>
                <m:e>
                  <m:r>
                    <m:t>3</m:t>
                  </m:r>
                </m:e>
              </m:rad>
            </m:num>
            <m:den>
              <m:r>
                <m:t>2</m:t>
              </m:r>
            </m:den>
          </m:f>
          <m:r>
            <m:rPr>
              <m:sty m:val="p"/>
            </m:rPr>
            <m:t>.</m:t>
          </m:r>
        </m:oMath>
      </m:oMathPara>
    </w:p>
    <w:p>
      <w:pPr>
        <w:pStyle w:val="FirstParagraph"/>
      </w:pPr>
      <w:r>
        <w:t xml:space="preserve">The ratio is exact:</w:t>
      </w:r>
    </w:p>
    <w:p>
      <w:pPr>
        <w:pStyle w:val="BodyText"/>
      </w:pPr>
      <m:oMathPara>
        <m:oMathParaPr>
          <m:jc m:val="center"/>
        </m:oMathParaPr>
        <m:oMath>
          <m:f>
            <m:fPr>
              <m:type m:val="bar"/>
            </m:fPr>
            <m:num>
              <m:sSub>
                <m:e>
                  <m:r>
                    <m:t>ν</m:t>
                  </m:r>
                </m:e>
                <m:sub>
                  <m:r>
                    <m:rPr>
                      <m:sty m:val="p"/>
                    </m:rPr>
                    <m:t>∂</m:t>
                  </m:r>
                </m:sub>
              </m:sSub>
            </m:num>
            <m:den>
              <m:sSub>
                <m:e>
                  <m:r>
                    <m:t>ν</m:t>
                  </m:r>
                </m:e>
                <m:sub>
                  <m:r>
                    <m:rPr>
                      <m:sty m:val="p"/>
                    </m:rPr>
                    <m:t>a</m:t>
                  </m:r>
                  <m:r>
                    <m:rPr>
                      <m:sty m:val="p"/>
                    </m:rPr>
                    <m:t>c</m:t>
                  </m:r>
                  <m:r>
                    <m:rPr>
                      <m:sty m:val="p"/>
                    </m:rPr>
                    <m:t>c</m:t>
                  </m:r>
                </m:sub>
              </m:sSub>
            </m:den>
          </m:f>
          <m:r>
            <m:rPr>
              <m:sty m:val="p"/>
            </m:rPr>
            <m:t>=</m:t>
          </m:r>
          <m:f>
            <m:fPr>
              <m:type m:val="bar"/>
            </m:fPr>
            <m:num>
              <m:r>
                <m:t>23</m:t>
              </m:r>
              <m:r>
                <m:t> </m:t>
              </m:r>
              <m:r>
                <m:t>032</m:t>
              </m:r>
              <m:r>
                <m:t> </m:t>
              </m:r>
              <m:r>
                <m:t>000</m:t>
              </m:r>
              <m:r>
                <m:t> </m:t>
              </m:r>
              <m:r>
                <m:t>000</m:t>
              </m:r>
            </m:num>
            <m:den>
              <m:r>
                <m:t>9</m:t>
              </m:r>
              <m:r>
                <m:t> </m:t>
              </m:r>
              <m:r>
                <m:t>232</m:t>
              </m:r>
              <m:r>
                <m:t> </m:t>
              </m:r>
              <m:r>
                <m:t>000</m:t>
              </m:r>
              <m:r>
                <m:t> </m:t>
              </m:r>
              <m:r>
                <m:t>000</m:t>
              </m:r>
            </m:den>
          </m:f>
          <m:r>
            <m:rPr>
              <m:sty m:val="p"/>
            </m:rPr>
            <m:t>=</m:t>
          </m:r>
          <m:f>
            <m:fPr>
              <m:type m:val="bar"/>
            </m:fPr>
            <m:num>
              <m:r>
                <m:t>2879</m:t>
              </m:r>
            </m:num>
            <m:den>
              <m:r>
                <m:t>1154</m:t>
              </m:r>
            </m:den>
          </m:f>
          <m:r>
            <m:rPr>
              <m:sty m:val="p"/>
            </m:rPr>
            <m:t>.</m:t>
          </m:r>
        </m:oMath>
      </m:oMathPara>
    </w:p>
    <w:bookmarkEnd w:id="33"/>
    <w:bookmarkEnd w:id="34"/>
    <w:bookmarkStart w:id="42" w:name="X28139c7cf06cd961a148df172360f87e511cd34"/>
    <w:p>
      <w:pPr>
        <w:pStyle w:val="Heading1"/>
        <w:keepNext/>
      </w:pPr>
      <w:r>
        <w:t xml:space="preserve">4 Construction of the Ω16 extensional scale</w:t>
      </w:r>
    </w:p>
    <w:bookmarkStart w:id="35" w:name="declared-calibration-frame"/>
    <w:p>
      <w:pPr>
        <w:pStyle w:val="Heading2"/>
        <w:keepNext/>
      </w:pPr>
      <w:r>
        <w:t xml:space="preserve">4.1 Declared calibration frame</w:t>
      </w:r>
    </w:p>
    <w:p>
      <w:pPr>
        <w:pStyle w:val="FirstParagraph"/>
      </w:pPr>
      <w:r>
        <w:t xml:space="preserve">The Ω16 scale is constructed from an auxiliary Earth-Moon-Sun frame. The declared metric anchors are</w:t>
      </w:r>
    </w:p>
    <w:p>
      <w:pPr>
        <w:pStyle w:val="BodyText"/>
      </w:pPr>
      <m:oMathPara>
        <m:oMathParaPr>
          <m:jc m:val="center"/>
        </m:oMathParaPr>
        <m:oMath>
          <m:sSub>
            <m:e>
              <m:r>
                <m:t>D</m:t>
              </m:r>
            </m:e>
            <m:sub>
              <m:r>
                <m:t>T</m:t>
              </m:r>
              <m:r>
                <m:t>S</m:t>
              </m:r>
            </m:sub>
          </m:sSub>
          <m:r>
            <m:rPr>
              <m:sty m:val="p"/>
            </m:rPr>
            <m:t>=</m:t>
          </m:r>
          <m:r>
            <m:t>149</m:t>
          </m:r>
          <m:r>
            <m:t> </m:t>
          </m:r>
          <m:r>
            <m:t>597</m:t>
          </m:r>
          <m:r>
            <m:t> </m:t>
          </m:r>
          <m:r>
            <m:t>870</m:t>
          </m:r>
          <m:r>
            <m:t> </m:t>
          </m:r>
          <m:r>
            <m:t>700</m:t>
          </m:r>
          <m:r>
            <m:t> </m:t>
          </m:r>
          <m:r>
            <m:rPr>
              <m:sty m:val="p"/>
            </m:rPr>
            <m:t>m</m:t>
          </m:r>
          <m:r>
            <m:rPr>
              <m:sty m:val="p"/>
            </m:rPr>
            <m:t>,</m:t>
          </m:r>
        </m:oMath>
      </m:oMathPara>
    </w:p>
    <w:p>
      <w:pPr>
        <w:pStyle w:val="FirstParagraph"/>
      </w:pPr>
      <m:oMathPara>
        <m:oMathParaPr>
          <m:jc m:val="center"/>
        </m:oMathParaPr>
        <m:oMath>
          <m:sSub>
            <m:e>
              <m:r>
                <m:t>D</m:t>
              </m:r>
            </m:e>
            <m:sub>
              <m:r>
                <m:t>T</m:t>
              </m:r>
              <m:r>
                <m:t>L</m:t>
              </m:r>
            </m:sub>
          </m:sSub>
          <m:r>
            <m:rPr>
              <m:sty m:val="p"/>
            </m:rPr>
            <m:t>=</m:t>
          </m:r>
          <m:r>
            <m:t>384</m:t>
          </m:r>
          <m:r>
            <m:t> </m:t>
          </m:r>
          <m:r>
            <m:t>400</m:t>
          </m:r>
          <m:r>
            <m:t> </m:t>
          </m:r>
          <m:r>
            <m:t>000</m:t>
          </m:r>
          <m:r>
            <m:t> </m:t>
          </m:r>
          <m:r>
            <m:rPr>
              <m:sty m:val="p"/>
            </m:rPr>
            <m:t>m</m:t>
          </m:r>
          <m:r>
            <m:rPr>
              <m:sty m:val="p"/>
            </m:rPr>
            <m:t>.</m:t>
          </m:r>
        </m:oMath>
      </m:oMathPara>
    </w:p>
    <w:p>
      <w:pPr>
        <w:pStyle w:val="FirstParagraph"/>
      </w:pPr>
      <w:r>
        <w:t xml:space="preserve">The radii used in the radial ratio are</w:t>
      </w:r>
    </w:p>
    <w:p>
      <w:pPr>
        <w:pStyle w:val="BodyText"/>
      </w:pPr>
      <m:oMathPara>
        <m:oMathParaPr>
          <m:jc m:val="center"/>
        </m:oMathParaPr>
        <m:oMath>
          <m:sSub>
            <m:e>
              <m:r>
                <m:t>R</m:t>
              </m:r>
            </m:e>
            <m:sub>
              <m:r>
                <m:rPr>
                  <m:sty m:val="p"/>
                </m:rPr>
                <m:t>⊕</m:t>
              </m:r>
            </m:sub>
          </m:sSub>
          <m:r>
            <m:rPr>
              <m:sty m:val="p"/>
            </m:rPr>
            <m:t>=</m:t>
          </m:r>
          <m:r>
            <m:t>6</m:t>
          </m:r>
          <m:r>
            <m:t> </m:t>
          </m:r>
          <m:r>
            <m:t>371</m:t>
          </m:r>
          <m:r>
            <m:t> </m:t>
          </m:r>
          <m:r>
            <m:t>000</m:t>
          </m:r>
          <m:r>
            <m:t> </m:t>
          </m:r>
          <m:r>
            <m:rPr>
              <m:sty m:val="p"/>
            </m:rPr>
            <m:t>m</m:t>
          </m:r>
          <m:r>
            <m:rPr>
              <m:sty m:val="p"/>
            </m:rPr>
            <m:t>,</m:t>
          </m:r>
          <m:r>
            <m:t>  </m:t>
          </m:r>
          <m:sSub>
            <m:e>
              <m:r>
                <m:t>R</m:t>
              </m:r>
            </m:e>
            <m:sub>
              <m:r>
                <m:t>L</m:t>
              </m:r>
            </m:sub>
          </m:sSub>
          <m:r>
            <m:rPr>
              <m:sty m:val="p"/>
            </m:rPr>
            <m:t>=</m:t>
          </m:r>
          <m:r>
            <m:t>1</m:t>
          </m:r>
          <m:r>
            <m:t> </m:t>
          </m:r>
          <m:r>
            <m:t>737</m:t>
          </m:r>
          <m:r>
            <m:t> </m:t>
          </m:r>
          <m:r>
            <m:t>400</m:t>
          </m:r>
          <m:r>
            <m:t> </m:t>
          </m:r>
          <m:r>
            <m:rPr>
              <m:sty m:val="p"/>
            </m:rPr>
            <m:t>m</m:t>
          </m:r>
          <m:r>
            <m:rPr>
              <m:sty m:val="p"/>
            </m:rPr>
            <m:t>,</m:t>
          </m:r>
          <m:r>
            <m:t>  </m:t>
          </m:r>
          <m:sSub>
            <m:e>
              <m:r>
                <m:t>R</m:t>
              </m:r>
            </m:e>
            <m:sub>
              <m:r>
                <m:rPr>
                  <m:sty m:val="p"/>
                </m:rPr>
                <m:t>⊙</m:t>
              </m:r>
            </m:sub>
          </m:sSub>
          <m:r>
            <m:rPr>
              <m:sty m:val="p"/>
            </m:rPr>
            <m:t>=</m:t>
          </m:r>
          <m:r>
            <m:t>695</m:t>
          </m:r>
          <m:r>
            <m:t> </m:t>
          </m:r>
          <m:r>
            <m:t>700</m:t>
          </m:r>
          <m:r>
            <m:t> </m:t>
          </m:r>
          <m:r>
            <m:t>000</m:t>
          </m:r>
          <m:r>
            <m:t> </m:t>
          </m:r>
          <m:r>
            <m:rPr>
              <m:sty m:val="p"/>
            </m:rPr>
            <m:t>m</m:t>
          </m:r>
          <m:r>
            <m:rPr>
              <m:sty m:val="p"/>
            </m:rPr>
            <m:t>.</m:t>
          </m:r>
        </m:oMath>
      </m:oMathPara>
    </w:p>
    <w:p>
      <w:pPr>
        <w:pStyle w:val="FirstParagraph"/>
      </w:pPr>
      <w:r>
        <w:t xml:space="preserve">These values are not presented as current best-estimate astronomical constants. They are the declared frozen inputs of the historical Ω16 execution. The purpose of this section is to expose the internal genealogy of the scale and its precision policy, not to update that calibration silently.</w:t>
      </w:r>
    </w:p>
    <w:bookmarkEnd w:id="35"/>
    <w:bookmarkStart w:id="36" w:name="X160e5ec7e312e92b8eba01f940a6fd5c324577b"/>
    <w:p>
      <w:pPr>
        <w:pStyle w:val="Heading2"/>
        <w:keepNext/>
      </w:pPr>
      <w:r>
        <w:t xml:space="preserve">4.2 Mean Moon-Sun distance and solar residual</w:t>
      </w:r>
    </w:p>
    <w:p>
      <w:pPr>
        <w:pStyle w:val="FirstParagraph"/>
      </w:pPr>
      <w:r>
        <w:t xml:space="preserve">Under the auxiliary assumptions of a circular lunar orbit, fixed Earth-Sun distance, and uniform phase angle, define</w:t>
      </w:r>
    </w:p>
    <w:p>
      <w:pPr>
        <w:pStyle w:val="BodyText"/>
      </w:pPr>
      <m:oMathPara>
        <m:oMathParaPr>
          <m:jc m:val="center"/>
        </m:oMathParaPr>
        <m:oMath>
          <m:sSub>
            <m:e>
              <m:r>
                <m:t>d</m:t>
              </m:r>
            </m:e>
            <m:sub>
              <m:r>
                <m:t>L</m:t>
              </m:r>
              <m:r>
                <m:t>S</m:t>
              </m:r>
            </m:sub>
          </m:sSub>
          <m:d>
            <m:dPr>
              <m:begChr m:val="("/>
              <m:endChr m:val=")"/>
              <m:sepChr m:val=""/>
              <m:grow/>
            </m:dPr>
            <m:e>
              <m:r>
                <m:t>θ</m:t>
              </m:r>
            </m:e>
          </m:d>
          <m:r>
            <m:rPr>
              <m:sty m:val="p"/>
            </m:rPr>
            <m:t>=</m:t>
          </m:r>
          <m:rad>
            <m:radPr>
              <m:degHide m:val="on"/>
            </m:radPr>
            <m:deg/>
            <m:e>
              <m:sSubSup>
                <m:e>
                  <m:r>
                    <m:t>D</m:t>
                  </m:r>
                </m:e>
                <m:sub>
                  <m:r>
                    <m:t>T</m:t>
                  </m:r>
                  <m:r>
                    <m:t>S</m:t>
                  </m:r>
                </m:sub>
                <m:sup>
                  <m:r>
                    <m:t>2</m:t>
                  </m:r>
                </m:sup>
              </m:sSubSup>
              <m:r>
                <m:rPr>
                  <m:sty m:val="p"/>
                </m:rPr>
                <m:t>+</m:t>
              </m:r>
              <m:sSubSup>
                <m:e>
                  <m:r>
                    <m:t>D</m:t>
                  </m:r>
                </m:e>
                <m:sub>
                  <m:r>
                    <m:t>T</m:t>
                  </m:r>
                  <m:r>
                    <m:t>L</m:t>
                  </m:r>
                </m:sub>
                <m:sup>
                  <m:r>
                    <m:t>2</m:t>
                  </m:r>
                </m:sup>
              </m:sSubSup>
              <m:r>
                <m:rPr>
                  <m:sty m:val="p"/>
                </m:rPr>
                <m:t>−</m:t>
              </m:r>
              <m:r>
                <m:t>2</m:t>
              </m:r>
              <m:sSub>
                <m:e>
                  <m:r>
                    <m:t>D</m:t>
                  </m:r>
                </m:e>
                <m:sub>
                  <m:r>
                    <m:t>T</m:t>
                  </m:r>
                  <m:r>
                    <m:t>S</m:t>
                  </m:r>
                </m:sub>
              </m:sSub>
              <m:sSub>
                <m:e>
                  <m:r>
                    <m:t>D</m:t>
                  </m:r>
                </m:e>
                <m:sub>
                  <m:r>
                    <m:t>T</m:t>
                  </m:r>
                  <m:r>
                    <m:t>L</m:t>
                  </m:r>
                </m:sub>
              </m:sSub>
              <m:r>
                <m:rPr>
                  <m:sty m:val="p"/>
                </m:rPr>
                <m:t>cos</m:t>
              </m:r>
              <m:r>
                <m:t>θ</m:t>
              </m:r>
            </m:e>
          </m:rad>
          <m:r>
            <m:rPr>
              <m:sty m:val="p"/>
            </m:rPr>
            <m:t>.</m:t>
          </m:r>
        </m:oMath>
      </m:oMathPara>
    </w:p>
    <w:p>
      <w:pPr>
        <w:pStyle w:val="FirstParagraph"/>
      </w:pPr>
      <w:r>
        <w:t xml:space="preserve">Its angular mean is</w:t>
      </w:r>
    </w:p>
    <w:p>
      <w:pPr>
        <w:pStyle w:val="BodyText"/>
      </w:pPr>
      <m:oMathPara>
        <m:oMathParaPr>
          <m:jc m:val="center"/>
        </m:oMathParaPr>
        <m:oMath>
          <m:sSub>
            <m:e>
              <m:bar>
                <m:barPr>
                  <m:pos m:val="top"/>
                </m:barPr>
                <m:e>
                  <m:r>
                    <m:t>d</m:t>
                  </m:r>
                </m:e>
              </m:bar>
            </m:e>
            <m:sub>
              <m:r>
                <m:t>L</m:t>
              </m:r>
              <m:r>
                <m:t>S</m:t>
              </m:r>
            </m:sub>
          </m:sSub>
          <m:r>
            <m:rPr>
              <m:sty m:val="p"/>
            </m:rPr>
            <m:t>=</m:t>
          </m:r>
          <m:f>
            <m:fPr>
              <m:type m:val="bar"/>
            </m:fPr>
            <m:num>
              <m:r>
                <m:t>1</m:t>
              </m:r>
            </m:num>
            <m:den>
              <m:r>
                <m:t>2</m:t>
              </m:r>
              <m:r>
                <m:t>π</m:t>
              </m:r>
            </m:den>
          </m:f>
          <m:nary>
            <m:naryPr>
              <m:chr m:val="∫"/>
              <m:limLoc m:val="subSup"/>
              <m:subHide m:val="off"/>
              <m:supHide m:val="off"/>
            </m:naryPr>
            <m:sub>
              <m:r>
                <m:t>0</m:t>
              </m:r>
            </m:sub>
            <m:sup>
              <m:r>
                <m:t>2</m:t>
              </m:r>
              <m:r>
                <m:t>π</m:t>
              </m:r>
            </m:sup>
            <m:e>
              <m:rad>
                <m:radPr>
                  <m:degHide m:val="on"/>
                </m:radPr>
                <m:deg/>
                <m:e>
                  <m:sSubSup>
                    <m:e>
                      <m:r>
                        <m:t>D</m:t>
                      </m:r>
                    </m:e>
                    <m:sub>
                      <m:r>
                        <m:t>T</m:t>
                      </m:r>
                      <m:r>
                        <m:t>S</m:t>
                      </m:r>
                    </m:sub>
                    <m:sup>
                      <m:r>
                        <m:t>2</m:t>
                      </m:r>
                    </m:sup>
                  </m:sSubSup>
                  <m:r>
                    <m:rPr>
                      <m:sty m:val="p"/>
                    </m:rPr>
                    <m:t>+</m:t>
                  </m:r>
                  <m:sSubSup>
                    <m:e>
                      <m:r>
                        <m:t>D</m:t>
                      </m:r>
                    </m:e>
                    <m:sub>
                      <m:r>
                        <m:t>T</m:t>
                      </m:r>
                      <m:r>
                        <m:t>L</m:t>
                      </m:r>
                    </m:sub>
                    <m:sup>
                      <m:r>
                        <m:t>2</m:t>
                      </m:r>
                    </m:sup>
                  </m:sSubSup>
                  <m:r>
                    <m:rPr>
                      <m:sty m:val="p"/>
                    </m:rPr>
                    <m:t>−</m:t>
                  </m:r>
                  <m:r>
                    <m:t>2</m:t>
                  </m:r>
                  <m:sSub>
                    <m:e>
                      <m:r>
                        <m:t>D</m:t>
                      </m:r>
                    </m:e>
                    <m:sub>
                      <m:r>
                        <m:t>T</m:t>
                      </m:r>
                      <m:r>
                        <m:t>S</m:t>
                      </m:r>
                    </m:sub>
                  </m:sSub>
                  <m:sSub>
                    <m:e>
                      <m:r>
                        <m:t>D</m:t>
                      </m:r>
                    </m:e>
                    <m:sub>
                      <m:r>
                        <m:t>T</m:t>
                      </m:r>
                      <m:r>
                        <m:t>L</m:t>
                      </m:r>
                    </m:sub>
                  </m:sSub>
                  <m:r>
                    <m:rPr>
                      <m:sty m:val="p"/>
                    </m:rPr>
                    <m:t>cos</m:t>
                  </m:r>
                  <m:r>
                    <m:t>θ</m:t>
                  </m:r>
                </m:e>
              </m:rad>
            </m:e>
          </m:nary>
          <m:r>
            <m:t> </m:t>
          </m:r>
          <m:r>
            <m:t>d</m:t>
          </m:r>
          <m:r>
            <m:t>θ</m:t>
          </m:r>
          <m:r>
            <m:rPr>
              <m:sty m:val="p"/>
            </m:rPr>
            <m:t>.</m:t>
          </m:r>
        </m:oMath>
      </m:oMathPara>
    </w:p>
    <w:p>
      <w:pPr>
        <w:pStyle w:val="FirstParagraph"/>
      </w:pPr>
      <w:r>
        <w:t xml:space="preserve">Using the complete elliptic integral of the second kind, with parameter</w:t>
      </w:r>
    </w:p>
    <w:p>
      <w:pPr>
        <w:pStyle w:val="BodyText"/>
      </w:pPr>
      <m:oMathPara>
        <m:oMathParaPr>
          <m:jc m:val="center"/>
        </m:oMathParaPr>
        <m:oMath>
          <m:r>
            <m:t>m</m:t>
          </m:r>
          <m:r>
            <m:rPr>
              <m:sty m:val="p"/>
            </m:rPr>
            <m:t>=</m:t>
          </m:r>
          <m:f>
            <m:fPr>
              <m:type m:val="bar"/>
            </m:fPr>
            <m:num>
              <m:r>
                <m:t>4</m:t>
              </m:r>
              <m:sSub>
                <m:e>
                  <m:r>
                    <m:t>D</m:t>
                  </m:r>
                </m:e>
                <m:sub>
                  <m:r>
                    <m:t>T</m:t>
                  </m:r>
                  <m:r>
                    <m:t>S</m:t>
                  </m:r>
                </m:sub>
              </m:sSub>
              <m:sSub>
                <m:e>
                  <m:r>
                    <m:t>D</m:t>
                  </m:r>
                </m:e>
                <m:sub>
                  <m:r>
                    <m:t>T</m:t>
                  </m:r>
                  <m:r>
                    <m:t>L</m:t>
                  </m:r>
                </m:sub>
              </m:sSub>
            </m:num>
            <m:den>
              <m:sSup>
                <m:e>
                  <m:d>
                    <m:dPr>
                      <m:begChr m:val="("/>
                      <m:endChr m:val=")"/>
                      <m:sepChr m:val=""/>
                      <m:grow/>
                    </m:dPr>
                    <m:e>
                      <m:sSub>
                        <m:e>
                          <m:r>
                            <m:t>D</m:t>
                          </m:r>
                        </m:e>
                        <m:sub>
                          <m:r>
                            <m:t>T</m:t>
                          </m:r>
                          <m:r>
                            <m:t>S</m:t>
                          </m:r>
                        </m:sub>
                      </m:sSub>
                      <m:r>
                        <m:rPr>
                          <m:sty m:val="p"/>
                        </m:rPr>
                        <m:t>+</m:t>
                      </m:r>
                      <m:sSub>
                        <m:e>
                          <m:r>
                            <m:t>D</m:t>
                          </m:r>
                        </m:e>
                        <m:sub>
                          <m:r>
                            <m:t>T</m:t>
                          </m:r>
                          <m:r>
                            <m:t>L</m:t>
                          </m:r>
                        </m:sub>
                      </m:sSub>
                    </m:e>
                  </m:d>
                </m:e>
                <m:sup>
                  <m:r>
                    <m:t>2</m:t>
                  </m:r>
                </m:sup>
              </m:sSup>
            </m:den>
          </m:f>
          <m:r>
            <m:rPr>
              <m:sty m:val="p"/>
            </m:rPr>
            <m:t>,</m:t>
          </m:r>
        </m:oMath>
      </m:oMathPara>
    </w:p>
    <w:p>
      <w:pPr>
        <w:pStyle w:val="FirstParagraph"/>
      </w:pPr>
      <w:r>
        <w:t xml:space="preserve">Eq. (33) becomes</w:t>
      </w:r>
    </w:p>
    <w:p>
      <w:pPr>
        <w:pStyle w:val="BodyText"/>
      </w:pPr>
      <m:oMathPara>
        <m:oMathParaPr>
          <m:jc m:val="center"/>
        </m:oMathParaPr>
        <m:oMath>
          <m:sSub>
            <m:e>
              <m:bar>
                <m:barPr>
                  <m:pos m:val="top"/>
                </m:barPr>
                <m:e>
                  <m:r>
                    <m:t>d</m:t>
                  </m:r>
                </m:e>
              </m:bar>
            </m:e>
            <m:sub>
              <m:r>
                <m:t>L</m:t>
              </m:r>
              <m:r>
                <m:t>S</m:t>
              </m:r>
            </m:sub>
          </m:sSub>
          <m:r>
            <m:rPr>
              <m:sty m:val="p"/>
            </m:rPr>
            <m:t>=</m:t>
          </m:r>
          <m:f>
            <m:fPr>
              <m:type m:val="bar"/>
            </m:fPr>
            <m:num>
              <m:r>
                <m:t>2</m:t>
              </m:r>
              <m:d>
                <m:dPr>
                  <m:begChr m:val="("/>
                  <m:endChr m:val=")"/>
                  <m:sepChr m:val=""/>
                  <m:grow/>
                </m:dPr>
                <m:e>
                  <m:sSub>
                    <m:e>
                      <m:r>
                        <m:t>D</m:t>
                      </m:r>
                    </m:e>
                    <m:sub>
                      <m:r>
                        <m:t>T</m:t>
                      </m:r>
                      <m:r>
                        <m:t>S</m:t>
                      </m:r>
                    </m:sub>
                  </m:sSub>
                  <m:r>
                    <m:rPr>
                      <m:sty m:val="p"/>
                    </m:rPr>
                    <m:t>+</m:t>
                  </m:r>
                  <m:sSub>
                    <m:e>
                      <m:r>
                        <m:t>D</m:t>
                      </m:r>
                    </m:e>
                    <m:sub>
                      <m:r>
                        <m:t>T</m:t>
                      </m:r>
                      <m:r>
                        <m:t>L</m:t>
                      </m:r>
                    </m:sub>
                  </m:sSub>
                </m:e>
              </m:d>
            </m:num>
            <m:den>
              <m:r>
                <m:t>π</m:t>
              </m:r>
            </m:den>
          </m:f>
          <m:r>
            <m:t>E</m:t>
          </m:r>
          <m:d>
            <m:dPr>
              <m:begChr m:val="("/>
              <m:endChr m:val=")"/>
              <m:sepChr m:val=""/>
              <m:grow/>
            </m:dPr>
            <m:e>
              <m:r>
                <m:t>m</m:t>
              </m:r>
            </m:e>
          </m:d>
          <m:r>
            <m:rPr>
              <m:sty m:val="p"/>
            </m:rPr>
            <m:t>.</m:t>
          </m:r>
        </m:oMath>
      </m:oMathPara>
    </w:p>
    <w:p>
      <w:pPr>
        <w:pStyle w:val="FirstParagraph"/>
      </w:pPr>
      <w:r>
        <w:t xml:space="preserve">The multiprecision evaluation is</w:t>
      </w:r>
    </w:p>
    <w:p>
      <w:pPr>
        <w:pStyle w:val="BodyText"/>
      </w:pPr>
      <m:oMathPara>
        <m:oMathParaPr>
          <m:jc m:val="center"/>
        </m:oMathParaPr>
        <m:oMath>
          <m:sSub>
            <m:e>
              <m:bar>
                <m:barPr>
                  <m:pos m:val="top"/>
                </m:barPr>
                <m:e>
                  <m:r>
                    <m:t>d</m:t>
                  </m:r>
                </m:e>
              </m:bar>
            </m:e>
            <m:sub>
              <m:r>
                <m:t>L</m:t>
              </m:r>
              <m:r>
                <m:t>S</m:t>
              </m:r>
            </m:sub>
          </m:sSub>
          <m:r>
            <m:rPr>
              <m:sty m:val="p"/>
            </m:rPr>
            <m:t>=</m:t>
          </m:r>
          <m:r>
            <m:t>149</m:t>
          </m:r>
          <m:r>
            <m:t> </m:t>
          </m:r>
          <m:r>
            <m:t>598</m:t>
          </m:r>
          <m:r>
            <m:t> </m:t>
          </m:r>
          <m:r>
            <m:t>117</m:t>
          </m:r>
          <m:r>
            <m:t> </m:t>
          </m:r>
          <m:r>
            <m:t>634.365250679780375539616884243654</m:t>
          </m:r>
          <m:r>
            <m:rPr>
              <m:sty m:val="p"/>
            </m:rPr>
            <m:t>…</m:t>
          </m:r>
          <m:r>
            <m:t> </m:t>
          </m:r>
          <m:r>
            <m:rPr>
              <m:sty m:val="p"/>
            </m:rPr>
            <m:t>m</m:t>
          </m:r>
          <m:r>
            <m:rPr>
              <m:sty m:val="p"/>
            </m:rPr>
            <m:t>.</m:t>
          </m:r>
        </m:oMath>
      </m:oMathPara>
    </w:p>
    <w:p>
      <w:pPr>
        <w:pStyle w:val="FirstParagraph"/>
      </w:pPr>
      <w:r>
        <w:t xml:space="preserve">The constructed solar residual is</w:t>
      </w:r>
    </w:p>
    <w:p>
      <w:pPr>
        <w:pStyle w:val="BodyText"/>
      </w:pPr>
      <m:oMathPara>
        <m:oMathParaPr>
          <m:jc m:val="center"/>
        </m:oMathParaPr>
        <m:oMath>
          <m:sSubSup>
            <m:e>
              <m:r>
                <m:t>N</m:t>
              </m:r>
            </m:e>
            <m:sub>
              <m:r>
                <m:t>s</m:t>
              </m:r>
            </m:sub>
            <m:sup>
              <m:d>
                <m:dPr>
                  <m:begChr m:val="("/>
                  <m:endChr m:val=")"/>
                  <m:sepChr m:val=""/>
                  <m:grow/>
                </m:dPr>
                <m:e>
                  <m:r>
                    <m:rPr>
                      <m:sty m:val="p"/>
                    </m:rPr>
                    <m:t>∞</m:t>
                  </m:r>
                </m:e>
              </m:d>
            </m:sup>
          </m:sSubSup>
          <m:d>
            <m:dPr>
              <m:begChr m:val="("/>
              <m:endChr m:val=")"/>
              <m:sepChr m:val=""/>
              <m:grow/>
            </m:dPr>
            <m:e>
              <m:r>
                <m:rPr>
                  <m:sty m:val="p"/>
                </m:rPr>
                <m:t>S</m:t>
              </m:r>
              <m:r>
                <m:rPr>
                  <m:sty m:val="p"/>
                </m:rPr>
                <m:t>u</m:t>
              </m:r>
              <m:r>
                <m:rPr>
                  <m:sty m:val="p"/>
                </m:rPr>
                <m:t>n</m:t>
              </m:r>
            </m:e>
          </m:d>
          <m:r>
            <m:rPr>
              <m:sty m:val="p"/>
            </m:rPr>
            <m:t>=</m:t>
          </m:r>
          <m:sSub>
            <m:e>
              <m:bar>
                <m:barPr>
                  <m:pos m:val="top"/>
                </m:barPr>
                <m:e>
                  <m:r>
                    <m:t>d</m:t>
                  </m:r>
                </m:e>
              </m:bar>
            </m:e>
            <m:sub>
              <m:r>
                <m:t>L</m:t>
              </m:r>
              <m:r>
                <m:t>S</m:t>
              </m:r>
            </m:sub>
          </m:sSub>
          <m:r>
            <m:rPr>
              <m:sty m:val="p"/>
            </m:rPr>
            <m:t>−</m:t>
          </m:r>
          <m:sSub>
            <m:e>
              <m:r>
                <m:t>D</m:t>
              </m:r>
            </m:e>
            <m:sub>
              <m:r>
                <m:t>T</m:t>
              </m:r>
              <m:r>
                <m:t>S</m:t>
              </m:r>
            </m:sub>
          </m:sSub>
          <m:r>
            <m:rPr>
              <m:sty m:val="p"/>
            </m:rPr>
            <m:t>=</m:t>
          </m:r>
          <m:r>
            <m:t>246</m:t>
          </m:r>
          <m:r>
            <m:t> </m:t>
          </m:r>
          <m:r>
            <m:t>934.365250679780375539616884243654</m:t>
          </m:r>
          <m:r>
            <m:rPr>
              <m:sty m:val="p"/>
            </m:rPr>
            <m:t>…</m:t>
          </m:r>
          <m:r>
            <m:t> </m:t>
          </m:r>
          <m:r>
            <m:rPr>
              <m:sty m:val="p"/>
            </m:rPr>
            <m:t>m</m:t>
          </m:r>
          <m:r>
            <m:rPr>
              <m:sty m:val="p"/>
            </m:rPr>
            <m:t>.</m:t>
          </m:r>
        </m:oMath>
      </m:oMathPara>
    </w:p>
    <w:p>
      <w:pPr>
        <w:pStyle w:val="FirstParagraph"/>
      </w:pPr>
      <w:r>
        <w:t xml:space="preserve">The historical chain freezes this quantity at twelve decimal places:</w:t>
      </w:r>
    </w:p>
    <w:p>
      <w:pPr>
        <w:pStyle w:val="BodyText"/>
      </w:pPr>
      <m:oMathPara>
        <m:oMathParaPr>
          <m:jc m:val="center"/>
        </m:oMathParaPr>
        <m:oMath>
          <m:sSubSup>
            <m:e>
              <m:r>
                <m:t>N</m:t>
              </m:r>
            </m:e>
            <m:sub>
              <m:r>
                <m:t>s</m:t>
              </m:r>
            </m:sub>
            <m:sup>
              <m:d>
                <m:dPr>
                  <m:begChr m:val="["/>
                  <m:endChr m:val="]"/>
                  <m:sepChr m:val=""/>
                  <m:grow/>
                </m:dPr>
                <m:e>
                  <m:r>
                    <m:t>12</m:t>
                  </m:r>
                </m:e>
              </m:d>
            </m:sup>
          </m:sSubSup>
          <m:d>
            <m:dPr>
              <m:begChr m:val="("/>
              <m:endChr m:val=")"/>
              <m:sepChr m:val=""/>
              <m:grow/>
            </m:dPr>
            <m:e>
              <m:r>
                <m:rPr>
                  <m:sty m:val="p"/>
                </m:rPr>
                <m:t>S</m:t>
              </m:r>
              <m:r>
                <m:rPr>
                  <m:sty m:val="p"/>
                </m:rPr>
                <m:t>u</m:t>
              </m:r>
              <m:r>
                <m:rPr>
                  <m:sty m:val="p"/>
                </m:rPr>
                <m:t>n</m:t>
              </m:r>
            </m:e>
          </m:d>
          <m:r>
            <m:rPr>
              <m:sty m:val="p"/>
            </m:rPr>
            <m:t>=</m:t>
          </m:r>
          <m:r>
            <m:t>246</m:t>
          </m:r>
          <m:r>
            <m:t> </m:t>
          </m:r>
          <m:r>
            <m:t>934.365250679780</m:t>
          </m:r>
          <m:r>
            <m:t> </m:t>
          </m:r>
          <m:r>
            <m:rPr>
              <m:sty m:val="p"/>
            </m:rPr>
            <m:t>U</m:t>
          </m:r>
          <m:r>
            <m:rPr>
              <m:sty m:val="p"/>
            </m:rPr>
            <m:t>F</m:t>
          </m:r>
          <m:r>
            <m:rPr>
              <m:sty m:val="p"/>
            </m:rPr>
            <m:t>E</m:t>
          </m:r>
          <m:r>
            <m:rPr>
              <m:sty m:val="p"/>
            </m:rPr>
            <m:t>.</m:t>
          </m:r>
        </m:oMath>
      </m:oMathPara>
    </w:p>
    <w:p>
      <w:pPr>
        <w:pStyle w:val="FirstParagraph"/>
      </w:pPr>
      <w:r>
        <w:t xml:space="preserve">Here UFE is the extensional unit carried by the Ω16 construction. In this execution its metric anchors are entered numerically in metres; accordingly, the returned UFE values are read metrically under the declared calibration. This statement concerns the present implementation and does not assert that UFE is an independently realised SI unit.</w:t>
      </w:r>
    </w:p>
    <w:p>
      <w:pPr>
        <w:pStyle w:val="BodyText"/>
      </w:pPr>
      <w:r>
        <w:t xml:space="preserve">The Earth quantity is</w:t>
      </w:r>
    </w:p>
    <w:p>
      <w:pPr>
        <w:pStyle w:val="BodyText"/>
      </w:pPr>
      <m:oMathPara>
        <m:oMathParaPr>
          <m:jc m:val="center"/>
        </m:oMathParaPr>
        <m:oMath>
          <m:sSub>
            <m:e>
              <m:r>
                <m:t>N</m:t>
              </m:r>
            </m:e>
            <m:sub>
              <m:r>
                <m:t>s</m:t>
              </m:r>
            </m:sub>
          </m:sSub>
          <m:d>
            <m:dPr>
              <m:begChr m:val="("/>
              <m:endChr m:val=")"/>
              <m:sepChr m:val=""/>
              <m:grow/>
            </m:dPr>
            <m:e>
              <m:r>
                <m:rPr>
                  <m:sty m:val="p"/>
                </m:rPr>
                <m:t>E</m:t>
              </m:r>
              <m:r>
                <m:rPr>
                  <m:sty m:val="p"/>
                </m:rPr>
                <m:t>a</m:t>
              </m:r>
              <m:r>
                <m:rPr>
                  <m:sty m:val="p"/>
                </m:rPr>
                <m:t>r</m:t>
              </m:r>
              <m:r>
                <m:rPr>
                  <m:sty m:val="p"/>
                </m:rPr>
                <m:t>t</m:t>
              </m:r>
              <m:r>
                <m:rPr>
                  <m:sty m:val="p"/>
                </m:rPr>
                <m:t>h</m:t>
              </m:r>
            </m:e>
          </m:d>
          <m:r>
            <m:rPr>
              <m:sty m:val="p"/>
            </m:rPr>
            <m:t>=</m:t>
          </m:r>
          <m:sSub>
            <m:e>
              <m:r>
                <m:t>D</m:t>
              </m:r>
            </m:e>
            <m:sub>
              <m:r>
                <m:t>T</m:t>
              </m:r>
              <m:r>
                <m:t>S</m:t>
              </m:r>
            </m:sub>
          </m:sSub>
          <m:r>
            <m:rPr>
              <m:sty m:val="p"/>
            </m:rPr>
            <m:t>−</m:t>
          </m:r>
          <m:sSub>
            <m:e>
              <m:r>
                <m:t>D</m:t>
              </m:r>
            </m:e>
            <m:sub>
              <m:r>
                <m:t>T</m:t>
              </m:r>
              <m:r>
                <m:t>L</m:t>
              </m:r>
            </m:sub>
          </m:sSub>
          <m:r>
            <m:rPr>
              <m:sty m:val="p"/>
            </m:rPr>
            <m:t>=</m:t>
          </m:r>
          <m:r>
            <m:t>149</m:t>
          </m:r>
          <m:r>
            <m:t> </m:t>
          </m:r>
          <m:r>
            <m:t>213</m:t>
          </m:r>
          <m:r>
            <m:t> </m:t>
          </m:r>
          <m:r>
            <m:t>470</m:t>
          </m:r>
          <m:r>
            <m:t> </m:t>
          </m:r>
          <m:r>
            <m:t>700</m:t>
          </m:r>
          <m:r>
            <m:t> </m:t>
          </m:r>
          <m:r>
            <m:rPr>
              <m:sty m:val="p"/>
            </m:rPr>
            <m:t>U</m:t>
          </m:r>
          <m:r>
            <m:rPr>
              <m:sty m:val="p"/>
            </m:rPr>
            <m:t>F</m:t>
          </m:r>
          <m:r>
            <m:rPr>
              <m:sty m:val="p"/>
            </m:rPr>
            <m:t>E</m:t>
          </m:r>
          <m:r>
            <m:rPr>
              <m:sty m:val="p"/>
            </m:rPr>
            <m:t>.</m:t>
          </m:r>
        </m:oMath>
      </m:oMathPara>
    </w:p>
    <w:bookmarkEnd w:id="36"/>
    <w:bookmarkStart w:id="37" w:name="two-ratios-and-linearised-coupling"/>
    <w:p>
      <w:pPr>
        <w:pStyle w:val="Heading2"/>
        <w:keepNext/>
      </w:pPr>
      <w:r>
        <w:t xml:space="preserve">4.3 Two ratios and linearised coupling</w:t>
      </w:r>
    </w:p>
    <w:p>
      <w:pPr>
        <w:pStyle w:val="FirstParagraph"/>
      </w:pPr>
      <w:r>
        <w:t xml:space="preserve">Define the potential ratio</w:t>
      </w:r>
    </w:p>
    <w:p>
      <w:pPr>
        <w:pStyle w:val="BodyText"/>
      </w:pPr>
      <m:oMathPara>
        <m:oMathParaPr>
          <m:jc m:val="center"/>
        </m:oMathParaPr>
        <m:oMath>
          <m:sSub>
            <m:e>
              <m:r>
                <m:t>κ</m:t>
              </m:r>
            </m:e>
            <m:sub>
              <m:r>
                <m:t>P</m:t>
              </m:r>
            </m:sub>
          </m:sSub>
          <m:r>
            <m:rPr>
              <m:sty m:val="p"/>
            </m:rPr>
            <m:t>=</m:t>
          </m:r>
          <m:f>
            <m:fPr>
              <m:type m:val="bar"/>
            </m:fPr>
            <m:num>
              <m:sSub>
                <m:e>
                  <m:r>
                    <m:t>N</m:t>
                  </m:r>
                </m:e>
                <m:sub>
                  <m:r>
                    <m:t>s</m:t>
                  </m:r>
                </m:sub>
              </m:sSub>
              <m:d>
                <m:dPr>
                  <m:begChr m:val="("/>
                  <m:endChr m:val=")"/>
                  <m:sepChr m:val=""/>
                  <m:grow/>
                </m:dPr>
                <m:e>
                  <m:r>
                    <m:rPr>
                      <m:sty m:val="p"/>
                    </m:rPr>
                    <m:t>E</m:t>
                  </m:r>
                  <m:r>
                    <m:rPr>
                      <m:sty m:val="p"/>
                    </m:rPr>
                    <m:t>a</m:t>
                  </m:r>
                  <m:r>
                    <m:rPr>
                      <m:sty m:val="p"/>
                    </m:rPr>
                    <m:t>r</m:t>
                  </m:r>
                  <m:r>
                    <m:rPr>
                      <m:sty m:val="p"/>
                    </m:rPr>
                    <m:t>t</m:t>
                  </m:r>
                  <m:r>
                    <m:rPr>
                      <m:sty m:val="p"/>
                    </m:rPr>
                    <m:t>h</m:t>
                  </m:r>
                </m:e>
              </m:d>
            </m:num>
            <m:den>
              <m:sSubSup>
                <m:e>
                  <m:r>
                    <m:t>N</m:t>
                  </m:r>
                </m:e>
                <m:sub>
                  <m:r>
                    <m:t>s</m:t>
                  </m:r>
                </m:sub>
                <m:sup>
                  <m:d>
                    <m:dPr>
                      <m:begChr m:val="["/>
                      <m:endChr m:val="]"/>
                      <m:sepChr m:val=""/>
                      <m:grow/>
                    </m:dPr>
                    <m:e>
                      <m:r>
                        <m:t>12</m:t>
                      </m:r>
                    </m:e>
                  </m:d>
                </m:sup>
              </m:sSubSup>
              <m:d>
                <m:dPr>
                  <m:begChr m:val="("/>
                  <m:endChr m:val=")"/>
                  <m:sepChr m:val=""/>
                  <m:grow/>
                </m:dPr>
                <m:e>
                  <m:r>
                    <m:rPr>
                      <m:sty m:val="p"/>
                    </m:rPr>
                    <m:t>S</m:t>
                  </m:r>
                  <m:r>
                    <m:rPr>
                      <m:sty m:val="p"/>
                    </m:rPr>
                    <m:t>u</m:t>
                  </m:r>
                  <m:r>
                    <m:rPr>
                      <m:sty m:val="p"/>
                    </m:rPr>
                    <m:t>n</m:t>
                  </m:r>
                </m:e>
              </m:d>
            </m:den>
          </m:f>
          <m:r>
            <m:rPr>
              <m:sty m:val="p"/>
            </m:rPr>
            <m:t>=</m:t>
          </m:r>
          <m:r>
            <m:t>604</m:t>
          </m:r>
          <m:r>
            <m:t> </m:t>
          </m:r>
          <m:r>
            <m:t>263.6898615683206487433327670029405</m:t>
          </m:r>
          <m:r>
            <m:rPr>
              <m:sty m:val="p"/>
            </m:rPr>
            <m:t>…</m:t>
          </m:r>
          <m:r>
            <m:rPr>
              <m:sty m:val="p"/>
            </m:rPr>
            <m:t>,</m:t>
          </m:r>
        </m:oMath>
      </m:oMathPara>
    </w:p>
    <w:p>
      <w:pPr>
        <w:pStyle w:val="FirstParagraph"/>
      </w:pPr>
      <w:r>
        <w:t xml:space="preserve">and the radial ratio</w:t>
      </w:r>
    </w:p>
    <w:p>
      <w:pPr>
        <w:pStyle w:val="BodyText"/>
      </w:pPr>
      <m:oMathPara>
        <m:oMathParaPr>
          <m:jc m:val="center"/>
        </m:oMathParaPr>
        <m:oMath>
          <m:sSub>
            <m:e>
              <m:r>
                <m:t>κ</m:t>
              </m:r>
            </m:e>
            <m:sub>
              <m:r>
                <m:t>R</m:t>
              </m:r>
            </m:sub>
          </m:sSub>
          <m:r>
            <m:rPr>
              <m:sty m:val="p"/>
            </m:rPr>
            <m:t>=</m:t>
          </m:r>
          <m:f>
            <m:fPr>
              <m:type m:val="bar"/>
            </m:fPr>
            <m:num>
              <m:sSub>
                <m:e>
                  <m:r>
                    <m:t>R</m:t>
                  </m:r>
                </m:e>
                <m:sub>
                  <m:r>
                    <m:rPr>
                      <m:sty m:val="p"/>
                    </m:rPr>
                    <m:t>⊙</m:t>
                  </m:r>
                </m:sub>
              </m:sSub>
            </m:num>
            <m:den>
              <m:sSub>
                <m:e>
                  <m:r>
                    <m:t>R</m:t>
                  </m:r>
                </m:e>
                <m:sub>
                  <m:r>
                    <m:rPr>
                      <m:sty m:val="p"/>
                    </m:rPr>
                    <m:t>⊕</m:t>
                  </m:r>
                </m:sub>
              </m:sSub>
              <m:r>
                <m:rPr>
                  <m:sty m:val="p"/>
                </m:rPr>
                <m:t>+</m:t>
              </m:r>
              <m:sSub>
                <m:e>
                  <m:r>
                    <m:t>R</m:t>
                  </m:r>
                </m:e>
                <m:sub>
                  <m:r>
                    <m:t>L</m:t>
                  </m:r>
                </m:sub>
              </m:sSub>
            </m:den>
          </m:f>
          <m:r>
            <m:rPr>
              <m:sty m:val="p"/>
            </m:rPr>
            <m:t>=</m:t>
          </m:r>
          <m:r>
            <m:t>85.7999112031966849193429036554684031</m:t>
          </m:r>
          <m:r>
            <m:rPr>
              <m:sty m:val="p"/>
            </m:rPr>
            <m:t>…</m:t>
          </m:r>
          <m:r>
            <m:rPr>
              <m:sty m:val="p"/>
            </m:rPr>
            <m:t>.</m:t>
          </m:r>
        </m:oMath>
      </m:oMathPara>
    </w:p>
    <w:p>
      <w:pPr>
        <w:pStyle w:val="FirstParagraph"/>
      </w:pPr>
      <w:r>
        <w:t xml:space="preserve">The Ω coupling is defined by</w:t>
      </w:r>
    </w:p>
    <w:p>
      <w:pPr>
        <w:pStyle w:val="BodyText"/>
      </w:pPr>
      <m:oMathPara>
        <m:oMathParaPr>
          <m:jc m:val="center"/>
        </m:oMathParaPr>
        <m:oMath>
          <m:sSub>
            <m:e>
              <m:r>
                <m:t>κ</m:t>
              </m:r>
            </m:e>
            <m:sub>
              <m:r>
                <m:t>Ω</m:t>
              </m:r>
            </m:sub>
          </m:sSub>
          <m:box>
            <m:boxPr>
              <m:opEmu m:val="on"/>
            </m:boxPr>
            <m:e>
              <m:r>
                <m:rPr>
                  <m:sty m:val="p"/>
                </m:rPr>
                <m:t>:=</m:t>
              </m:r>
            </m:e>
          </m:box>
          <m:rad>
            <m:radPr>
              <m:degHide m:val="on"/>
            </m:radPr>
            <m:deg/>
            <m:e>
              <m:f>
                <m:fPr>
                  <m:type m:val="bar"/>
                </m:fPr>
                <m:num>
                  <m:sSub>
                    <m:e>
                      <m:r>
                        <m:t>κ</m:t>
                      </m:r>
                    </m:e>
                    <m:sub>
                      <m:r>
                        <m:t>P</m:t>
                      </m:r>
                    </m:sub>
                  </m:sSub>
                </m:num>
                <m:den>
                  <m:sSub>
                    <m:e>
                      <m:r>
                        <m:t>κ</m:t>
                      </m:r>
                    </m:e>
                    <m:sub>
                      <m:r>
                        <m:t>R</m:t>
                      </m:r>
                    </m:sub>
                  </m:sSub>
                </m:den>
              </m:f>
            </m:e>
          </m:rad>
          <m:r>
            <m:rPr>
              <m:sty m:val="p"/>
            </m:rPr>
            <m:t>=</m:t>
          </m:r>
          <m:r>
            <m:t>83.9208414920315806537180865400762813</m:t>
          </m:r>
          <m:r>
            <m:rPr>
              <m:sty m:val="p"/>
            </m:rPr>
            <m:t>…</m:t>
          </m:r>
          <m:r>
            <m:rPr>
              <m:sty m:val="p"/>
            </m:rPr>
            <m:t>.</m:t>
          </m:r>
        </m:oMath>
      </m:oMathPara>
    </w:p>
    <w:p>
      <w:pPr>
        <w:pStyle w:val="FirstParagraph"/>
      </w:pPr>
      <w:r>
        <w:t xml:space="preserve">The recovered construction expresses this square-root coupling through the pair</w:t>
      </w:r>
    </w:p>
    <w:p>
      <w:pPr>
        <w:pStyle w:val="BodyText"/>
      </w:pPr>
      <m:oMathPara>
        <m:oMathParaPr>
          <m:jc m:val="center"/>
        </m:oMathParaPr>
        <m:oMath>
          <m:sSub>
            <m:e>
              <m:r>
                <m:t>Π</m:t>
              </m:r>
            </m:e>
            <m:sub>
              <m:r>
                <m:t>1</m:t>
              </m:r>
              <m:r>
                <m:rPr>
                  <m:sty m:val="p"/>
                </m:rPr>
                <m:t>,</m:t>
              </m:r>
              <m:r>
                <m:t>Ω</m:t>
              </m:r>
              <m:r>
                <m:t>16</m:t>
              </m:r>
            </m:sub>
          </m:sSub>
          <m:r>
            <m:rPr>
              <m:sty m:val="p"/>
            </m:rPr>
            <m:t>:</m:t>
          </m:r>
          <m:r>
            <m:t> </m:t>
          </m:r>
          <m:r>
            <m:t>b</m:t>
          </m:r>
          <m:r>
            <m:rPr>
              <m:sty m:val="p"/>
            </m:rPr>
            <m:t>−</m:t>
          </m:r>
          <m:f>
            <m:fPr>
              <m:type m:val="bar"/>
            </m:fPr>
            <m:num>
              <m:r>
                <m:t>a</m:t>
              </m:r>
            </m:num>
            <m:den>
              <m:rad>
                <m:radPr>
                  <m:degHide m:val="on"/>
                </m:radPr>
                <m:deg/>
                <m:e>
                  <m:sSub>
                    <m:e>
                      <m:r>
                        <m:t>κ</m:t>
                      </m:r>
                    </m:e>
                    <m:sub>
                      <m:r>
                        <m:t>R</m:t>
                      </m:r>
                    </m:sub>
                  </m:sSub>
                </m:e>
              </m:rad>
            </m:den>
          </m:f>
          <m:r>
            <m:rPr>
              <m:sty m:val="p"/>
            </m:rPr>
            <m:t>=</m:t>
          </m:r>
          <m:r>
            <m:t>0</m:t>
          </m:r>
          <m:r>
            <m:rPr>
              <m:sty m:val="p"/>
            </m:rPr>
            <m:t>,</m:t>
          </m:r>
        </m:oMath>
      </m:oMathPara>
    </w:p>
    <w:p>
      <w:pPr>
        <w:pStyle w:val="FirstParagraph"/>
      </w:pPr>
      <m:oMathPara>
        <m:oMathParaPr>
          <m:jc m:val="center"/>
        </m:oMathParaPr>
        <m:oMath>
          <m:sSub>
            <m:e>
              <m:r>
                <m:t>Π</m:t>
              </m:r>
            </m:e>
            <m:sub>
              <m:r>
                <m:t>2</m:t>
              </m:r>
              <m:r>
                <m:rPr>
                  <m:sty m:val="p"/>
                </m:rPr>
                <m:t>,</m:t>
              </m:r>
              <m:r>
                <m:t>Ω</m:t>
              </m:r>
              <m:r>
                <m:t>16</m:t>
              </m:r>
            </m:sub>
          </m:sSub>
          <m:r>
            <m:rPr>
              <m:sty m:val="p"/>
            </m:rPr>
            <m:t>:</m:t>
          </m:r>
          <m:r>
            <m:t> </m:t>
          </m:r>
          <m:r>
            <m:t>c</m:t>
          </m:r>
          <m:r>
            <m:rPr>
              <m:sty m:val="p"/>
            </m:rPr>
            <m:t>−</m:t>
          </m:r>
          <m:rad>
            <m:radPr>
              <m:degHide m:val="on"/>
            </m:radPr>
            <m:deg/>
            <m:e>
              <m:sSub>
                <m:e>
                  <m:r>
                    <m:t>κ</m:t>
                  </m:r>
                </m:e>
                <m:sub>
                  <m:r>
                    <m:t>P</m:t>
                  </m:r>
                </m:sub>
              </m:sSub>
            </m:e>
          </m:rad>
          <m:r>
            <m:t> </m:t>
          </m:r>
          <m:r>
            <m:t>b</m:t>
          </m:r>
          <m:r>
            <m:rPr>
              <m:sty m:val="p"/>
            </m:rPr>
            <m:t>=</m:t>
          </m:r>
          <m:r>
            <m:t>0</m:t>
          </m:r>
          <m:r>
            <m:rPr>
              <m:sty m:val="p"/>
            </m:rPr>
            <m:t>.</m:t>
          </m:r>
        </m:oMath>
      </m:oMathPara>
    </w:p>
    <w:p>
      <w:pPr>
        <w:pStyle w:val="FirstParagraph"/>
      </w:pPr>
      <w:r>
        <w:t xml:space="preserve">Their composition gives</w:t>
      </w:r>
    </w:p>
    <w:p>
      <w:pPr>
        <w:pStyle w:val="BodyText"/>
      </w:pPr>
      <m:oMathPara>
        <m:oMathParaPr>
          <m:jc m:val="center"/>
        </m:oMathParaPr>
        <m:oMath>
          <m:r>
            <m:t>c</m:t>
          </m:r>
          <m:r>
            <m:rPr>
              <m:sty m:val="p"/>
            </m:rPr>
            <m:t>=</m:t>
          </m:r>
          <m:r>
            <m:t>a</m:t>
          </m:r>
          <m:rad>
            <m:radPr>
              <m:degHide m:val="on"/>
            </m:radPr>
            <m:deg/>
            <m:e>
              <m:f>
                <m:fPr>
                  <m:type m:val="bar"/>
                </m:fPr>
                <m:num>
                  <m:sSub>
                    <m:e>
                      <m:r>
                        <m:t>κ</m:t>
                      </m:r>
                    </m:e>
                    <m:sub>
                      <m:r>
                        <m:t>P</m:t>
                      </m:r>
                    </m:sub>
                  </m:sSub>
                </m:num>
                <m:den>
                  <m:sSub>
                    <m:e>
                      <m:r>
                        <m:t>κ</m:t>
                      </m:r>
                    </m:e>
                    <m:sub>
                      <m:r>
                        <m:t>R</m:t>
                      </m:r>
                    </m:sub>
                  </m:sSub>
                </m:den>
              </m:f>
            </m:e>
          </m:rad>
          <m:r>
            <m:rPr>
              <m:sty m:val="p"/>
            </m:rPr>
            <m:t>=</m:t>
          </m:r>
          <m:r>
            <m:t>a</m:t>
          </m:r>
          <m:sSub>
            <m:e>
              <m:r>
                <m:t>κ</m:t>
              </m:r>
            </m:e>
            <m:sub>
              <m:r>
                <m:t>Ω</m:t>
              </m:r>
            </m:sub>
          </m:sSub>
          <m:r>
            <m:rPr>
              <m:sty m:val="p"/>
            </m:rPr>
            <m:t>.</m:t>
          </m:r>
        </m:oMath>
      </m:oMathPara>
    </w:p>
    <w:p>
      <w:pPr>
        <w:pStyle w:val="FirstParagraph"/>
      </w:pPr>
      <w:r>
        <w:t xml:space="preserve">Equations (43)-(45) establish the internal consequence of the declared coupling. They do not establish that this is the only possible coupling of the two ratios. In the present article,</w:t>
      </w:r>
      <w:r>
        <w:t xml:space="preserve"> </w:t>
      </w:r>
      <m:oMath>
        <m:sSub>
          <m:e>
            <m:r>
              <m:t>κ</m:t>
            </m:r>
          </m:e>
          <m:sub>
            <m:r>
              <m:t>Ω</m:t>
            </m:r>
          </m:sub>
        </m:sSub>
      </m:oMath>
      <w:r>
        <w:t xml:space="preserve"> </w:t>
      </w:r>
      <w:r>
        <w:t xml:space="preserve">is therefore treated as a constitutive linearisation rule of the Ω16 calibration.</w:t>
      </w:r>
    </w:p>
    <w:bookmarkEnd w:id="37"/>
    <w:bookmarkStart w:id="41" w:name="extensional-step"/>
    <w:p>
      <w:pPr>
        <w:pStyle w:val="Heading2"/>
        <w:keepNext/>
      </w:pPr>
      <w:r>
        <w:t xml:space="preserve">4.4 Extensional step</w:t>
      </w:r>
    </w:p>
    <w:p>
      <w:pPr>
        <w:pStyle w:val="FirstParagraph"/>
      </w:pPr>
      <w:r>
        <w:t xml:space="preserve">The extensional step is</w:t>
      </w:r>
    </w:p>
    <w:p>
      <w:pPr>
        <w:pStyle w:val="BodyText"/>
      </w:pPr>
      <m:oMathPara>
        <m:oMathParaPr>
          <m:jc m:val="center"/>
        </m:oMathParaPr>
        <m:oMath>
          <m:sSub>
            <m:e>
              <m:r>
                <m:t>σ</m:t>
              </m:r>
            </m:e>
            <m:sub>
              <m:r>
                <m:t>Ω</m:t>
              </m:r>
              <m:r>
                <m:t>16</m:t>
              </m:r>
            </m:sub>
          </m:sSub>
          <m:r>
            <m:rPr>
              <m:sty m:val="p"/>
            </m:rPr>
            <m:t>=</m:t>
          </m:r>
          <m:sSub>
            <m:e>
              <m:r>
                <m:t>D</m:t>
              </m:r>
            </m:e>
            <m:sub>
              <m:r>
                <m:t>T</m:t>
              </m:r>
              <m:r>
                <m:t>L</m:t>
              </m:r>
            </m:sub>
          </m:sSub>
          <m:sSub>
            <m:e>
              <m:r>
                <m:t>κ</m:t>
              </m:r>
            </m:e>
            <m:sub>
              <m:r>
                <m:t>Ω</m:t>
              </m:r>
            </m:sub>
          </m:sSub>
          <m:r>
            <m:rPr>
              <m:sty m:val="p"/>
            </m:rPr>
            <m:t>.</m:t>
          </m:r>
        </m:oMath>
      </m:oMathPara>
    </w:p>
    <w:p>
      <w:pPr>
        <w:pStyle w:val="FirstParagraph"/>
      </w:pPr>
      <w:r>
        <w:t xml:space="preserve">Using the frozen solar residual gives</w:t>
      </w:r>
    </w:p>
    <w:p>
      <w:pPr>
        <w:pStyle w:val="BodyText"/>
      </w:pPr>
      <m:oMathPara>
        <m:oMathParaPr>
          <m:jc m:val="center"/>
        </m:oMathParaPr>
        <m:oMath>
          <m:sSubSup>
            <m:e>
              <m:r>
                <m:t>σ</m:t>
              </m:r>
            </m:e>
            <m:sub>
              <m:r>
                <m:t>Ω</m:t>
              </m:r>
              <m:r>
                <m:t>16</m:t>
              </m:r>
            </m:sub>
            <m:sup>
              <m:d>
                <m:dPr>
                  <m:begChr m:val="("/>
                  <m:endChr m:val=")"/>
                  <m:sepChr m:val=""/>
                  <m:grow/>
                </m:dPr>
                <m:e>
                  <m:r>
                    <m:rPr>
                      <m:sty m:val="p"/>
                    </m:rPr>
                    <m:t>∞</m:t>
                  </m:r>
                  <m:r>
                    <m:rPr>
                      <m:sty m:val="p"/>
                    </m:rPr>
                    <m:t>∣</m:t>
                  </m:r>
                  <m:sSubSup>
                    <m:e>
                      <m:r>
                        <m:t>N</m:t>
                      </m:r>
                    </m:e>
                    <m:sub>
                      <m:r>
                        <m:t>s</m:t>
                      </m:r>
                    </m:sub>
                    <m:sup>
                      <m:d>
                        <m:dPr>
                          <m:begChr m:val="["/>
                          <m:endChr m:val="]"/>
                          <m:sepChr m:val=""/>
                          <m:grow/>
                        </m:dPr>
                        <m:e>
                          <m:r>
                            <m:t>12</m:t>
                          </m:r>
                        </m:e>
                      </m:d>
                    </m:sup>
                  </m:sSubSup>
                </m:e>
              </m:d>
            </m:sup>
          </m:sSubSup>
          <m:r>
            <m:rPr>
              <m:sty m:val="p"/>
            </m:rPr>
            <m:t>=</m:t>
          </m:r>
          <m:r>
            <m:t>32</m:t>
          </m:r>
          <m:r>
            <m:t> </m:t>
          </m:r>
          <m:r>
            <m:t>259</m:t>
          </m:r>
          <m:r>
            <m:t> </m:t>
          </m:r>
          <m:r>
            <m:t>171</m:t>
          </m:r>
          <m:r>
            <m:t> </m:t>
          </m:r>
          <m:r>
            <m:t>469.5369396032892324660053225384731672667697</m:t>
          </m:r>
          <m:r>
            <m:rPr>
              <m:sty m:val="p"/>
            </m:rPr>
            <m:t>…</m:t>
          </m:r>
          <m:r>
            <m:t> </m:t>
          </m:r>
          <m:r>
            <m:rPr>
              <m:sty m:val="p"/>
            </m:rPr>
            <m:t>U</m:t>
          </m:r>
          <m:r>
            <m:rPr>
              <m:sty m:val="p"/>
            </m:rPr>
            <m:t>F</m:t>
          </m:r>
          <m:r>
            <m:rPr>
              <m:sty m:val="p"/>
            </m:rPr>
            <m:t>E</m:t>
          </m:r>
          <m:r>
            <m:rPr>
              <m:sty m:val="p"/>
            </m:rPr>
            <m:t>.</m:t>
          </m:r>
        </m:oMath>
      </m:oMathPara>
    </w:p>
    <w:p>
      <w:pPr>
        <w:pStyle w:val="FirstParagraph"/>
      </w:pPr>
      <w:r>
        <w:t xml:space="preserve">The historical scale is frozen as</w:t>
      </w:r>
    </w:p>
    <w:p>
      <w:pPr>
        <w:pStyle w:val="BodyText"/>
      </w:pPr>
      <m:oMathPara>
        <m:oMathParaPr>
          <m:jc m:val="center"/>
        </m:oMathParaPr>
        <m:oMath>
          <m:sSubSup>
            <m:e>
              <m:r>
                <m:t>σ</m:t>
              </m:r>
            </m:e>
            <m:sub>
              <m:r>
                <m:t>Ω</m:t>
              </m:r>
              <m:r>
                <m:t>16</m:t>
              </m:r>
            </m:sub>
            <m:sup>
              <m:d>
                <m:dPr>
                  <m:begChr m:val="["/>
                  <m:endChr m:val="]"/>
                  <m:sepChr m:val=""/>
                  <m:grow/>
                </m:dPr>
                <m:e>
                  <m:r>
                    <m:t>33</m:t>
                  </m:r>
                </m:e>
              </m:d>
            </m:sup>
          </m:sSubSup>
          <m:r>
            <m:rPr>
              <m:sty m:val="p"/>
            </m:rPr>
            <m:t>=</m:t>
          </m:r>
          <m:r>
            <m:t>32</m:t>
          </m:r>
          <m:r>
            <m:t> </m:t>
          </m:r>
          <m:r>
            <m:t>259</m:t>
          </m:r>
          <m:r>
            <m:t> </m:t>
          </m:r>
          <m:r>
            <m:t>171</m:t>
          </m:r>
          <m:r>
            <m:t> </m:t>
          </m:r>
          <m:r>
            <m:t>469.536939603289232466005322538473167</m:t>
          </m:r>
          <m:r>
            <m:t> </m:t>
          </m:r>
          <m:r>
            <m:rPr>
              <m:sty m:val="p"/>
            </m:rPr>
            <m:t>U</m:t>
          </m:r>
          <m:r>
            <m:rPr>
              <m:sty m:val="p"/>
            </m:rPr>
            <m:t>F</m:t>
          </m:r>
          <m:r>
            <m:rPr>
              <m:sty m:val="p"/>
            </m:rPr>
            <m:t>E</m:t>
          </m:r>
          <m:r>
            <m:rPr>
              <m:sty m:val="p"/>
            </m:rPr>
            <m:t>.</m:t>
          </m:r>
        </m:oMath>
      </m:oMathPara>
    </w:p>
    <w:p>
      <w:pPr>
        <w:pStyle w:val="FirstParagraph"/>
      </w:pPr>
      <w:r>
        <w:t xml:space="preserve">The scale is locally constructed and then applied as the extensional map of DOAN-Ω16. That transfer is part of the operator definition. It is not presented as a standard cosmological law or an experimentally calibrated universal conversion.</w:t>
      </w:r>
    </w:p>
    <w:p>
      <w:pPr>
        <w:pStyle w:val="CaptionedFigure"/>
      </w:pPr>
      <w:r>
        <w:drawing>
          <wp:inline>
            <wp:extent cx="5292852" cy="2167995"/>
            <wp:effectExtent b="0" l="0" r="0" t="0"/>
            <wp:docPr descr="Construction of the Ω16 scale. External metric anchors enter an internal geometric mean and residual; two dimensionless ratios are coupled and returned through the Earth-Moon scale." title="" id="39" name="Picture"/>
            <a:graphic>
              <a:graphicData uri="http://schemas.openxmlformats.org/drawingml/2006/picture">
                <pic:pic>
                  <pic:nvPicPr>
                    <pic:cNvPr descr="figures/figure2_scale.png" id="40" name="Picture"/>
                    <pic:cNvPicPr>
                      <a:picLocks noChangeArrowheads="1" noChangeAspect="1"/>
                    </pic:cNvPicPr>
                  </pic:nvPicPr>
                  <pic:blipFill>
                    <a:blip r:embed="rId38"/>
                    <a:stretch>
                      <a:fillRect/>
                    </a:stretch>
                  </pic:blipFill>
                  <pic:spPr bwMode="auto">
                    <a:xfrm>
                      <a:off x="0" y="0"/>
                      <a:ext cx="5292852" cy="2167995"/>
                    </a:xfrm>
                    <a:prstGeom prst="rect">
                      <a:avLst/>
                    </a:prstGeom>
                    <a:noFill/>
                    <a:ln w="9525">
                      <a:noFill/>
                      <a:headEnd/>
                      <a:tailEnd/>
                    </a:ln>
                  </pic:spPr>
                </pic:pic>
              </a:graphicData>
            </a:graphic>
          </wp:inline>
        </w:drawing>
      </w:r>
    </w:p>
    <w:p>
      <w:pPr>
        <w:pStyle w:val="ImageCaption"/>
      </w:pPr>
      <w:r>
        <w:t xml:space="preserve">Construction of the Ω16 scale. External metric anchors enter an internal geometric mean and residual; two dimensionless ratios are coupled and returned through the Earth-Moon scale.</w:t>
      </w:r>
    </w:p>
    <w:bookmarkEnd w:id="41"/>
    <w:bookmarkEnd w:id="42"/>
    <w:bookmarkStart w:id="43" w:name="complete-doan-ω16-operator"/>
    <w:p>
      <w:pPr>
        <w:pStyle w:val="Heading1"/>
        <w:keepNext/>
      </w:pPr>
      <w:r>
        <w:t xml:space="preserve">5 Complete DOAN-Ω16 operator</w:t>
      </w:r>
    </w:p>
    <w:p>
      <w:pPr>
        <w:pStyle w:val="FirstParagraph"/>
      </w:pPr>
      <w:r>
        <w:t xml:space="preserve">The nodal-etary branch and the Ω16 scale combine as</w:t>
      </w:r>
    </w:p>
    <w:p>
      <w:pPr>
        <w:pStyle w:val="BodyText"/>
      </w:pPr>
      <m:oMathPara>
        <m:oMathParaPr>
          <m:jc m:val="center"/>
        </m:oMathParaPr>
        <m:oMath>
          <m:sSub>
            <m:e>
              <m:r>
                <m:t>λ</m:t>
              </m:r>
            </m:e>
            <m:sub>
              <m:r>
                <m:t>D</m:t>
              </m:r>
            </m:sub>
          </m:sSub>
          <m:r>
            <m:rPr>
              <m:sty m:val="p"/>
            </m:rPr>
            <m:t>=</m:t>
          </m:r>
          <m:sSub>
            <m:e>
              <m:r>
                <m:t>σ</m:t>
              </m:r>
            </m:e>
            <m:sub>
              <m:r>
                <m:t>Ω</m:t>
              </m:r>
              <m:r>
                <m:t>16</m:t>
              </m:r>
            </m:sub>
          </m:sSub>
          <m:sSub>
            <m:e>
              <m:r>
                <m:t>ν</m:t>
              </m:r>
            </m:e>
            <m:sub>
              <m:r>
                <m:t>D</m:t>
              </m:r>
            </m:sub>
          </m:sSub>
          <m:r>
            <m:rPr>
              <m:sty m:val="p"/>
            </m:rPr>
            <m:t>=</m:t>
          </m:r>
          <m:sSub>
            <m:e>
              <m:r>
                <m:t>σ</m:t>
              </m:r>
            </m:e>
            <m:sub>
              <m:r>
                <m:t>Ω</m:t>
              </m:r>
              <m:r>
                <m:t>16</m:t>
              </m:r>
            </m:sub>
          </m:sSub>
          <m:sSub>
            <m:e>
              <m:r>
                <m:t>N</m:t>
              </m:r>
            </m:e>
            <m:sub>
              <m:r>
                <m:t>A</m:t>
              </m:r>
            </m:sub>
          </m:sSub>
          <m:sSub>
            <m:e>
              <m:r>
                <m:t>g</m:t>
              </m:r>
            </m:e>
            <m:sub>
              <m:r>
                <m:t>D</m:t>
              </m:r>
            </m:sub>
          </m:sSub>
          <m:r>
            <m:rPr>
              <m:sty m:val="p"/>
            </m:rPr>
            <m:t>.</m:t>
          </m:r>
        </m:oMath>
      </m:oMathPara>
    </w:p>
    <w:p>
      <w:pPr>
        <w:pStyle w:val="FirstParagraph"/>
      </w:pPr>
      <w:r>
        <w:t xml:space="preserve">For a domain</w:t>
      </w:r>
      <w:r>
        <w:t xml:space="preserve"> </w:t>
      </w:r>
      <m:oMath>
        <m:r>
          <m:t>D</m:t>
        </m:r>
      </m:oMath>
      <w:r>
        <w:t xml:space="preserve"> </w:t>
      </w:r>
      <w:r>
        <w:t xml:space="preserve">referred to</w:t>
      </w:r>
      <w:r>
        <w:t xml:space="preserve"> </w:t>
      </w:r>
      <m:oMath>
        <m:sSub>
          <m:e>
            <m:r>
              <m:t>A</m:t>
            </m:r>
          </m:e>
          <m:sub>
            <m:r>
              <m:rPr>
                <m:sty m:val="p"/>
              </m:rPr>
              <m:t>r</m:t>
            </m:r>
            <m:r>
              <m:rPr>
                <m:sty m:val="p"/>
              </m:rPr>
              <m:t>e</m:t>
            </m:r>
            <m:r>
              <m:rPr>
                <m:sty m:val="p"/>
              </m:rPr>
              <m:t>f</m:t>
            </m:r>
          </m:sub>
        </m:sSub>
      </m:oMath>
      <w:r>
        <w:t xml:space="preserve">,</w:t>
      </w:r>
    </w:p>
    <w:p>
      <w:pPr>
        <w:pStyle w:val="BodyText"/>
      </w:pPr>
      <m:oMathPara>
        <m:oMathParaPr>
          <m:jc m:val="center"/>
        </m:oMathParaPr>
        <m:oMath>
          <m:sSub>
            <m:e>
              <m:r>
                <m:rPr>
                  <m:sty m:val="p"/>
                </m:rPr>
                <m:t>DOAN</m:t>
              </m:r>
            </m:e>
            <m:sub>
              <m:r>
                <m:t>Ω</m:t>
              </m:r>
              <m:r>
                <m:t>16</m:t>
              </m:r>
            </m:sub>
          </m:sSub>
          <m:d>
            <m:dPr>
              <m:begChr m:val="("/>
              <m:endChr m:val=")"/>
              <m:sepChr m:val=""/>
              <m:grow/>
            </m:dPr>
            <m:e>
              <m:r>
                <m:t>D</m:t>
              </m:r>
              <m:r>
                <m:rPr>
                  <m:sty m:val="p"/>
                </m:rPr>
                <m:t>∣</m:t>
              </m:r>
              <m:sSub>
                <m:e>
                  <m:r>
                    <m:t>A</m:t>
                  </m:r>
                </m:e>
                <m:sub>
                  <m:r>
                    <m:rPr>
                      <m:sty m:val="p"/>
                    </m:rPr>
                    <m:t>r</m:t>
                  </m:r>
                  <m:r>
                    <m:rPr>
                      <m:sty m:val="p"/>
                    </m:rPr>
                    <m:t>e</m:t>
                  </m:r>
                  <m:r>
                    <m:rPr>
                      <m:sty m:val="p"/>
                    </m:rPr>
                    <m:t>f</m:t>
                  </m:r>
                </m:sub>
              </m:sSub>
            </m:e>
          </m:d>
          <m:r>
            <m:rPr>
              <m:sty m:val="p"/>
            </m:rPr>
            <m:t>=</m:t>
          </m:r>
          <m:sSub>
            <m:e>
              <m:r>
                <m:t>σ</m:t>
              </m:r>
            </m:e>
            <m:sub>
              <m:r>
                <m:t>Ω</m:t>
              </m:r>
              <m:r>
                <m:t>16</m:t>
              </m:r>
            </m:sub>
          </m:sSub>
          <m:d>
            <m:dPr>
              <m:begChr m:val="("/>
              <m:endChr m:val=")"/>
              <m:sepChr m:val=""/>
              <m:grow/>
            </m:dPr>
            <m:e>
              <m:f>
                <m:fPr>
                  <m:type m:val="bar"/>
                </m:fPr>
                <m:num>
                  <m:sSub>
                    <m:e>
                      <m:r>
                        <m:t>A</m:t>
                      </m:r>
                    </m:e>
                    <m:sub>
                      <m:r>
                        <m:t>D</m:t>
                      </m:r>
                    </m:sub>
                  </m:sSub>
                  <m:r>
                    <m:rPr>
                      <m:sty m:val="p"/>
                    </m:rPr>
                    <m:t>−</m:t>
                  </m:r>
                  <m:sSub>
                    <m:e>
                      <m:r>
                        <m:t>A</m:t>
                      </m:r>
                    </m:e>
                    <m:sub>
                      <m:r>
                        <m:rPr>
                          <m:sty m:val="p"/>
                        </m:rPr>
                        <m:t>r</m:t>
                      </m:r>
                      <m:r>
                        <m:rPr>
                          <m:sty m:val="p"/>
                        </m:rPr>
                        <m:t>e</m:t>
                      </m:r>
                      <m:r>
                        <m:rPr>
                          <m:sty m:val="p"/>
                        </m:rPr>
                        <m:t>f</m:t>
                      </m:r>
                    </m:sub>
                  </m:sSub>
                </m:num>
                <m:den>
                  <m:r>
                    <m:t>1</m:t>
                  </m:r>
                  <m:r>
                    <m:t> </m:t>
                  </m:r>
                  <m:sSub>
                    <m:e>
                      <m:r>
                        <m:t>a</m:t>
                      </m:r>
                    </m:e>
                    <m:sub>
                      <m:r>
                        <m:t>J</m:t>
                      </m:r>
                    </m:sub>
                  </m:sSub>
                </m:den>
              </m:f>
            </m:e>
          </m:d>
          <m:rad>
            <m:radPr>
              <m:degHide m:val="on"/>
            </m:radPr>
            <m:deg/>
            <m:e>
              <m:f>
                <m:fPr>
                  <m:type m:val="bar"/>
                </m:fPr>
                <m:num>
                  <m:r>
                    <m:t>1</m:t>
                  </m:r>
                  <m:r>
                    <m:rPr>
                      <m:sty m:val="p"/>
                    </m:rPr>
                    <m:t>+</m:t>
                  </m:r>
                  <m:sSub>
                    <m:e>
                      <m:r>
                        <m:t>χ</m:t>
                      </m:r>
                    </m:e>
                    <m:sub>
                      <m:r>
                        <m:t>D</m:t>
                      </m:r>
                    </m:sub>
                  </m:sSub>
                </m:num>
                <m:den>
                  <m:r>
                    <m:t>2</m:t>
                  </m:r>
                </m:den>
              </m:f>
            </m:e>
          </m:rad>
          <m:r>
            <m:rPr>
              <m:sty m:val="p"/>
            </m:rPr>
            <m:t>.</m:t>
          </m:r>
        </m:oMath>
      </m:oMathPara>
    </w:p>
    <w:p>
      <w:pPr>
        <w:pStyle w:val="FirstParagraph"/>
      </w:pPr>
      <w:r>
        <w:t xml:space="preserve">The dimensional chain is</w:t>
      </w:r>
    </w:p>
    <w:p>
      <w:pPr>
        <w:pStyle w:val="BodyText"/>
      </w:pPr>
      <m:oMathPara>
        <m:oMathParaPr>
          <m:jc m:val="center"/>
        </m:oMathParaPr>
        <m:oMath>
          <m:d>
            <m:dPr>
              <m:begChr m:val="["/>
              <m:endChr m:val="]"/>
              <m:sepChr m:val=""/>
              <m:grow/>
            </m:dPr>
            <m:e>
              <m:sSub>
                <m:e>
                  <m:r>
                    <m:t>N</m:t>
                  </m:r>
                </m:e>
                <m:sub>
                  <m:r>
                    <m:t>A</m:t>
                  </m:r>
                </m:sub>
              </m:sSub>
            </m:e>
          </m:d>
          <m:r>
            <m:rPr>
              <m:sty m:val="p"/>
            </m:rPr>
            <m:t>=</m:t>
          </m:r>
          <m:d>
            <m:dPr>
              <m:begChr m:val="["/>
              <m:endChr m:val="]"/>
              <m:sepChr m:val=""/>
              <m:grow/>
            </m:dPr>
            <m:e>
              <m:sSub>
                <m:e>
                  <m:r>
                    <m:t>g</m:t>
                  </m:r>
                </m:e>
                <m:sub>
                  <m:r>
                    <m:t>D</m:t>
                  </m:r>
                </m:sub>
              </m:sSub>
            </m:e>
          </m:d>
          <m:r>
            <m:rPr>
              <m:sty m:val="p"/>
            </m:rPr>
            <m:t>=</m:t>
          </m:r>
          <m:d>
            <m:dPr>
              <m:begChr m:val="["/>
              <m:endChr m:val="]"/>
              <m:sepChr m:val=""/>
              <m:grow/>
            </m:dPr>
            <m:e>
              <m:sSub>
                <m:e>
                  <m:r>
                    <m:t>ν</m:t>
                  </m:r>
                </m:e>
                <m:sub>
                  <m:r>
                    <m:t>D</m:t>
                  </m:r>
                </m:sub>
              </m:sSub>
            </m:e>
          </m:d>
          <m:r>
            <m:rPr>
              <m:sty m:val="p"/>
            </m:rPr>
            <m:t>=</m:t>
          </m:r>
          <m:r>
            <m:t>1</m:t>
          </m:r>
          <m:r>
            <m:rPr>
              <m:sty m:val="p"/>
            </m:rPr>
            <m:t>,</m:t>
          </m:r>
          <m:r>
            <m:t>  </m:t>
          </m:r>
          <m:d>
            <m:dPr>
              <m:begChr m:val="["/>
              <m:endChr m:val="]"/>
              <m:sepChr m:val=""/>
              <m:grow/>
            </m:dPr>
            <m:e>
              <m:sSub>
                <m:e>
                  <m:r>
                    <m:t>λ</m:t>
                  </m:r>
                </m:e>
                <m:sub>
                  <m:r>
                    <m:t>D</m:t>
                  </m:r>
                </m:sub>
              </m:sSub>
            </m:e>
          </m:d>
          <m:r>
            <m:rPr>
              <m:sty m:val="p"/>
            </m:rPr>
            <m:t>=</m:t>
          </m:r>
          <m:d>
            <m:dPr>
              <m:begChr m:val="["/>
              <m:endChr m:val="]"/>
              <m:sepChr m:val=""/>
              <m:grow/>
            </m:dPr>
            <m:e>
              <m:sSub>
                <m:e>
                  <m:r>
                    <m:t>σ</m:t>
                  </m:r>
                </m:e>
                <m:sub>
                  <m:r>
                    <m:t>Ω</m:t>
                  </m:r>
                  <m:r>
                    <m:t>16</m:t>
                  </m:r>
                </m:sub>
              </m:sSub>
            </m:e>
          </m:d>
          <m:r>
            <m:rPr>
              <m:sty m:val="p"/>
            </m:rPr>
            <m:t>=</m:t>
          </m:r>
          <m:r>
            <m:rPr>
              <m:sty m:val="p"/>
            </m:rPr>
            <m:t>U</m:t>
          </m:r>
          <m:r>
            <m:rPr>
              <m:sty m:val="p"/>
            </m:rPr>
            <m:t>F</m:t>
          </m:r>
          <m:r>
            <m:rPr>
              <m:sty m:val="p"/>
            </m:rPr>
            <m:t>E</m:t>
          </m:r>
          <m:r>
            <m:rPr>
              <m:sty m:val="p"/>
            </m:rPr>
            <m:t>.</m:t>
          </m:r>
        </m:oMath>
      </m:oMathPara>
    </w:p>
    <w:p>
      <w:pPr>
        <w:pStyle w:val="FirstParagraph"/>
        <w:keepNext/>
        <w:spacing w:before="120" w:after="60"/>
        <w:jc w:val="center"/>
      </w:pPr>
      <w:r>
        <w:rPr>
          <w:rFonts w:ascii="Times New Roman" w:hAnsi="Times New Roman"/>
          <w:i/>
          <w:sz w:val="18"/>
        </w:rPr>
        <w:t xml:space="preserve">Table 1 records the type and status of each quantity.</w:t>
      </w:r>
    </w:p>
    <w:p>
      <w:pPr>
        <w:pStyle w:val="Caption"/>
        <w:keepNext/>
        <w:spacing w:before="120" w:after="60"/>
        <w:jc w:val="center"/>
      </w:pPr>
      <w:r>
        <w:rPr>
          <w:rFonts w:ascii="Times New Roman" w:hAnsi="Times New Roman"/>
          <w:b w:val="0"/>
          <w:bCs/>
          <w:i/>
          <w:sz w:val="18"/>
        </w:rPr>
        <w:t xml:space="preserve">Table 1. Typed quantities in DOAN-Ω16.</w:t>
      </w:r>
    </w:p>
    <w:tbl>
      <w:tblPr>
        <w:tblStyle w:val="TableGrid"/>
        <w:tblW w:type="dxa" w:w="7700"/>
        <w:jc w:val="center"/>
        <w:tblLayout w:type="fixed"/>
        <w:tblLook w:firstColumn="1" w:firstRow="1" w:lastColumn="0" w:lastRow="0" w:noHBand="0" w:noVBand="1" w:val="04A0"/>
      </w:tblPr>
      <w:tblGrid>
        <w:gridCol w:w="1250"/>
        <w:gridCol w:w="1800"/>
        <w:gridCol w:w="1450"/>
        <w:gridCol w:w="1900"/>
        <w:gridCol w:w="1300"/>
      </w:tblGrid>
      <w:tr>
        <w:trPr>
          <w:cantSplit/>
          <w:tblHeader w:val="true"/>
        </w:trPr>
        <w:tc>
          <w:tcPr>
            <w:tcW w:type="dxa" w:w="125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Quantity</w:t>
            </w:r>
          </w:p>
        </w:tc>
        <w:tc>
          <w:tcPr>
            <w:tcW w:type="dxa" w:w="18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Role</w:t>
            </w:r>
          </w:p>
        </w:tc>
        <w:tc>
          <w:tcPr>
            <w:tcW w:type="dxa" w:w="145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Dimension / unit</w:t>
            </w:r>
          </w:p>
        </w:tc>
        <w:tc>
          <w:tcPr>
            <w:tcW w:type="dxa" w:w="19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Origin</w:t>
            </w:r>
          </w:p>
        </w:tc>
        <w:tc>
          <w:tcPr>
            <w:tcW w:type="dxa" w:w="13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Status</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admitted domain age</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a_J</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declared input</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input</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A_ref</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reference age</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a_J</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declared input</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input</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F_D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declared closure age</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a_J</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declared input</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input</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chi_D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cycle fraction</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1</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A_D / F_D</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derived</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g_D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constitutive domain factor</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1</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sqrt[(1+chi_D)/2]</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constitutive</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N_A</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etary count</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1</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(A_D-A_ref)/(1 a_J)</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derived</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nu_D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nodal coordinate</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1</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N_A g_D</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derived</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sigma_Omega16</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extensional scale</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UFE</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local calibration</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constitutive scale</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lambda_D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extensional coordinate</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UFE</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sigma_Omega16 nu_D</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output</w:t>
            </w:r>
          </w:p>
        </w:tc>
      </w:tr>
      <w:tr>
        <w:trPr>
          <w:cantSplit/>
        </w:trPr>
        <w:tc>
          <w:tcPr>
            <w:tcW w:type="dxa" w:w="12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q_D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admissibility status</w:t>
            </w:r>
          </w:p>
        </w:tc>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{0,1,U}</w:t>
            </w:r>
          </w:p>
        </w:tc>
        <w:tc>
          <w:tcPr>
            <w:tcW w:type="dxa" w:w="1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domain controls</w:t>
            </w:r>
          </w:p>
        </w:tc>
        <w:tc>
          <w:tcPr>
            <w:tcW w:type="dxa" w:w="13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decision</w:t>
            </w:r>
          </w:p>
        </w:tc>
      </w:tr>
    </w:tbl>
    <w:p>
      <w:pPr>
        <w:pStyle w:val="BodyText"/>
      </w:pPr>
      <w:r>
        <w:t xml:space="preserve">The output is not a bare scalar. Its interpretation depends on the declared domain, origin, reference, scale, and boundary. A numerically identical value under different metadata would not constitute the same result.</w:t>
      </w:r>
    </w:p>
    <w:bookmarkEnd w:id="43"/>
    <w:bookmarkStart w:id="49" w:name="observable-domain-execution"/>
    <w:p>
      <w:pPr>
        <w:pStyle w:val="Heading1"/>
        <w:keepNext/>
      </w:pPr>
      <w:r>
        <w:t xml:space="preserve">6 Observable-domain execution</w:t>
      </w:r>
    </w:p>
    <w:bookmarkStart w:id="44" w:name="present-access"/>
    <w:p>
      <w:pPr>
        <w:pStyle w:val="Heading2"/>
        <w:keepNext/>
      </w:pPr>
      <w:r>
        <w:t xml:space="preserve">6.1 Present access</w:t>
      </w:r>
    </w:p>
    <w:p>
      <w:pPr>
        <w:pStyle w:val="FirstParagraph"/>
      </w:pPr>
      <w:r>
        <w:t xml:space="preserve">Using Eqs. (12), (17), and (48),</w:t>
      </w:r>
    </w:p>
    <w:p>
      <w:pPr>
        <w:pStyle w:val="BodyText"/>
      </w:pPr>
      <m:oMathPara>
        <m:oMathParaPr>
          <m:jc m:val="center"/>
        </m:oMathParaPr>
        <m:oMath>
          <m:sSub>
            <m:e>
              <m:r>
                <m:t>ν</m:t>
              </m:r>
            </m:e>
            <m:sub>
              <m:r>
                <m:rPr>
                  <m:sty m:val="p"/>
                </m:rPr>
                <m:t>a</m:t>
              </m:r>
              <m:r>
                <m:rPr>
                  <m:sty m:val="p"/>
                </m:rPr>
                <m:t>c</m:t>
              </m:r>
              <m:r>
                <m:rPr>
                  <m:sty m:val="p"/>
                </m:rPr>
                <m:t>c</m:t>
              </m:r>
            </m:sub>
          </m:sSub>
          <m:r>
            <m:rPr>
              <m:sty m:val="p"/>
            </m:rPr>
            <m:t>=</m:t>
          </m:r>
          <m:r>
            <m:t>9</m:t>
          </m:r>
          <m:r>
            <m:t> </m:t>
          </m:r>
          <m:r>
            <m:t>232</m:t>
          </m:r>
          <m:r>
            <m:t> </m:t>
          </m:r>
          <m:r>
            <m:t>000</m:t>
          </m:r>
          <m:r>
            <m:t> </m:t>
          </m:r>
          <m:r>
            <m:t>000</m:t>
          </m:r>
          <m:f>
            <m:fPr>
              <m:type m:val="bar"/>
            </m:fPr>
            <m:num>
              <m:rad>
                <m:radPr>
                  <m:degHide m:val="on"/>
                </m:radPr>
                <m:deg/>
                <m:e>
                  <m:r>
                    <m:t>3</m:t>
                  </m:r>
                </m:e>
              </m:rad>
            </m:num>
            <m:den>
              <m:r>
                <m:t>2</m:t>
              </m:r>
            </m:den>
          </m:f>
          <m:r>
            <m:rPr>
              <m:sty m:val="p"/>
            </m:rPr>
            <m:t>=</m:t>
          </m:r>
          <m:r>
            <m:t>7</m:t>
          </m:r>
          <m:r>
            <m:t> </m:t>
          </m:r>
          <m:r>
            <m:t>995</m:t>
          </m:r>
          <m:r>
            <m:t> </m:t>
          </m:r>
          <m:r>
            <m:t>146</m:t>
          </m:r>
          <m:r>
            <m:t> </m:t>
          </m:r>
          <m:r>
            <m:t>527.7379375869226923123911068458079890515887</m:t>
          </m:r>
          <m:r>
            <m:rPr>
              <m:sty m:val="p"/>
            </m:rPr>
            <m:t>…</m:t>
          </m:r>
          <m:r>
            <m:rPr>
              <m:sty m:val="p"/>
            </m:rPr>
            <m:t>.</m:t>
          </m:r>
        </m:oMath>
      </m:oMathPara>
    </w:p>
    <w:p>
      <w:pPr>
        <w:pStyle w:val="FirstParagraph"/>
      </w:pPr>
      <w:r>
        <w:t xml:space="preserve">The access coordinate is</w:t>
      </w:r>
    </w:p>
    <w:p>
      <w:pPr>
        <w:pStyle w:val="BodyText"/>
      </w:pPr>
      <m:oMathPara>
        <m:oMathParaPr>
          <m:jc m:val="center"/>
        </m:oMathParaPr>
        <m:oMath>
          <m:sSub>
            <m:e>
              <m:r>
                <m:t>λ</m:t>
              </m:r>
            </m:e>
            <m:sub>
              <m:r>
                <m:rPr>
                  <m:sty m:val="p"/>
                </m:rPr>
                <m:t>a</m:t>
              </m:r>
              <m:r>
                <m:rPr>
                  <m:sty m:val="p"/>
                </m:rPr>
                <m:t>c</m:t>
              </m:r>
              <m:r>
                <m:rPr>
                  <m:sty m:val="p"/>
                </m:rPr>
                <m:t>c</m:t>
              </m:r>
            </m:sub>
          </m:sSub>
          <m:r>
            <m:rPr>
              <m:sty m:val="p"/>
            </m:rPr>
            <m:t>=</m:t>
          </m:r>
          <m:sSubSup>
            <m:e>
              <m:r>
                <m:t>σ</m:t>
              </m:r>
            </m:e>
            <m:sub>
              <m:r>
                <m:t>Ω</m:t>
              </m:r>
              <m:r>
                <m:t>16</m:t>
              </m:r>
            </m:sub>
            <m:sup>
              <m:d>
                <m:dPr>
                  <m:begChr m:val="["/>
                  <m:endChr m:val="]"/>
                  <m:sepChr m:val=""/>
                  <m:grow/>
                </m:dPr>
                <m:e>
                  <m:r>
                    <m:t>33</m:t>
                  </m:r>
                </m:e>
              </m:d>
            </m:sup>
          </m:sSubSup>
          <m:sSub>
            <m:e>
              <m:r>
                <m:t>ν</m:t>
              </m:r>
            </m:e>
            <m:sub>
              <m:r>
                <m:rPr>
                  <m:sty m:val="p"/>
                </m:rPr>
                <m:t>a</m:t>
              </m:r>
              <m:r>
                <m:rPr>
                  <m:sty m:val="p"/>
                </m:rPr>
                <m:t>c</m:t>
              </m:r>
              <m:r>
                <m:rPr>
                  <m:sty m:val="p"/>
                </m:rPr>
                <m:t>c</m:t>
              </m:r>
            </m:sub>
          </m:sSub>
        </m:oMath>
      </m:oMathPara>
    </w:p>
    <w:p>
      <w:pPr>
        <w:pStyle w:val="FirstParagraph"/>
      </w:pPr>
      <m:oMathPara>
        <m:oMathParaPr>
          <m:jc m:val="center"/>
        </m:oMathParaPr>
        <m:oMath>
          <m:r>
            <m:rPr>
              <m:sty m:val="p"/>
            </m:rPr>
            <m:t>=</m:t>
          </m:r>
          <m:r>
            <m:t>257</m:t>
          </m:r>
          <m:r>
            <m:t> </m:t>
          </m:r>
          <m:r>
            <m:t>916</m:t>
          </m:r>
          <m:r>
            <m:t> </m:t>
          </m:r>
          <m:r>
            <m:t>802</m:t>
          </m:r>
          <m:r>
            <m:t> </m:t>
          </m:r>
          <m:r>
            <m:t>762</m:t>
          </m:r>
          <m:r>
            <m:t> </m:t>
          </m:r>
          <m:r>
            <m:t>371</m:t>
          </m:r>
          <m:r>
            <m:t> </m:t>
          </m:r>
          <m:r>
            <m:t>004</m:t>
          </m:r>
          <m:r>
            <m:t> </m:t>
          </m:r>
          <m:r>
            <m:t>117.802115994805413096538327928604</m:t>
          </m:r>
          <m:r>
            <m:rPr>
              <m:sty m:val="p"/>
            </m:rPr>
            <m:t>…</m:t>
          </m:r>
          <m:r>
            <m:t> </m:t>
          </m:r>
          <m:r>
            <m:rPr>
              <m:sty m:val="p"/>
            </m:rPr>
            <m:t>U</m:t>
          </m:r>
          <m:r>
            <m:rPr>
              <m:sty m:val="p"/>
            </m:rPr>
            <m:t>F</m:t>
          </m:r>
          <m:r>
            <m:rPr>
              <m:sty m:val="p"/>
            </m:rPr>
            <m:t>E</m:t>
          </m:r>
          <m:r>
            <m:rPr>
              <m:sty m:val="p"/>
            </m:rPr>
            <m:t>.</m:t>
          </m:r>
        </m:oMath>
      </m:oMathPara>
    </w:p>
    <w:bookmarkEnd w:id="44"/>
    <w:bookmarkStart w:id="48" w:name="closure-boundary"/>
    <w:p>
      <w:pPr>
        <w:pStyle w:val="Heading2"/>
        <w:keepNext/>
      </w:pPr>
      <w:r>
        <w:t xml:space="preserve">6.2 Closure boundary</w:t>
      </w:r>
    </w:p>
    <w:p>
      <w:pPr>
        <w:pStyle w:val="FirstParagraph"/>
      </w:pPr>
      <w:r>
        <w:t xml:space="preserve">At the declared closure age, the same structural factor is retained and only the etary count changes:</w:t>
      </w:r>
    </w:p>
    <w:p>
      <w:pPr>
        <w:pStyle w:val="BodyText"/>
      </w:pPr>
      <m:oMathPara>
        <m:oMathParaPr>
          <m:jc m:val="center"/>
        </m:oMathParaPr>
        <m:oMath>
          <m:sSub>
            <m:e>
              <m:r>
                <m:t>ν</m:t>
              </m:r>
            </m:e>
            <m:sub>
              <m:r>
                <m:rPr>
                  <m:sty m:val="p"/>
                </m:rPr>
                <m:t>∂</m:t>
              </m:r>
            </m:sub>
          </m:sSub>
          <m:r>
            <m:rPr>
              <m:sty m:val="p"/>
            </m:rPr>
            <m:t>=</m:t>
          </m:r>
          <m:r>
            <m:t>23</m:t>
          </m:r>
          <m:r>
            <m:t> </m:t>
          </m:r>
          <m:r>
            <m:t>032</m:t>
          </m:r>
          <m:r>
            <m:t> </m:t>
          </m:r>
          <m:r>
            <m:t>000</m:t>
          </m:r>
          <m:r>
            <m:t> </m:t>
          </m:r>
          <m:r>
            <m:t>000</m:t>
          </m:r>
          <m:f>
            <m:fPr>
              <m:type m:val="bar"/>
            </m:fPr>
            <m:num>
              <m:rad>
                <m:radPr>
                  <m:degHide m:val="on"/>
                </m:radPr>
                <m:deg/>
                <m:e>
                  <m:r>
                    <m:t>3</m:t>
                  </m:r>
                </m:e>
              </m:rad>
            </m:num>
            <m:den>
              <m:r>
                <m:t>2</m:t>
              </m:r>
            </m:den>
          </m:f>
          <m:r>
            <m:rPr>
              <m:sty m:val="p"/>
            </m:rPr>
            <m:t>.</m:t>
          </m:r>
        </m:oMath>
      </m:oMathPara>
    </w:p>
    <w:p>
      <w:pPr>
        <w:pStyle w:val="FirstParagraph"/>
      </w:pPr>
      <w:r>
        <w:t xml:space="preserve">The boundary coordinate is</w:t>
      </w:r>
    </w:p>
    <w:p>
      <w:pPr>
        <w:pStyle w:val="BodyText"/>
      </w:pPr>
      <m:oMathPara>
        <m:oMathParaPr>
          <m:jc m:val="center"/>
        </m:oMathParaPr>
        <m:oMath>
          <m:sSub>
            <m:e>
              <m:r>
                <m:t>λ</m:t>
              </m:r>
            </m:e>
            <m:sub>
              <m:r>
                <m:rPr>
                  <m:sty m:val="p"/>
                </m:rPr>
                <m:t>∂</m:t>
              </m:r>
            </m:sub>
          </m:sSub>
          <m:r>
            <m:rPr>
              <m:sty m:val="p"/>
            </m:rPr>
            <m:t>=</m:t>
          </m:r>
          <m:sSubSup>
            <m:e>
              <m:r>
                <m:t>σ</m:t>
              </m:r>
            </m:e>
            <m:sub>
              <m:r>
                <m:t>Ω</m:t>
              </m:r>
              <m:r>
                <m:t>16</m:t>
              </m:r>
            </m:sub>
            <m:sup>
              <m:d>
                <m:dPr>
                  <m:begChr m:val="["/>
                  <m:endChr m:val="]"/>
                  <m:sepChr m:val=""/>
                  <m:grow/>
                </m:dPr>
                <m:e>
                  <m:r>
                    <m:t>33</m:t>
                  </m:r>
                </m:e>
              </m:d>
            </m:sup>
          </m:sSubSup>
          <m:sSub>
            <m:e>
              <m:r>
                <m:t>ν</m:t>
              </m:r>
            </m:e>
            <m:sub>
              <m:r>
                <m:rPr>
                  <m:sty m:val="p"/>
                </m:rPr>
                <m:t>∂</m:t>
              </m:r>
            </m:sub>
          </m:sSub>
        </m:oMath>
      </m:oMathPara>
    </w:p>
    <w:p>
      <w:pPr>
        <w:pStyle w:val="FirstParagraph"/>
      </w:pPr>
      <m:oMathPara>
        <m:oMathParaPr>
          <m:jc m:val="center"/>
        </m:oMathParaPr>
        <m:oMath>
          <m:r>
            <m:rPr>
              <m:sty m:val="p"/>
            </m:rPr>
            <m:t>=</m:t>
          </m:r>
          <m:r>
            <m:t>643</m:t>
          </m:r>
          <m:r>
            <m:t> </m:t>
          </m:r>
          <m:r>
            <m:t>451</m:t>
          </m:r>
          <m:r>
            <m:t> </m:t>
          </m:r>
          <m:r>
            <m:t>018</m:t>
          </m:r>
          <m:r>
            <m:t> </m:t>
          </m:r>
          <m:r>
            <m:t>330</m:t>
          </m:r>
          <m:r>
            <m:t> </m:t>
          </m:r>
          <m:r>
            <m:t>039</m:t>
          </m:r>
          <m:r>
            <m:t> </m:t>
          </m:r>
          <m:r>
            <m:t>966</m:t>
          </m:r>
          <m:r>
            <m:t> </m:t>
          </m:r>
          <m:r>
            <m:t>078.988121273002412742576989693632</m:t>
          </m:r>
          <m:r>
            <m:rPr>
              <m:sty m:val="p"/>
            </m:rPr>
            <m:t>…</m:t>
          </m:r>
          <m:r>
            <m:t> </m:t>
          </m:r>
          <m:r>
            <m:rPr>
              <m:sty m:val="p"/>
            </m:rPr>
            <m:t>U</m:t>
          </m:r>
          <m:r>
            <m:rPr>
              <m:sty m:val="p"/>
            </m:rPr>
            <m:t>F</m:t>
          </m:r>
          <m:r>
            <m:rPr>
              <m:sty m:val="p"/>
            </m:rPr>
            <m:t>E</m:t>
          </m:r>
          <m:r>
            <m:rPr>
              <m:sty m:val="p"/>
            </m:rPr>
            <m:t>.</m:t>
          </m:r>
        </m:oMath>
      </m:oMathPara>
    </w:p>
    <w:p>
      <w:pPr>
        <w:pStyle w:val="FirstParagraph"/>
      </w:pPr>
      <w:r>
        <w:t xml:space="preserve">The access-to-boundary coefficient is</w:t>
      </w:r>
    </w:p>
    <w:p>
      <w:pPr>
        <w:pStyle w:val="BodyText"/>
      </w:pPr>
      <m:oMathPara>
        <m:oMathParaPr>
          <m:jc m:val="center"/>
        </m:oMathParaPr>
        <m:oMath>
          <m:sSubSup>
            <m:e>
              <m:r>
                <m:t>κ</m:t>
              </m:r>
            </m:e>
            <m:sub>
              <m:r>
                <m:rPr>
                  <m:sty m:val="p"/>
                </m:rPr>
                <m:t>∂</m:t>
              </m:r>
              <m:r>
                <m:rPr>
                  <m:sty m:val="p"/>
                </m:rPr>
                <m:t>←</m:t>
              </m:r>
              <m:r>
                <m:rPr>
                  <m:sty m:val="p"/>
                </m:rPr>
                <m:t>a</m:t>
              </m:r>
              <m:r>
                <m:rPr>
                  <m:sty m:val="p"/>
                </m:rPr>
                <m:t>c</m:t>
              </m:r>
              <m:r>
                <m:rPr>
                  <m:sty m:val="p"/>
                </m:rPr>
                <m:t>c</m:t>
              </m:r>
            </m:sub>
            <m:sup>
              <m:r>
                <m:t>S</m:t>
              </m:r>
              <m:r>
                <m:t>V</m:t>
              </m:r>
            </m:sup>
          </m:sSubSup>
          <m:r>
            <m:rPr>
              <m:sty m:val="p"/>
            </m:rPr>
            <m:t>=</m:t>
          </m:r>
          <m:f>
            <m:fPr>
              <m:type m:val="bar"/>
            </m:fPr>
            <m:num>
              <m:sSub>
                <m:e>
                  <m:r>
                    <m:t>N</m:t>
                  </m:r>
                </m:e>
                <m:sub>
                  <m:r>
                    <m:t>A</m:t>
                  </m:r>
                  <m:r>
                    <m:rPr>
                      <m:sty m:val="p"/>
                    </m:rPr>
                    <m:t>,</m:t>
                  </m:r>
                  <m:r>
                    <m:rPr>
                      <m:sty m:val="p"/>
                    </m:rPr>
                    <m:t>∂</m:t>
                  </m:r>
                </m:sub>
              </m:sSub>
            </m:num>
            <m:den>
              <m:sSub>
                <m:e>
                  <m:r>
                    <m:t>N</m:t>
                  </m:r>
                </m:e>
                <m:sub>
                  <m:r>
                    <m:t>A</m:t>
                  </m:r>
                  <m:r>
                    <m:rPr>
                      <m:sty m:val="p"/>
                    </m:rPr>
                    <m:t>,</m:t>
                  </m:r>
                  <m:r>
                    <m:rPr>
                      <m:sty m:val="p"/>
                    </m:rPr>
                    <m:t>a</m:t>
                  </m:r>
                  <m:r>
                    <m:rPr>
                      <m:sty m:val="p"/>
                    </m:rPr>
                    <m:t>c</m:t>
                  </m:r>
                  <m:r>
                    <m:rPr>
                      <m:sty m:val="p"/>
                    </m:rPr>
                    <m:t>c</m:t>
                  </m:r>
                </m:sub>
              </m:sSub>
            </m:den>
          </m:f>
          <m:r>
            <m:rPr>
              <m:sty m:val="p"/>
            </m:rPr>
            <m:t>=</m:t>
          </m:r>
          <m:f>
            <m:fPr>
              <m:type m:val="bar"/>
            </m:fPr>
            <m:num>
              <m:r>
                <m:t>2879</m:t>
              </m:r>
            </m:num>
            <m:den>
              <m:r>
                <m:t>1154</m:t>
              </m:r>
            </m:den>
          </m:f>
          <m:r>
            <m:rPr>
              <m:sty m:val="p"/>
            </m:rPr>
            <m:t>,</m:t>
          </m:r>
        </m:oMath>
      </m:oMathPara>
    </w:p>
    <w:p>
      <w:pPr>
        <w:pStyle w:val="FirstParagraph"/>
      </w:pPr>
      <w:r>
        <w:t xml:space="preserve">so</w:t>
      </w:r>
    </w:p>
    <w:p>
      <w:pPr>
        <w:pStyle w:val="BodyText"/>
      </w:pPr>
      <m:oMathPara>
        <m:oMathParaPr>
          <m:jc m:val="center"/>
        </m:oMathParaPr>
        <m:oMath>
          <m:sSub>
            <m:e>
              <m:r>
                <m:t>λ</m:t>
              </m:r>
            </m:e>
            <m:sub>
              <m:r>
                <m:rPr>
                  <m:sty m:val="p"/>
                </m:rPr>
                <m:t>∂</m:t>
              </m:r>
            </m:sub>
          </m:sSub>
          <m:r>
            <m:rPr>
              <m:sty m:val="p"/>
            </m:rPr>
            <m:t>=</m:t>
          </m:r>
          <m:f>
            <m:fPr>
              <m:type m:val="bar"/>
            </m:fPr>
            <m:num>
              <m:r>
                <m:t>2879</m:t>
              </m:r>
            </m:num>
            <m:den>
              <m:r>
                <m:t>1154</m:t>
              </m:r>
            </m:den>
          </m:f>
          <m:sSub>
            <m:e>
              <m:r>
                <m:t>λ</m:t>
              </m:r>
            </m:e>
            <m:sub>
              <m:r>
                <m:rPr>
                  <m:sty m:val="p"/>
                </m:rPr>
                <m:t>a</m:t>
              </m:r>
              <m:r>
                <m:rPr>
                  <m:sty m:val="p"/>
                </m:rPr>
                <m:t>c</m:t>
              </m:r>
              <m:r>
                <m:rPr>
                  <m:sty m:val="p"/>
                </m:rPr>
                <m:t>c</m:t>
              </m:r>
            </m:sub>
          </m:sSub>
          <m:r>
            <m:rPr>
              <m:sty m:val="p"/>
            </m:rPr>
            <m:t>.</m:t>
          </m:r>
        </m:oMath>
      </m:oMathPara>
    </w:p>
    <w:p>
      <w:pPr>
        <w:pStyle w:val="FirstParagraph"/>
      </w:pPr>
      <w:r>
        <w:t xml:space="preserve">Equation (59) is exact with respect to the common scale and common frozen factor. The decimal values inherit the precision policy of</w:t>
      </w:r>
      <w:r>
        <w:t xml:space="preserve"> </w:t>
      </w:r>
      <m:oMath>
        <m:sSub>
          <m:e>
            <m:r>
              <m:t>σ</m:t>
            </m:r>
          </m:e>
          <m:sub>
            <m:r>
              <m:t>Ω</m:t>
            </m:r>
            <m:r>
              <m:t>16</m:t>
            </m:r>
          </m:sub>
        </m:sSub>
      </m:oMath>
      <w:r>
        <w:t xml:space="preserve">.</w:t>
      </w:r>
    </w:p>
    <w:p>
      <w:pPr>
        <w:pStyle w:val="CaptionedFigure"/>
      </w:pPr>
      <w:r>
        <w:drawing>
          <wp:inline>
            <wp:extent cx="5177790" cy="1616832"/>
            <wp:effectExtent b="0" l="0" r="0" t="0"/>
            <wp:docPr descr="Present access and closure boundary from the terrestrial origin. The constitutive factor is fixed; the etary count carries the transition." title="" id="46" name="Picture"/>
            <a:graphic>
              <a:graphicData uri="http://schemas.openxmlformats.org/drawingml/2006/picture">
                <pic:pic>
                  <pic:nvPicPr>
                    <pic:cNvPr descr="figures/figure3_access_boundary.png" id="47" name="Picture"/>
                    <pic:cNvPicPr>
                      <a:picLocks noChangeArrowheads="1" noChangeAspect="1"/>
                    </pic:cNvPicPr>
                  </pic:nvPicPr>
                  <pic:blipFill>
                    <a:blip r:embed="rId45"/>
                    <a:stretch>
                      <a:fillRect/>
                    </a:stretch>
                  </pic:blipFill>
                  <pic:spPr bwMode="auto">
                    <a:xfrm>
                      <a:off x="0" y="0"/>
                      <a:ext cx="5177790" cy="1616832"/>
                    </a:xfrm>
                    <a:prstGeom prst="rect">
                      <a:avLst/>
                    </a:prstGeom>
                    <a:noFill/>
                    <a:ln w="9525">
                      <a:noFill/>
                      <a:headEnd/>
                      <a:tailEnd/>
                    </a:ln>
                  </pic:spPr>
                </pic:pic>
              </a:graphicData>
            </a:graphic>
          </wp:inline>
        </w:drawing>
      </w:r>
    </w:p>
    <w:p>
      <w:pPr>
        <w:pStyle w:val="ImageCaption"/>
      </w:pPr>
      <w:r>
        <w:t xml:space="preserve">Present access and closure boundary from the terrestrial origin. The constitutive factor is fixed; the etary count carries the transition.</w:t>
      </w:r>
    </w:p>
    <w:p>
      <w:pPr>
        <w:pStyle w:val="Caption"/>
        <w:keepNext/>
        <w:spacing w:before="120" w:after="60"/>
        <w:jc w:val="center"/>
      </w:pPr>
      <w:r>
        <w:rPr>
          <w:rFonts w:ascii="Times New Roman" w:hAnsi="Times New Roman"/>
          <w:b w:val="0"/>
          <w:bCs/>
          <w:i/>
          <w:sz w:val="18"/>
        </w:rPr>
        <w:t xml:space="preserve">Table 2. Observable-domain execution.</w:t>
      </w:r>
    </w:p>
    <w:tbl>
      <w:tblPr>
        <w:tblStyle w:val="TableGrid"/>
        <w:tblW w:type="dxa" w:w="7450"/>
        <w:jc w:val="center"/>
        <w:tblLayout w:type="fixed"/>
        <w:tblLook w:firstColumn="1" w:firstRow="1" w:lastColumn="0" w:lastRow="0" w:noHBand="0" w:noVBand="1" w:val="04A0"/>
      </w:tblPr>
      <w:tblGrid>
        <w:gridCol w:w="2450"/>
        <w:gridCol w:w="1700"/>
        <w:gridCol w:w="1700"/>
        <w:gridCol w:w="1600"/>
      </w:tblGrid>
      <w:tr>
        <w:trPr>
          <w:cantSplit/>
          <w:tblHeader w:val="true"/>
        </w:trPr>
        <w:tc>
          <w:tcPr>
            <w:tcW w:type="dxa" w:w="245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Item</w:t>
            </w:r>
          </w:p>
        </w:tc>
        <w:tc>
          <w:tcPr>
            <w:tcW w:type="dxa" w:w="17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Present access</w:t>
            </w:r>
          </w:p>
        </w:tc>
        <w:tc>
          <w:tcPr>
            <w:tcW w:type="dxa" w:w="17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Closure boundary</w:t>
            </w:r>
          </w:p>
        </w:tc>
        <w:tc>
          <w:tcPr>
            <w:tcW w:type="dxa" w:w="16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Status</w:t>
            </w:r>
          </w:p>
        </w:tc>
      </w:tr>
      <w:tr>
        <w:trPr>
          <w:cantSplit/>
        </w:trPr>
        <w:tc>
          <w:tcPr>
            <w:tcW w:type="dxa" w:w="2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Domain age used in count (a_J)</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13,800,000,000</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27,600,000,000</w:t>
            </w:r>
          </w:p>
        </w:tc>
        <w:tc>
          <w:tcPr>
            <w:tcW w:type="dxa" w:w="16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declared</w:t>
            </w:r>
          </w:p>
        </w:tc>
      </w:tr>
      <w:tr>
        <w:trPr>
          <w:cantSplit/>
        </w:trPr>
        <w:tc>
          <w:tcPr>
            <w:tcW w:type="dxa" w:w="2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Reference age (a_J)</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4,568,000,000</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4,568,000,000</w:t>
            </w:r>
          </w:p>
        </w:tc>
        <w:tc>
          <w:tcPr>
            <w:tcW w:type="dxa" w:w="16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declared</w:t>
            </w:r>
          </w:p>
        </w:tc>
      </w:tr>
      <w:tr>
        <w:trPr>
          <w:cantSplit/>
        </w:trPr>
        <w:tc>
          <w:tcPr>
            <w:tcW w:type="dxa" w:w="2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Etary count N_A</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9,232,000,000</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23,032,000,000</w:t>
            </w:r>
          </w:p>
        </w:tc>
        <w:tc>
          <w:tcPr>
            <w:tcW w:type="dxa" w:w="16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exact integer</w:t>
            </w:r>
          </w:p>
        </w:tc>
      </w:tr>
      <w:tr>
        <w:trPr>
          <w:cantSplit/>
        </w:trPr>
        <w:tc>
          <w:tcPr>
            <w:tcW w:type="dxa" w:w="2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Constitutive factor g_D</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sqrt(3)/2</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sqrt(3)/2</w:t>
            </w:r>
          </w:p>
        </w:tc>
        <w:tc>
          <w:tcPr>
            <w:tcW w:type="dxa" w:w="16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frozen</w:t>
            </w:r>
          </w:p>
        </w:tc>
      </w:tr>
      <w:tr>
        <w:trPr>
          <w:cantSplit/>
        </w:trPr>
        <w:tc>
          <w:tcPr>
            <w:tcW w:type="dxa" w:w="2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Nodal coordinate nu</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N_A sqrt(3)/2</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N_A sqrt(3)/2</w:t>
            </w:r>
          </w:p>
        </w:tc>
        <w:tc>
          <w:tcPr>
            <w:tcW w:type="dxa" w:w="16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multiprecision</w:t>
            </w:r>
          </w:p>
        </w:tc>
      </w:tr>
      <w:tr>
        <w:trPr>
          <w:cantSplit/>
        </w:trPr>
        <w:tc>
          <w:tcPr>
            <w:tcW w:type="dxa" w:w="2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Extensional output lambda</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lambda_acc</w:t>
            </w:r>
          </w:p>
        </w:tc>
        <w:tc>
          <w:tcPr>
            <w:tcW w:type="dxa" w:w="17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lambda_boundary</w:t>
            </w:r>
          </w:p>
        </w:tc>
        <w:tc>
          <w:tcPr>
            <w:tcW w:type="dxa" w:w="16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multiprecision</w:t>
            </w:r>
          </w:p>
        </w:tc>
      </w:tr>
    </w:tbl>
    <w:p>
      <w:pPr>
        <w:pStyle w:val="BodyText"/>
      </w:pPr>
      <w:r>
        <w:t xml:space="preserve">The positive value of</w:t>
      </w:r>
      <w:r>
        <w:t xml:space="preserve"> </w:t>
      </w:r>
      <m:oMath>
        <m:sSub>
          <m:e>
            <m:r>
              <m:t>λ</m:t>
            </m:r>
          </m:e>
          <m:sub>
            <m:r>
              <m:rPr>
                <m:sty m:val="p"/>
              </m:rPr>
              <m:t>∂</m:t>
            </m:r>
          </m:sub>
        </m:sSub>
      </m:oMath>
      <w:r>
        <w:t xml:space="preserve"> </w:t>
      </w:r>
      <w:r>
        <w:t xml:space="preserve">establishes a limited formal result: within this construction, etary closure does not collapse the situated extensional coordinate to zero. This statement concerns the internal operator. It is not a general claim about every cyclic, terminal, or boundary model in cosmology.</w:t>
      </w:r>
    </w:p>
    <w:bookmarkEnd w:id="48"/>
    <w:bookmarkEnd w:id="49"/>
    <w:bookmarkStart w:id="53" w:name="coordination-with-the-structural-radius"/>
    <w:p>
      <w:pPr>
        <w:pStyle w:val="Heading1"/>
        <w:keepNext/>
      </w:pPr>
      <w:r>
        <w:t xml:space="preserve">7 Coordination with the structural radius</w:t>
      </w:r>
    </w:p>
    <w:p>
      <w:pPr>
        <w:pStyle w:val="FirstParagraph"/>
      </w:pPr>
      <w:r>
        <w:t xml:space="preserve">A related preprint declares the structural radius from the formal origin as [11]</w:t>
      </w:r>
    </w:p>
    <w:p>
      <w:pPr>
        <w:pStyle w:val="BodyText"/>
      </w:pPr>
      <m:oMathPara>
        <m:oMathParaPr>
          <m:jc m:val="center"/>
        </m:oMathParaPr>
        <m:oMath>
          <m:sSub>
            <m:e>
              <m:r>
                <m:t>R</m:t>
              </m:r>
            </m:e>
            <m:sub>
              <m:r>
                <m:t>U</m:t>
              </m:r>
            </m:sub>
          </m:sSub>
          <m:r>
            <m:rPr>
              <m:sty m:val="p"/>
            </m:rPr>
            <m:t>=</m:t>
          </m:r>
          <m:r>
            <m:t>130</m:t>
          </m:r>
          <m:r>
            <m:t> </m:t>
          </m:r>
          <m:r>
            <m:t>558</m:t>
          </m:r>
          <m:r>
            <m:t> </m:t>
          </m:r>
          <m:r>
            <m:t>080</m:t>
          </m:r>
          <m:r>
            <m:t> </m:t>
          </m:r>
          <m:r>
            <m:t>521</m:t>
          </m:r>
          <m:r>
            <m:t> </m:t>
          </m:r>
          <m:r>
            <m:t>615</m:t>
          </m:r>
          <m:r>
            <m:t> </m:t>
          </m:r>
          <m:r>
            <m:t>040</m:t>
          </m:r>
          <m:r>
            <m:t> </m:t>
          </m:r>
          <m:r>
            <m:t>000</m:t>
          </m:r>
          <m:r>
            <m:t> </m:t>
          </m:r>
          <m:r>
            <m:t>000</m:t>
          </m:r>
          <m:r>
            <m:t> </m:t>
          </m:r>
          <m:r>
            <m:t>000</m:t>
          </m:r>
          <m:r>
            <m:t> </m:t>
          </m:r>
          <m:r>
            <m:rPr>
              <m:sty m:val="p"/>
            </m:rPr>
            <m:t>m</m:t>
          </m:r>
          <m:r>
            <m:rPr>
              <m:sty m:val="p"/>
            </m:rPr>
            <m:t>.</m:t>
          </m:r>
        </m:oMath>
      </m:oMathPara>
    </w:p>
    <w:p>
      <w:pPr>
        <w:pStyle w:val="FirstParagraph"/>
      </w:pPr>
      <w:r>
        <w:t xml:space="preserve">The present article does not reproduce or defend the full derivation of Eq. (60). It uses the value only to state the change-of-origin decomposition established in the later radial framework [9]. The terrestrial-origin boundary coordinate is</w:t>
      </w:r>
    </w:p>
    <w:p>
      <w:pPr>
        <w:pStyle w:val="BodyText"/>
      </w:pPr>
      <m:oMathPara>
        <m:oMathParaPr>
          <m:jc m:val="center"/>
        </m:oMathParaPr>
        <m:oMath>
          <m:sSub>
            <m:e>
              <m:r>
                <m:t>λ</m:t>
              </m:r>
            </m:e>
            <m:sub>
              <m:r>
                <m:rPr>
                  <m:sty m:val="p"/>
                </m:rPr>
                <m:t>∂</m:t>
              </m:r>
            </m:sub>
          </m:sSub>
          <m:r>
            <m:rPr>
              <m:sty m:val="p"/>
            </m:rPr>
            <m:t>=</m:t>
          </m:r>
          <m:r>
            <m:t>643</m:t>
          </m:r>
          <m:r>
            <m:t> </m:t>
          </m:r>
          <m:r>
            <m:t>451</m:t>
          </m:r>
          <m:r>
            <m:t> </m:t>
          </m:r>
          <m:r>
            <m:t>018</m:t>
          </m:r>
          <m:r>
            <m:t> </m:t>
          </m:r>
          <m:r>
            <m:t>330</m:t>
          </m:r>
          <m:r>
            <m:t> </m:t>
          </m:r>
          <m:r>
            <m:t>039</m:t>
          </m:r>
          <m:r>
            <m:t> </m:t>
          </m:r>
          <m:r>
            <m:t>966</m:t>
          </m:r>
          <m:r>
            <m:t> </m:t>
          </m:r>
          <m:r>
            <m:t>078.988121273</m:t>
          </m:r>
          <m:r>
            <m:t> </m:t>
          </m:r>
          <m:r>
            <m:rPr>
              <m:sty m:val="p"/>
            </m:rPr>
            <m:t>m</m:t>
          </m:r>
        </m:oMath>
      </m:oMathPara>
    </w:p>
    <w:p>
      <w:pPr>
        <w:pStyle w:val="FirstParagraph"/>
      </w:pPr>
      <w:r>
        <w:t xml:space="preserve">under the metric reading of the declared UFE calibration. The complementary origin-to-Earth term is</w:t>
      </w:r>
    </w:p>
    <w:p>
      <w:pPr>
        <w:pStyle w:val="BodyText"/>
      </w:pPr>
      <m:oMathPara>
        <m:oMathParaPr>
          <m:jc m:val="center"/>
        </m:oMathParaPr>
        <m:oMath>
          <m:r>
            <m:t>D</m:t>
          </m:r>
          <m:d>
            <m:dPr>
              <m:begChr m:val="("/>
              <m:endChr m:val=")"/>
              <m:sepChr m:val=""/>
              <m:grow/>
            </m:dPr>
            <m:e>
              <m:sSub>
                <m:e>
                  <m:r>
                    <m:t>O</m:t>
                  </m:r>
                </m:e>
                <m:sub>
                  <m:r>
                    <m:t>U</m:t>
                  </m:r>
                </m:sub>
              </m:sSub>
              <m:r>
                <m:rPr>
                  <m:sty m:val="p"/>
                </m:rPr>
                <m:t>,</m:t>
              </m:r>
              <m:r>
                <m:t>T</m:t>
              </m:r>
            </m:e>
          </m:d>
          <m:r>
            <m:rPr>
              <m:sty m:val="p"/>
            </m:rPr>
            <m:t>=</m:t>
          </m:r>
          <m:r>
            <m:t>130</m:t>
          </m:r>
          <m:r>
            <m:t> </m:t>
          </m:r>
          <m:r>
            <m:t>557</m:t>
          </m:r>
          <m:r>
            <m:t> </m:t>
          </m:r>
          <m:r>
            <m:t>437</m:t>
          </m:r>
          <m:r>
            <m:t> </m:t>
          </m:r>
          <m:r>
            <m:t>070</m:t>
          </m:r>
          <m:r>
            <m:t> </m:t>
          </m:r>
          <m:r>
            <m:t>596</m:t>
          </m:r>
          <m:r>
            <m:t> </m:t>
          </m:r>
          <m:r>
            <m:t>709</m:t>
          </m:r>
          <m:r>
            <m:t> </m:t>
          </m:r>
          <m:r>
            <m:t>960</m:t>
          </m:r>
          <m:r>
            <m:t> </m:t>
          </m:r>
          <m:r>
            <m:t>033</m:t>
          </m:r>
          <m:r>
            <m:t> </m:t>
          </m:r>
          <m:r>
            <m:t>921.011878727</m:t>
          </m:r>
          <m:r>
            <m:t> </m:t>
          </m:r>
          <m:r>
            <m:rPr>
              <m:sty m:val="p"/>
            </m:rPr>
            <m:t>m</m:t>
          </m:r>
          <m:r>
            <m:rPr>
              <m:sty m:val="p"/>
            </m:rPr>
            <m:t>.</m:t>
          </m:r>
        </m:oMath>
      </m:oMathPara>
    </w:p>
    <w:p>
      <w:pPr>
        <w:pStyle w:val="FirstParagraph"/>
      </w:pPr>
      <w:r>
        <w:t xml:space="preserve">Then</w:t>
      </w:r>
    </w:p>
    <w:p>
      <w:pPr>
        <w:pStyle w:val="BodyText"/>
      </w:pPr>
      <m:oMathPara>
        <m:oMathParaPr>
          <m:jc m:val="center"/>
        </m:oMathParaPr>
        <m:oMath>
          <m:sSub>
            <m:e>
              <m:r>
                <m:t>R</m:t>
              </m:r>
            </m:e>
            <m:sub>
              <m:r>
                <m:t>U</m:t>
              </m:r>
            </m:sub>
          </m:sSub>
          <m:r>
            <m:rPr>
              <m:sty m:val="p"/>
            </m:rPr>
            <m:t>=</m:t>
          </m:r>
          <m:r>
            <m:t>D</m:t>
          </m:r>
          <m:d>
            <m:dPr>
              <m:begChr m:val="("/>
              <m:endChr m:val=")"/>
              <m:sepChr m:val=""/>
              <m:grow/>
            </m:dPr>
            <m:e>
              <m:sSub>
                <m:e>
                  <m:r>
                    <m:t>O</m:t>
                  </m:r>
                </m:e>
                <m:sub>
                  <m:r>
                    <m:t>U</m:t>
                  </m:r>
                </m:sub>
              </m:sSub>
              <m:r>
                <m:rPr>
                  <m:sty m:val="p"/>
                </m:rPr>
                <m:t>,</m:t>
              </m:r>
              <m:r>
                <m:t>T</m:t>
              </m:r>
            </m:e>
          </m:d>
          <m:r>
            <m:rPr>
              <m:sty m:val="p"/>
            </m:rPr>
            <m:t>+</m:t>
          </m:r>
          <m:sSub>
            <m:e>
              <m:r>
                <m:t>λ</m:t>
              </m:r>
            </m:e>
            <m:sub>
              <m:r>
                <m:rPr>
                  <m:sty m:val="p"/>
                </m:rPr>
                <m:t>∂</m:t>
              </m:r>
            </m:sub>
          </m:sSub>
          <m:r>
            <m:rPr>
              <m:sty m:val="p"/>
            </m:rPr>
            <m:t>,</m:t>
          </m:r>
        </m:oMath>
      </m:oMathPara>
    </w:p>
    <w:p>
      <w:pPr>
        <w:pStyle w:val="FirstParagraph"/>
      </w:pPr>
      <w:r>
        <w:t xml:space="preserve">and substitution gives the exact displayed recomposition</w:t>
      </w:r>
    </w:p>
    <w:p>
      <w:pPr>
        <w:pStyle w:val="BodyText"/>
      </w:pPr>
      <m:oMathPara>
        <m:oMathParaPr>
          <m:jc m:val="center"/>
        </m:oMathParaPr>
        <m:oMath>
          <m:m>
            <m:mPr>
              <m:baseJc m:val="center"/>
              <m:plcHide m:val="on"/>
              <m:mcs>
                <m:mc>
                  <m:mcPr>
                    <m:mcJc m:val="right"/>
                    <m:count m:val="1"/>
                  </m:mcPr>
                </m:mc>
                <m:mc>
                  <m:mcPr>
                    <m:mcJc m:val="left"/>
                    <m:count m:val="1"/>
                  </m:mcPr>
                </m:mc>
              </m:mcs>
            </m:mPr>
            <m:mr>
              <m:e/>
              <m:e>
                <m:r>
                  <m:t>130</m:t>
                </m:r>
                <m:r>
                  <m:t> </m:t>
                </m:r>
                <m:r>
                  <m:t>557</m:t>
                </m:r>
                <m:r>
                  <m:t> </m:t>
                </m:r>
                <m:r>
                  <m:t>437</m:t>
                </m:r>
                <m:r>
                  <m:t> </m:t>
                </m:r>
                <m:r>
                  <m:t>070</m:t>
                </m:r>
                <m:r>
                  <m:t> </m:t>
                </m:r>
                <m:r>
                  <m:t>596</m:t>
                </m:r>
                <m:r>
                  <m:t> </m:t>
                </m:r>
                <m:r>
                  <m:t>709</m:t>
                </m:r>
                <m:r>
                  <m:t> </m:t>
                </m:r>
                <m:r>
                  <m:t>960</m:t>
                </m:r>
                <m:r>
                  <m:t> </m:t>
                </m:r>
                <m:r>
                  <m:t>033</m:t>
                </m:r>
                <m:r>
                  <m:t> </m:t>
                </m:r>
                <m:r>
                  <m:t>921.011878727</m:t>
                </m:r>
              </m:e>
            </m:mr>
            <m:mr>
              <m:e/>
              <m:e>
                <m:r>
                  <m:t> </m:t>
                </m:r>
                <m:r>
                  <m:rPr>
                    <m:sty m:val="p"/>
                  </m:rPr>
                  <m:t>+</m:t>
                </m:r>
                <m:r>
                  <m:t>643</m:t>
                </m:r>
                <m:r>
                  <m:t> </m:t>
                </m:r>
                <m:r>
                  <m:t>451</m:t>
                </m:r>
                <m:r>
                  <m:t> </m:t>
                </m:r>
                <m:r>
                  <m:t>018</m:t>
                </m:r>
                <m:r>
                  <m:t> </m:t>
                </m:r>
                <m:r>
                  <m:t>330</m:t>
                </m:r>
                <m:r>
                  <m:t> </m:t>
                </m:r>
                <m:r>
                  <m:t>039</m:t>
                </m:r>
                <m:r>
                  <m:t> </m:t>
                </m:r>
                <m:r>
                  <m:t>966</m:t>
                </m:r>
                <m:r>
                  <m:t> </m:t>
                </m:r>
                <m:r>
                  <m:t>078.988121273</m:t>
                </m:r>
              </m:e>
            </m:mr>
            <m:mr>
              <m:e/>
              <m:e>
                <m:r>
                  <m:rPr>
                    <m:sty m:val="p"/>
                  </m:rPr>
                  <m:t>=</m:t>
                </m:r>
                <m:r>
                  <m:t>130</m:t>
                </m:r>
                <m:r>
                  <m:t> </m:t>
                </m:r>
                <m:r>
                  <m:t>558</m:t>
                </m:r>
                <m:r>
                  <m:t> </m:t>
                </m:r>
                <m:r>
                  <m:t>080</m:t>
                </m:r>
                <m:r>
                  <m:t> </m:t>
                </m:r>
                <m:r>
                  <m:t>521</m:t>
                </m:r>
                <m:r>
                  <m:t> </m:t>
                </m:r>
                <m:r>
                  <m:t>615</m:t>
                </m:r>
                <m:r>
                  <m:t> </m:t>
                </m:r>
                <m:r>
                  <m:t>040</m:t>
                </m:r>
                <m:r>
                  <m:t> </m:t>
                </m:r>
                <m:r>
                  <m:t>000</m:t>
                </m:r>
                <m:r>
                  <m:t> </m:t>
                </m:r>
                <m:r>
                  <m:t>000</m:t>
                </m:r>
                <m:r>
                  <m:t> </m:t>
                </m:r>
                <m:r>
                  <m:t>000</m:t>
                </m:r>
                <m:r>
                  <m:rPr>
                    <m:sty m:val="p"/>
                  </m:rPr>
                  <m:t>.</m:t>
                </m:r>
              </m:e>
            </m:mr>
          </m:m>
        </m:oMath>
      </m:oMathPara>
    </w:p>
    <w:p>
      <w:pPr>
        <w:pStyle w:val="FirstParagraph"/>
      </w:pPr>
      <w:r>
        <w:t xml:space="preserve">The residual of Eq. (64), at the displayed decimal resolution, is zero.</w:t>
      </w:r>
    </w:p>
    <w:p>
      <w:pPr>
        <w:pStyle w:val="BodyText"/>
      </w:pPr>
      <w:r>
        <w:t xml:space="preserve">This is a decomposition and recomposition under a change of origin. It is not an independent second derivation or external validation of</w:t>
      </w:r>
      <w:r>
        <w:t xml:space="preserve"> </w:t>
      </w:r>
      <m:oMath>
        <m:sSub>
          <m:e>
            <m:r>
              <m:t>R</m:t>
            </m:r>
          </m:e>
          <m:sub>
            <m:r>
              <m:t>U</m:t>
            </m:r>
          </m:sub>
        </m:sSub>
      </m:oMath>
      <w:r>
        <w:t xml:space="preserve">, because the complementary term in Eq. (62) is obtained relative to the previously declared total. The scientific value of the relation is narrower: the DOAN-Ω16 boundary coordinate is geometrically coordinated with the declared radial framework without identifying the terrestrial origin with</w:t>
      </w:r>
      <w:r>
        <w:t xml:space="preserve"> </w:t>
      </w:r>
      <m:oMath>
        <m:sSub>
          <m:e>
            <m:r>
              <m:t>O</m:t>
            </m:r>
          </m:e>
          <m:sub>
            <m:r>
              <m:t>U</m:t>
            </m:r>
          </m:sub>
        </m:sSub>
      </m:oMath>
      <w:r>
        <w:t xml:space="preserve">.</w:t>
      </w:r>
    </w:p>
    <w:p>
      <w:pPr>
        <w:pStyle w:val="CaptionedFigure"/>
      </w:pPr>
      <w:r>
        <w:drawing>
          <wp:inline>
            <wp:extent cx="5177790" cy="1616832"/>
            <wp:effectExtent b="0" l="0" r="0" t="0"/>
            <wp:docPr descr="Change-of-origin decomposition. The DOAN-Ω16 output is the Earth-to-boundary arm; the structural radius is referred to the formal origin." title="" id="51" name="Picture"/>
            <a:graphic>
              <a:graphicData uri="http://schemas.openxmlformats.org/drawingml/2006/picture">
                <pic:pic>
                  <pic:nvPicPr>
                    <pic:cNvPr descr="figures/figure4_origin.png" id="52" name="Picture"/>
                    <pic:cNvPicPr>
                      <a:picLocks noChangeArrowheads="1" noChangeAspect="1"/>
                    </pic:cNvPicPr>
                  </pic:nvPicPr>
                  <pic:blipFill>
                    <a:blip r:embed="rId50"/>
                    <a:stretch>
                      <a:fillRect/>
                    </a:stretch>
                  </pic:blipFill>
                  <pic:spPr bwMode="auto">
                    <a:xfrm>
                      <a:off x="0" y="0"/>
                      <a:ext cx="5177790" cy="1616832"/>
                    </a:xfrm>
                    <a:prstGeom prst="rect">
                      <a:avLst/>
                    </a:prstGeom>
                    <a:noFill/>
                    <a:ln w="9525">
                      <a:noFill/>
                      <a:headEnd/>
                      <a:tailEnd/>
                    </a:ln>
                  </pic:spPr>
                </pic:pic>
              </a:graphicData>
            </a:graphic>
          </wp:inline>
        </w:drawing>
      </w:r>
    </w:p>
    <w:p>
      <w:pPr>
        <w:pStyle w:val="ImageCaption"/>
      </w:pPr>
      <w:r>
        <w:t xml:space="preserve">Change-of-origin decomposition. The DOAN-Ω16 output is the Earth-to-boundary arm; the structural radius is referred to the formal origin.</w:t>
      </w:r>
    </w:p>
    <w:bookmarkEnd w:id="53"/>
    <w:bookmarkStart w:id="58" w:name="X131db1bf358ce904ab7533748c883bbb1360be0"/>
    <w:p>
      <w:pPr>
        <w:pStyle w:val="Heading1"/>
        <w:keepNext/>
      </w:pPr>
      <w:r>
        <w:t xml:space="preserve">8 Exactness, multiprecision, and residual policy</w:t>
      </w:r>
    </w:p>
    <w:bookmarkStart w:id="54" w:name="exact-identities"/>
    <w:p>
      <w:pPr>
        <w:pStyle w:val="Heading2"/>
        <w:keepNext/>
      </w:pPr>
      <w:r>
        <w:t xml:space="preserve">8.1 Exact identities</w:t>
      </w:r>
    </w:p>
    <w:p>
      <w:pPr>
        <w:pStyle w:val="FirstParagraph"/>
      </w:pPr>
      <w:r>
        <w:t xml:space="preserve">The following are exact after the declared inputs are fixed:</w:t>
      </w:r>
    </w:p>
    <w:p>
      <w:pPr>
        <w:pStyle w:val="BodyText"/>
      </w:pPr>
      <m:oMathPara>
        <m:oMathParaPr>
          <m:jc m:val="center"/>
        </m:oMathParaPr>
        <m:oMath>
          <m:sSub>
            <m:e>
              <m:r>
                <m:t>χ</m:t>
              </m:r>
            </m:e>
            <m:sub>
              <m:sSub>
                <m:e>
                  <m:r>
                    <m:t>Ω</m:t>
                  </m:r>
                </m:e>
                <m:sub>
                  <m:r>
                    <m:rPr>
                      <m:sty m:val="p"/>
                    </m:rPr>
                    <m:t>o</m:t>
                  </m:r>
                  <m:r>
                    <m:rPr>
                      <m:sty m:val="p"/>
                    </m:rPr>
                    <m:t>b</m:t>
                  </m:r>
                  <m:r>
                    <m:rPr>
                      <m:sty m:val="p"/>
                    </m:rPr>
                    <m:t>s</m:t>
                  </m:r>
                </m:sub>
              </m:sSub>
            </m:sub>
          </m:sSub>
          <m:r>
            <m:rPr>
              <m:sty m:val="p"/>
            </m:rPr>
            <m:t>=</m:t>
          </m:r>
          <m:f>
            <m:fPr>
              <m:type m:val="bar"/>
            </m:fPr>
            <m:num>
              <m:r>
                <m:t>1</m:t>
              </m:r>
            </m:num>
            <m:den>
              <m:r>
                <m:t>2</m:t>
              </m:r>
            </m:den>
          </m:f>
          <m:r>
            <m:rPr>
              <m:sty m:val="p"/>
            </m:rPr>
            <m:t>,</m:t>
          </m:r>
          <m:r>
            <m:t>  </m:t>
          </m:r>
          <m:sSub>
            <m:e>
              <m:r>
                <m:t>g</m:t>
              </m:r>
            </m:e>
            <m:sub>
              <m:sSub>
                <m:e>
                  <m:r>
                    <m:t>Ω</m:t>
                  </m:r>
                </m:e>
                <m:sub>
                  <m:r>
                    <m:rPr>
                      <m:sty m:val="p"/>
                    </m:rPr>
                    <m:t>o</m:t>
                  </m:r>
                  <m:r>
                    <m:rPr>
                      <m:sty m:val="p"/>
                    </m:rPr>
                    <m:t>b</m:t>
                  </m:r>
                  <m:r>
                    <m:rPr>
                      <m:sty m:val="p"/>
                    </m:rPr>
                    <m:t>s</m:t>
                  </m:r>
                </m:sub>
              </m:sSub>
            </m:sub>
          </m:sSub>
          <m:r>
            <m:rPr>
              <m:sty m:val="p"/>
            </m:rPr>
            <m:t>=</m:t>
          </m:r>
          <m:f>
            <m:fPr>
              <m:type m:val="bar"/>
            </m:fPr>
            <m:num>
              <m:rad>
                <m:radPr>
                  <m:degHide m:val="on"/>
                </m:radPr>
                <m:deg/>
                <m:e>
                  <m:r>
                    <m:t>3</m:t>
                  </m:r>
                </m:e>
              </m:rad>
            </m:num>
            <m:den>
              <m:r>
                <m:t>2</m:t>
              </m:r>
            </m:den>
          </m:f>
          <m:r>
            <m:rPr>
              <m:sty m:val="p"/>
            </m:rPr>
            <m:t>,</m:t>
          </m:r>
          <m:r>
            <m:t>  </m:t>
          </m:r>
          <m:f>
            <m:fPr>
              <m:type m:val="bar"/>
            </m:fPr>
            <m:num>
              <m:sSub>
                <m:e>
                  <m:r>
                    <m:t>λ</m:t>
                  </m:r>
                </m:e>
                <m:sub>
                  <m:r>
                    <m:rPr>
                      <m:sty m:val="p"/>
                    </m:rPr>
                    <m:t>∂</m:t>
                  </m:r>
                </m:sub>
              </m:sSub>
            </m:num>
            <m:den>
              <m:sSub>
                <m:e>
                  <m:r>
                    <m:t>λ</m:t>
                  </m:r>
                </m:e>
                <m:sub>
                  <m:r>
                    <m:rPr>
                      <m:sty m:val="p"/>
                    </m:rPr>
                    <m:t>a</m:t>
                  </m:r>
                  <m:r>
                    <m:rPr>
                      <m:sty m:val="p"/>
                    </m:rPr>
                    <m:t>c</m:t>
                  </m:r>
                  <m:r>
                    <m:rPr>
                      <m:sty m:val="p"/>
                    </m:rPr>
                    <m:t>c</m:t>
                  </m:r>
                </m:sub>
              </m:sSub>
            </m:den>
          </m:f>
          <m:r>
            <m:rPr>
              <m:sty m:val="p"/>
            </m:rPr>
            <m:t>=</m:t>
          </m:r>
          <m:f>
            <m:fPr>
              <m:type m:val="bar"/>
            </m:fPr>
            <m:num>
              <m:r>
                <m:t>2879</m:t>
              </m:r>
            </m:num>
            <m:den>
              <m:r>
                <m:t>1154</m:t>
              </m:r>
            </m:den>
          </m:f>
          <m:r>
            <m:rPr>
              <m:sty m:val="p"/>
            </m:rPr>
            <m:t>.</m:t>
          </m:r>
        </m:oMath>
      </m:oMathPara>
    </w:p>
    <w:p>
      <w:pPr>
        <w:pStyle w:val="FirstParagraph"/>
      </w:pPr>
      <w:r>
        <w:t xml:space="preserve">The etary counts are exact integers. Equation (64) is an exact decimal recomposition at the stated displayed resolution.</w:t>
      </w:r>
    </w:p>
    <w:bookmarkEnd w:id="54"/>
    <w:bookmarkStart w:id="55" w:name="multiprecision-quantities"/>
    <w:p>
      <w:pPr>
        <w:pStyle w:val="Heading2"/>
        <w:keepNext/>
      </w:pPr>
      <w:r>
        <w:t xml:space="preserve">8.2 Multiprecision quantities</w:t>
      </w:r>
    </w:p>
    <w:p>
      <w:pPr>
        <w:pStyle w:val="FirstParagraph"/>
      </w:pPr>
      <w:r>
        <w:t xml:space="preserve">The elliptic integral,</w:t>
      </w:r>
      <w:r>
        <w:t xml:space="preserve"> </w:t>
      </w:r>
      <m:oMath>
        <m:sSub>
          <m:e>
            <m:r>
              <m:t>κ</m:t>
            </m:r>
          </m:e>
          <m:sub>
            <m:r>
              <m:t>P</m:t>
            </m:r>
          </m:sub>
        </m:sSub>
      </m:oMath>
      <w:r>
        <w:t xml:space="preserve">,</w:t>
      </w:r>
      <w:r>
        <w:t xml:space="preserve"> </w:t>
      </w:r>
      <m:oMath>
        <m:sSub>
          <m:e>
            <m:r>
              <m:t>κ</m:t>
            </m:r>
          </m:e>
          <m:sub>
            <m:r>
              <m:t>R</m:t>
            </m:r>
          </m:sub>
        </m:sSub>
      </m:oMath>
      <w:r>
        <w:t xml:space="preserve">,</w:t>
      </w:r>
      <w:r>
        <w:t xml:space="preserve"> </w:t>
      </w:r>
      <m:oMath>
        <m:sSub>
          <m:e>
            <m:r>
              <m:t>κ</m:t>
            </m:r>
          </m:e>
          <m:sub>
            <m:r>
              <m:t>Ω</m:t>
            </m:r>
          </m:sub>
        </m:sSub>
      </m:oMath>
      <w:r>
        <w:t xml:space="preserve">,</w:t>
      </w:r>
      <w:r>
        <w:t xml:space="preserve"> </w:t>
      </w:r>
      <m:oMath>
        <m:sSub>
          <m:e>
            <m:r>
              <m:t>σ</m:t>
            </m:r>
          </m:e>
          <m:sub>
            <m:r>
              <m:t>Ω</m:t>
            </m:r>
            <m:r>
              <m:t>16</m:t>
            </m:r>
          </m:sub>
        </m:sSub>
      </m:oMath>
      <w:r>
        <w:t xml:space="preserve">,</w:t>
      </w:r>
      <w:r>
        <w:t xml:space="preserve"> </w:t>
      </w:r>
      <m:oMath>
        <m:sSub>
          <m:e>
            <m:r>
              <m:t>λ</m:t>
            </m:r>
          </m:e>
          <m:sub>
            <m:r>
              <m:rPr>
                <m:sty m:val="p"/>
              </m:rPr>
              <m:t>a</m:t>
            </m:r>
            <m:r>
              <m:rPr>
                <m:sty m:val="p"/>
              </m:rPr>
              <m:t>c</m:t>
            </m:r>
            <m:r>
              <m:rPr>
                <m:sty m:val="p"/>
              </m:rPr>
              <m:t>c</m:t>
            </m:r>
          </m:sub>
        </m:sSub>
      </m:oMath>
      <w:r>
        <w:t xml:space="preserve">, and</w:t>
      </w:r>
      <w:r>
        <w:t xml:space="preserve"> </w:t>
      </w:r>
      <m:oMath>
        <m:sSub>
          <m:e>
            <m:r>
              <m:t>λ</m:t>
            </m:r>
          </m:e>
          <m:sub>
            <m:r>
              <m:rPr>
                <m:sty m:val="p"/>
              </m:rPr>
              <m:t>∂</m:t>
            </m:r>
          </m:sub>
        </m:sSub>
      </m:oMath>
      <w:r>
        <w:t xml:space="preserve"> </w:t>
      </w:r>
      <w:r>
        <w:t xml:space="preserve">are multiprecision numerical quantities. They must not be described as physically exact to all displayed or computable decimal places.</w:t>
      </w:r>
    </w:p>
    <w:bookmarkEnd w:id="55"/>
    <w:bookmarkStart w:id="56" w:name="historical-and-full-precision-branches"/>
    <w:p>
      <w:pPr>
        <w:pStyle w:val="Heading2"/>
        <w:keepNext/>
      </w:pPr>
      <w:r>
        <w:t xml:space="preserve">8.3 Historical and full-precision branches</w:t>
      </w:r>
    </w:p>
    <w:p>
      <w:pPr>
        <w:pStyle w:val="FirstParagraph"/>
      </w:pPr>
      <w:r>
        <w:t xml:space="preserve">The historical branch uses the frozen values in Eqs. (38) and (48). A full-precision branch begins from Eq. (37) and gives</w:t>
      </w:r>
    </w:p>
    <w:p>
      <w:pPr>
        <w:pStyle w:val="BodyText"/>
      </w:pPr>
      <m:oMathPara>
        <m:oMathParaPr>
          <m:jc m:val="center"/>
        </m:oMathParaPr>
        <m:oMath>
          <m:sSubSup>
            <m:e>
              <m:r>
                <m:t>σ</m:t>
              </m:r>
            </m:e>
            <m:sub>
              <m:r>
                <m:t>Ω</m:t>
              </m:r>
              <m:r>
                <m:t>16</m:t>
              </m:r>
            </m:sub>
            <m:sup>
              <m:d>
                <m:dPr>
                  <m:begChr m:val="("/>
                  <m:endChr m:val=")"/>
                  <m:sepChr m:val=""/>
                  <m:grow/>
                </m:dPr>
                <m:e>
                  <m:r>
                    <m:rPr>
                      <m:sty m:val="p"/>
                    </m:rPr>
                    <m:t>∞</m:t>
                  </m:r>
                </m:e>
              </m:d>
            </m:sup>
          </m:sSubSup>
          <m:r>
            <m:rPr>
              <m:sty m:val="p"/>
            </m:rPr>
            <m:t>=</m:t>
          </m:r>
          <m:r>
            <m:t>32</m:t>
          </m:r>
          <m:r>
            <m:t> </m:t>
          </m:r>
          <m:r>
            <m:t>259</m:t>
          </m:r>
          <m:r>
            <m:t> </m:t>
          </m:r>
          <m:r>
            <m:t>171</m:t>
          </m:r>
          <m:r>
            <m:t> </m:t>
          </m:r>
          <m:r>
            <m:t>469.5369395787592386711467601283420767</m:t>
          </m:r>
          <m:r>
            <m:rPr>
              <m:sty m:val="p"/>
            </m:rPr>
            <m:t>…</m:t>
          </m:r>
          <m:r>
            <m:t> </m:t>
          </m:r>
          <m:r>
            <m:rPr>
              <m:sty m:val="p"/>
            </m:rPr>
            <m:t>U</m:t>
          </m:r>
          <m:r>
            <m:rPr>
              <m:sty m:val="p"/>
            </m:rPr>
            <m:t>F</m:t>
          </m:r>
          <m:r>
            <m:rPr>
              <m:sty m:val="p"/>
            </m:rPr>
            <m:t>E</m:t>
          </m:r>
          <m:r>
            <m:rPr>
              <m:sty m:val="p"/>
            </m:rPr>
            <m:t>.</m:t>
          </m:r>
        </m:oMath>
      </m:oMathPara>
    </w:p>
    <w:p>
      <w:pPr>
        <w:pStyle w:val="FirstParagraph"/>
      </w:pPr>
      <w:r>
        <w:t xml:space="preserve">The difference from the historical scale is approximately</w:t>
      </w:r>
    </w:p>
    <w:p>
      <w:pPr>
        <w:pStyle w:val="BodyText"/>
      </w:pPr>
      <m:oMathPara>
        <m:oMathParaPr>
          <m:jc m:val="center"/>
        </m:oMathParaPr>
        <m:oMath>
          <m:r>
            <m:t>Δ</m:t>
          </m:r>
          <m:r>
            <m:t>σ</m:t>
          </m:r>
          <m:r>
            <m:rPr>
              <m:sty m:val="p"/>
            </m:rPr>
            <m:t>≈</m:t>
          </m:r>
          <m:r>
            <m:t>2.4529993794858562</m:t>
          </m:r>
          <m:r>
            <m:rPr>
              <m:sty m:val="p"/>
            </m:rPr>
            <m:t>×</m:t>
          </m:r>
          <m:sSup>
            <m:e>
              <m:r>
                <m:t>10</m:t>
              </m:r>
            </m:e>
            <m:sup>
              <m:r>
                <m:rPr>
                  <m:sty m:val="p"/>
                </m:rPr>
                <m:t>−</m:t>
              </m:r>
              <m:r>
                <m:t>8</m:t>
              </m:r>
            </m:sup>
          </m:sSup>
          <m:r>
            <m:t> </m:t>
          </m:r>
          <m:r>
            <m:rPr>
              <m:sty m:val="p"/>
            </m:rPr>
            <m:t>U</m:t>
          </m:r>
          <m:r>
            <m:rPr>
              <m:sty m:val="p"/>
            </m:rPr>
            <m:t>F</m:t>
          </m:r>
          <m:r>
            <m:rPr>
              <m:sty m:val="p"/>
            </m:rPr>
            <m:t>E</m:t>
          </m:r>
          <m:r>
            <m:rPr>
              <m:sty m:val="p"/>
            </m:rPr>
            <m:t>.</m:t>
          </m:r>
        </m:oMath>
      </m:oMathPara>
    </w:p>
    <w:p>
      <w:pPr>
        <w:pStyle w:val="FirstParagraph"/>
      </w:pPr>
      <w:r>
        <w:t xml:space="preserve">Propagated to the access and boundary outputs, the absolute differences are approximately</w:t>
      </w:r>
    </w:p>
    <w:p>
      <w:pPr>
        <w:pStyle w:val="BodyText"/>
      </w:pPr>
      <m:oMathPara>
        <m:oMathParaPr>
          <m:jc m:val="center"/>
        </m:oMathParaPr>
        <m:oMath>
          <m:r>
            <m:t>Δ</m:t>
          </m:r>
          <m:sSub>
            <m:e>
              <m:r>
                <m:t>λ</m:t>
              </m:r>
            </m:e>
            <m:sub>
              <m:r>
                <m:rPr>
                  <m:sty m:val="p"/>
                </m:rPr>
                <m:t>a</m:t>
              </m:r>
              <m:r>
                <m:rPr>
                  <m:sty m:val="p"/>
                </m:rPr>
                <m:t>c</m:t>
              </m:r>
              <m:r>
                <m:rPr>
                  <m:sty m:val="p"/>
                </m:rPr>
                <m:t>c</m:t>
              </m:r>
            </m:sub>
          </m:sSub>
          <m:r>
            <m:rPr>
              <m:sty m:val="p"/>
            </m:rPr>
            <m:t>≈</m:t>
          </m:r>
          <m:r>
            <m:t>196.1208947143966</m:t>
          </m:r>
          <m:r>
            <m:t> </m:t>
          </m:r>
          <m:r>
            <m:rPr>
              <m:sty m:val="p"/>
            </m:rPr>
            <m:t>U</m:t>
          </m:r>
          <m:r>
            <m:rPr>
              <m:sty m:val="p"/>
            </m:rPr>
            <m:t>F</m:t>
          </m:r>
          <m:r>
            <m:rPr>
              <m:sty m:val="p"/>
            </m:rPr>
            <m:t>E</m:t>
          </m:r>
          <m:r>
            <m:rPr>
              <m:sty m:val="p"/>
            </m:rPr>
            <m:t>,</m:t>
          </m:r>
        </m:oMath>
      </m:oMathPara>
    </w:p>
    <w:p>
      <w:pPr>
        <w:pStyle w:val="FirstParagraph"/>
      </w:pPr>
      <m:oMathPara>
        <m:oMathParaPr>
          <m:jc m:val="center"/>
        </m:oMathParaPr>
        <m:oMath>
          <m:r>
            <m:t>Δ</m:t>
          </m:r>
          <m:sSub>
            <m:e>
              <m:r>
                <m:t>λ</m:t>
              </m:r>
            </m:e>
            <m:sub>
              <m:r>
                <m:rPr>
                  <m:sty m:val="p"/>
                </m:rPr>
                <m:t>∂</m:t>
              </m:r>
            </m:sub>
          </m:sSub>
          <m:r>
            <m:rPr>
              <m:sty m:val="p"/>
            </m:rPr>
            <m:t>≈</m:t>
          </m:r>
          <m:r>
            <m:t>489.2825440925024</m:t>
          </m:r>
          <m:r>
            <m:t> </m:t>
          </m:r>
          <m:r>
            <m:rPr>
              <m:sty m:val="p"/>
            </m:rPr>
            <m:t>U</m:t>
          </m:r>
          <m:r>
            <m:rPr>
              <m:sty m:val="p"/>
            </m:rPr>
            <m:t>F</m:t>
          </m:r>
          <m:r>
            <m:rPr>
              <m:sty m:val="p"/>
            </m:rPr>
            <m:t>E</m:t>
          </m:r>
          <m:r>
            <m:rPr>
              <m:sty m:val="p"/>
            </m:rPr>
            <m:t>,</m:t>
          </m:r>
        </m:oMath>
      </m:oMathPara>
    </w:p>
    <w:p>
      <w:pPr>
        <w:pStyle w:val="FirstParagraph"/>
      </w:pPr>
      <w:r>
        <w:t xml:space="preserve">with a relative scale of order</w:t>
      </w:r>
      <w:r>
        <w:t xml:space="preserve"> </w:t>
      </w:r>
      <m:oMath>
        <m:r>
          <m:t>7.6</m:t>
        </m:r>
        <m:r>
          <m:rPr>
            <m:sty m:val="p"/>
          </m:rPr>
          <m:t>×</m:t>
        </m:r>
        <m:sSup>
          <m:e>
            <m:r>
              <m:t>10</m:t>
            </m:r>
          </m:e>
          <m:sup>
            <m:r>
              <m:rPr>
                <m:sty m:val="p"/>
              </m:rPr>
              <m:t>−</m:t>
            </m:r>
            <m:r>
              <m:t>19</m:t>
            </m:r>
          </m:sup>
        </m:sSup>
      </m:oMath>
      <w:r>
        <w:t xml:space="preserve">. The differences are negligible relative to the global magnitude but decisive for the epistemic status of long decimal expansions. The historical branch is retained because it reproduces the disclosed construction; the full branch records the consequence of recomputing the elliptic mean without the historical freeze.</w:t>
      </w:r>
    </w:p>
    <w:bookmarkEnd w:id="56"/>
    <w:bookmarkStart w:id="57" w:name="residual-classes"/>
    <w:p>
      <w:pPr>
        <w:pStyle w:val="Heading2"/>
        <w:keepNext/>
      </w:pPr>
      <w:r>
        <w:t xml:space="preserve">8.4 Residual classes</w:t>
      </w:r>
    </w:p>
    <w:p>
      <w:pPr>
        <w:pStyle w:val="Caption"/>
        <w:keepNext/>
        <w:spacing w:before="120" w:after="60"/>
        <w:jc w:val="center"/>
      </w:pPr>
      <w:r>
        <w:rPr>
          <w:rFonts w:ascii="Times New Roman" w:hAnsi="Times New Roman"/>
          <w:b w:val="0"/>
          <w:bCs/>
          <w:i/>
          <w:sz w:val="18"/>
        </w:rPr>
        <w:t xml:space="preserve">Table 3. Residual and precision classes.</w:t>
      </w:r>
    </w:p>
    <w:tbl>
      <w:tblPr>
        <w:tblStyle w:val="TableGrid"/>
        <w:tblW w:type="dxa" w:w="7700"/>
        <w:jc w:val="center"/>
        <w:tblLayout w:type="fixed"/>
        <w:tblLook w:firstColumn="1" w:firstRow="1" w:lastColumn="0" w:lastRow="0" w:noHBand="0" w:noVBand="1" w:val="04A0"/>
      </w:tblPr>
      <w:tblGrid>
        <w:gridCol w:w="1800"/>
        <w:gridCol w:w="3000"/>
        <w:gridCol w:w="2900"/>
      </w:tblGrid>
      <w:tr>
        <w:trPr>
          <w:cantSplit/>
          <w:tblHeader w:val="true"/>
        </w:trPr>
        <w:tc>
          <w:tcPr>
            <w:tcW w:type="dxa" w:w="18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Residual class</w:t>
            </w:r>
          </w:p>
        </w:tc>
        <w:tc>
          <w:tcPr>
            <w:tcW w:type="dxa" w:w="30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Definition</w:t>
            </w:r>
          </w:p>
        </w:tc>
        <w:tc>
          <w:tcPr>
            <w:tcW w:type="dxa" w:w="2900"/>
            <w:tcMar>
              <w:top w:w="55" w:type="dxa"/>
              <w:start w:w="70" w:type="dxa"/>
              <w:bottom w:w="55" w:type="dxa"/>
              <w:end w:w="70" w:type="dxa"/>
            </w:tcMar>
            <w:vAlign w:val="center"/>
          </w:tcPr>
          <w:p>
            <w:pPr>
              <w:spacing w:before="0" w:after="0" w:line="240" w:lineRule="auto"/>
              <w:jc w:val="center"/>
            </w:pPr>
            <w:r/>
            <w:r>
              <w:rPr>
                <w:rFonts w:ascii="Times New Roman" w:hAnsi="Times New Roman"/>
                <w:b/>
                <w:sz w:val="16"/>
              </w:rPr>
              <w:t>Interpretation</w:t>
            </w:r>
          </w:p>
        </w:tc>
      </w:tr>
      <w:tr>
        <w:trPr>
          <w:cantSplit/>
        </w:trPr>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Algebraic</w:t>
            </w:r>
          </w:p>
        </w:tc>
        <w:tc>
          <w:tcPr>
            <w:tcW w:type="dxa" w:w="30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difference between exact symbolic routes</w:t>
            </w:r>
          </w:p>
        </w:tc>
        <w:tc>
          <w:tcPr>
            <w:tcW w:type="dxa" w:w="2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exact zero when the identity holds</w:t>
            </w:r>
          </w:p>
        </w:tc>
      </w:tr>
      <w:tr>
        <w:trPr>
          <w:cantSplit/>
        </w:trPr>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Representation</w:t>
            </w:r>
          </w:p>
        </w:tc>
        <w:tc>
          <w:tcPr>
            <w:tcW w:type="dxa" w:w="30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difference caused by displayed decimal truncation</w:t>
            </w:r>
          </w:p>
        </w:tc>
        <w:tc>
          <w:tcPr>
            <w:tcW w:type="dxa" w:w="2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numerical</w:t>
            </w:r>
          </w:p>
        </w:tc>
      </w:tr>
      <w:tr>
        <w:trPr>
          <w:cantSplit/>
        </w:trPr>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Freezing</w:t>
            </w:r>
          </w:p>
        </w:tc>
        <w:tc>
          <w:tcPr>
            <w:tcW w:type="dxa" w:w="30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full-precision value minus canonical frozen value</w:t>
            </w:r>
          </w:p>
        </w:tc>
        <w:tc>
          <w:tcPr>
            <w:tcW w:type="dxa" w:w="2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numerical and declared</w:t>
            </w:r>
          </w:p>
        </w:tc>
      </w:tr>
      <w:tr>
        <w:trPr>
          <w:cantSplit/>
        </w:trPr>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Recomposition</w:t>
            </w:r>
          </w:p>
        </w:tc>
        <w:tc>
          <w:tcPr>
            <w:tcW w:type="dxa" w:w="30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sum of the declared origin segments minus R_U</w:t>
            </w:r>
          </w:p>
        </w:tc>
        <w:tc>
          <w:tcPr>
            <w:tcW w:type="dxa" w:w="2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zero under the stated decomposition</w:t>
            </w:r>
          </w:p>
        </w:tc>
      </w:tr>
      <w:tr>
        <w:trPr>
          <w:cantSplit/>
        </w:trPr>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External input</w:t>
            </w:r>
          </w:p>
        </w:tc>
        <w:tc>
          <w:tcPr>
            <w:tcW w:type="dxa" w:w="30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tolerance or uncertainty inherited from an external anchor</w:t>
            </w:r>
          </w:p>
        </w:tc>
        <w:tc>
          <w:tcPr>
            <w:tcW w:type="dxa" w:w="2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source-dependent</w:t>
            </w:r>
          </w:p>
        </w:tc>
      </w:tr>
      <w:tr>
        <w:trPr>
          <w:cantSplit/>
        </w:trPr>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Admissibility</w:t>
            </w:r>
          </w:p>
        </w:tc>
        <w:tc>
          <w:tcPr>
            <w:tcW w:type="dxa" w:w="30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failure of domain, definition, or return conditions</w:t>
            </w:r>
          </w:p>
        </w:tc>
        <w:tc>
          <w:tcPr>
            <w:tcW w:type="dxa" w:w="2900"/>
            <w:tcMar>
              <w:top w:w="55" w:type="dxa"/>
              <w:start w:w="70" w:type="dxa"/>
              <w:bottom w:w="55" w:type="dxa"/>
              <w:end w:w="70" w:type="dxa"/>
            </w:tcMar>
            <w:vAlign w:val="center"/>
          </w:tcPr>
          <w:p>
            <w:pPr>
              <w:spacing w:before="0" w:after="0" w:line="240" w:lineRule="auto"/>
              <w:jc w:val="left"/>
            </w:pPr>
            <w:r/>
            <w:r>
              <w:rPr>
                <w:rFonts w:ascii="Times New Roman" w:hAnsi="Times New Roman"/>
                <w:b w:val="0"/>
                <w:sz w:val="16"/>
              </w:rPr>
              <w:t>0, 1, or U</w:t>
            </w:r>
          </w:p>
        </w:tc>
      </w:tr>
    </w:tbl>
    <w:p>
      <w:pPr>
        <w:pStyle w:val="BodyText"/>
      </w:pPr>
      <w:r>
        <w:t xml:space="preserve">The phrase</w:t>
      </w:r>
      <w:r>
        <w:t xml:space="preserve"> </w:t>
      </w:r>
      <w:r>
        <w:rPr>
          <w:i/>
          <w:iCs/>
        </w:rPr>
        <w:t xml:space="preserve">formally exact</w:t>
      </w:r>
      <w:r>
        <w:t xml:space="preserve"> </w:t>
      </w:r>
      <w:r>
        <w:t xml:space="preserve">is therefore always conditional on the stated inputs, definitions, and precision regime. It is not used as a synonym for empirical uncertainty equal to zero.</w:t>
      </w:r>
    </w:p>
    <w:bookmarkEnd w:id="57"/>
    <w:bookmarkEnd w:id="58"/>
    <w:bookmarkStart w:id="63" w:name="conceptual-neighbours-and-prior-art"/>
    <w:p>
      <w:pPr>
        <w:pStyle w:val="Heading1"/>
        <w:keepNext/>
      </w:pPr>
      <w:r>
        <w:t xml:space="preserve">9 Conceptual neighbours and prior art</w:t>
      </w:r>
    </w:p>
    <w:p>
      <w:pPr>
        <w:pStyle w:val="FirstParagraph"/>
      </w:pPr>
      <w:r>
        <w:t xml:space="preserve">The literature search was organised by functional proximity rather than title similarity.</w:t>
      </w:r>
    </w:p>
    <w:bookmarkStart w:id="59" w:name="cosmic-chronometers"/>
    <w:p>
      <w:pPr>
        <w:pStyle w:val="Heading2"/>
        <w:keepNext/>
      </w:pPr>
      <w:r>
        <w:t xml:space="preserve">9.1 Cosmic chronometers</w:t>
      </w:r>
    </w:p>
    <w:p>
      <w:pPr>
        <w:pStyle w:val="FirstParagraph"/>
      </w:pPr>
      <w:r>
        <w:t xml:space="preserve">Jimenez and Loeb proposed relative galaxy ages as a route to</w:t>
      </w:r>
      <w:r>
        <w:t xml:space="preserve"> </w:t>
      </w:r>
      <m:oMath>
        <m:r>
          <m:t>d</m:t>
        </m:r>
        <m:r>
          <m:t>z</m:t>
        </m:r>
        <m:r>
          <m:rPr>
            <m:sty m:val="p"/>
          </m:rPr>
          <m:t>/</m:t>
        </m:r>
        <m:r>
          <m:t>d</m:t>
        </m:r>
        <m:r>
          <m:t>t</m:t>
        </m:r>
      </m:oMath>
      <w:r>
        <w:t xml:space="preserve">, and hence to cosmological parameters [2]. Later cosmic-chronometer implementations estimate</w:t>
      </w:r>
      <w:r>
        <w:t xml:space="preserve"> </w:t>
      </w:r>
      <m:oMath>
        <m:r>
          <m:t>H</m:t>
        </m:r>
        <m:d>
          <m:dPr>
            <m:begChr m:val="("/>
            <m:endChr m:val=")"/>
            <m:sepChr m:val=""/>
            <m:grow/>
          </m:dPr>
          <m:e>
            <m:r>
              <m:t>z</m:t>
            </m:r>
          </m:e>
        </m:d>
      </m:oMath>
      <w:r>
        <w:t xml:space="preserve"> </w:t>
      </w:r>
      <w:r>
        <w:t xml:space="preserve">from the differential spectroscopic evolution of passively evolving galaxies [3]. Their chain is schematically</w:t>
      </w:r>
    </w:p>
    <w:p>
      <w:pPr>
        <w:pStyle w:val="BodyText"/>
      </w:pPr>
      <m:oMathPara>
        <m:oMathParaPr>
          <m:jc m:val="center"/>
        </m:oMathParaPr>
        <m:oMath>
          <m:r>
            <m:t>Δ</m:t>
          </m:r>
          <m:sSub>
            <m:e>
              <m:r>
                <m:t>t</m:t>
              </m:r>
            </m:e>
            <m:sub>
              <m:r>
                <m:rPr>
                  <m:sty m:val="p"/>
                </m:rPr>
                <m:t>g</m:t>
              </m:r>
              <m:r>
                <m:rPr>
                  <m:sty m:val="p"/>
                </m:rPr>
                <m:t>a</m:t>
              </m:r>
              <m:r>
                <m:rPr>
                  <m:sty m:val="p"/>
                </m:rPr>
                <m:t>l</m:t>
              </m:r>
              <m:r>
                <m:rPr>
                  <m:sty m:val="p"/>
                </m:rPr>
                <m:t>a</m:t>
              </m:r>
              <m:r>
                <m:rPr>
                  <m:sty m:val="p"/>
                </m:rPr>
                <m:t>x</m:t>
              </m:r>
              <m:r>
                <m:rPr>
                  <m:sty m:val="p"/>
                </m:rPr>
                <m:t>y</m:t>
              </m:r>
            </m:sub>
          </m:sSub>
          <m:r>
            <m:rPr>
              <m:sty m:val="p"/>
            </m:rPr>
            <m:t>→</m:t>
          </m:r>
          <m:f>
            <m:fPr>
              <m:type m:val="bar"/>
            </m:fPr>
            <m:num>
              <m:r>
                <m:t>d</m:t>
              </m:r>
              <m:r>
                <m:t>z</m:t>
              </m:r>
            </m:num>
            <m:den>
              <m:r>
                <m:t>d</m:t>
              </m:r>
              <m:r>
                <m:t>t</m:t>
              </m:r>
            </m:den>
          </m:f>
          <m:r>
            <m:rPr>
              <m:sty m:val="p"/>
            </m:rPr>
            <m:t>→</m:t>
          </m:r>
          <m:r>
            <m:t>H</m:t>
          </m:r>
          <m:d>
            <m:dPr>
              <m:begChr m:val="("/>
              <m:endChr m:val=")"/>
              <m:sepChr m:val=""/>
              <m:grow/>
            </m:dPr>
            <m:e>
              <m:r>
                <m:t>z</m:t>
              </m:r>
            </m:e>
          </m:d>
          <m:r>
            <m:rPr>
              <m:sty m:val="p"/>
            </m:rPr>
            <m:t>.</m:t>
          </m:r>
        </m:oMath>
      </m:oMathPara>
    </w:p>
    <w:p>
      <w:pPr>
        <w:pStyle w:val="FirstParagraph"/>
      </w:pPr>
      <w:r>
        <w:t xml:space="preserve">DOAN-Ω16 instead uses a declared domain-age difference, a constitutive domain factor, and a calibrated extensional step to return a situated coordinate. It does not estimate</w:t>
      </w:r>
      <w:r>
        <w:t xml:space="preserve"> </w:t>
      </w:r>
      <m:oMath>
        <m:r>
          <m:t>H</m:t>
        </m:r>
        <m:d>
          <m:dPr>
            <m:begChr m:val="("/>
            <m:endChr m:val=")"/>
            <m:sepChr m:val=""/>
            <m:grow/>
          </m:dPr>
          <m:e>
            <m:r>
              <m:t>z</m:t>
            </m:r>
          </m:e>
        </m:d>
      </m:oMath>
      <w:r>
        <w:t xml:space="preserve">.</w:t>
      </w:r>
    </w:p>
    <w:bookmarkEnd w:id="59"/>
    <w:bookmarkStart w:id="60" w:name="chronometric-geodesy"/>
    <w:p>
      <w:pPr>
        <w:pStyle w:val="Heading2"/>
        <w:keepNext/>
      </w:pPr>
      <w:r>
        <w:t xml:space="preserve">9.2 Chronometric geodesy</w:t>
      </w:r>
    </w:p>
    <w:p>
      <w:pPr>
        <w:pStyle w:val="FirstParagraph"/>
      </w:pPr>
      <w:r>
        <w:t xml:space="preserve">Chronometric geodesy converts fractional frequency differences into gravitational-potential or height differences through general relativity and calibrated clocks [6,7]. It is an important conceptual neighbour because it demonstrates that temporal information can support spatial determination when a physical transformation law, reference system, and uncertainty budget are explicit. Its input, law, and output remain different from DOAN-Ω16.</w:t>
      </w:r>
    </w:p>
    <w:bookmarkEnd w:id="60"/>
    <w:bookmarkStart w:id="61" w:name="X7b915f7d4700f577ca5aed06c353c46d51b95f2"/>
    <w:p>
      <w:pPr>
        <w:pStyle w:val="Heading2"/>
        <w:keepNext/>
      </w:pPr>
      <w:r>
        <w:t xml:space="preserve">9.3 Redshift-independent and general distance algorithms</w:t>
      </w:r>
    </w:p>
    <w:p>
      <w:pPr>
        <w:pStyle w:val="FirstParagraph"/>
      </w:pPr>
      <w:r>
        <w:t xml:space="preserve">Barris and Tonry determine supernova luminosity distances without a redshift known in advance by marginalising over</w:t>
      </w:r>
      <w:r>
        <w:t xml:space="preserve"> </w:t>
      </w:r>
      <m:oMath>
        <m:r>
          <m:t>z</m:t>
        </m:r>
      </m:oMath>
      <w:r>
        <w:t xml:space="preserve"> </w:t>
      </w:r>
      <w:r>
        <w:t xml:space="preserve">[4]. The method remains photometric and retains redshift as an inferred variable. Kayser, Helbig, and Schramm derive cosmological distances in homogeneous and inhomogeneous Friedmann-Lemaître models as functions of redshift and cosmological parameters [5]. Neither reproduces the DOAN-Ω16 chain.</w:t>
      </w:r>
    </w:p>
    <w:bookmarkEnd w:id="61"/>
    <w:bookmarkStart w:id="62" w:name="distance-taxonomies"/>
    <w:p>
      <w:pPr>
        <w:pStyle w:val="Heading2"/>
        <w:keepNext/>
      </w:pPr>
      <w:r>
        <w:t xml:space="preserve">9.4 Distance taxonomies</w:t>
      </w:r>
    </w:p>
    <w:p>
      <w:pPr>
        <w:pStyle w:val="FirstParagraph"/>
      </w:pPr>
      <w:r>
        <w:t xml:space="preserve">Hogg’s distance review makes clear that cosmological distance terminology is plural and model-defined [1]. The present article therefore avoids asserting that its situated coordinate is a new version of a named conventional distance. Comparison would require a dedicated transformation or incompatibility analysis, which is not undertaken here.</w:t>
      </w:r>
    </w:p>
    <w:p>
      <w:pPr>
        <w:pStyle w:val="Caption"/>
        <w:keepNext/>
        <w:spacing w:before="120" w:after="60"/>
        <w:jc w:val="center"/>
      </w:pPr>
      <w:r>
        <w:rPr>
          <w:rFonts w:ascii="Times New Roman" w:hAnsi="Times New Roman"/>
          <w:b w:val="0"/>
          <w:bCs/>
          <w:i/>
          <w:sz w:val="18"/>
        </w:rPr>
        <w:t xml:space="preserve">Table 4. Functional comparison.</w:t>
      </w:r>
    </w:p>
    <w:tbl>
      <w:tblPr>
        <w:tblStyle w:val="TableGrid"/>
        <w:tblW w:type="dxa" w:w="7900"/>
        <w:jc w:val="center"/>
        <w:tblLayout w:type="fixed"/>
        <w:tblLook w:firstColumn="1" w:firstRow="1" w:lastColumn="0" w:lastRow="0" w:noHBand="0" w:noVBand="1" w:val="04A0"/>
      </w:tblPr>
      <w:tblGrid>
        <w:gridCol w:w="1450"/>
        <w:gridCol w:w="1550"/>
        <w:gridCol w:w="1550"/>
        <w:gridCol w:w="1550"/>
        <w:gridCol w:w="1800"/>
      </w:tblGrid>
      <w:tr>
        <w:trPr>
          <w:cantSplit/>
          <w:tblHeader w:val="true"/>
        </w:trPr>
        <w:tc>
          <w:tcPr>
            <w:tcW w:type="dxa" w:w="1450"/>
            <w:tcMar>
              <w:top w:w="55" w:type="dxa"/>
              <w:start w:w="70" w:type="dxa"/>
              <w:bottom w:w="55" w:type="dxa"/>
              <w:end w:w="70" w:type="dxa"/>
            </w:tcMar>
            <w:vAlign w:val="center"/>
          </w:tcPr>
          <w:p>
            <w:pPr>
              <w:spacing w:before="0" w:after="0" w:line="240" w:lineRule="auto"/>
              <w:jc w:val="center"/>
            </w:pPr>
            <w:r/>
            <w:r>
              <w:rPr>
                <w:rFonts w:ascii="Times New Roman" w:hAnsi="Times New Roman"/>
                <w:b/>
                <w:sz w:val="15"/>
              </w:rPr>
              <w:t>Family</w:t>
            </w:r>
          </w:p>
        </w:tc>
        <w:tc>
          <w:tcPr>
            <w:tcW w:type="dxa" w:w="1550"/>
            <w:tcMar>
              <w:top w:w="55" w:type="dxa"/>
              <w:start w:w="70" w:type="dxa"/>
              <w:bottom w:w="55" w:type="dxa"/>
              <w:end w:w="70" w:type="dxa"/>
            </w:tcMar>
            <w:vAlign w:val="center"/>
          </w:tcPr>
          <w:p>
            <w:pPr>
              <w:spacing w:before="0" w:after="0" w:line="240" w:lineRule="auto"/>
              <w:jc w:val="center"/>
            </w:pPr>
            <w:r/>
            <w:r>
              <w:rPr>
                <w:rFonts w:ascii="Times New Roman" w:hAnsi="Times New Roman"/>
                <w:b/>
                <w:sz w:val="15"/>
              </w:rPr>
              <w:t>Temporal / age input</w:t>
            </w:r>
          </w:p>
        </w:tc>
        <w:tc>
          <w:tcPr>
            <w:tcW w:type="dxa" w:w="1550"/>
            <w:tcMar>
              <w:top w:w="55" w:type="dxa"/>
              <w:start w:w="70" w:type="dxa"/>
              <w:bottom w:w="55" w:type="dxa"/>
              <w:end w:w="70" w:type="dxa"/>
            </w:tcMar>
            <w:vAlign w:val="center"/>
          </w:tcPr>
          <w:p>
            <w:pPr>
              <w:spacing w:before="0" w:after="0" w:line="240" w:lineRule="auto"/>
              <w:jc w:val="center"/>
            </w:pPr>
            <w:r/>
            <w:r>
              <w:rPr>
                <w:rFonts w:ascii="Times New Roman" w:hAnsi="Times New Roman"/>
                <w:b/>
                <w:sz w:val="15"/>
              </w:rPr>
              <w:t>Spatial output</w:t>
            </w:r>
          </w:p>
        </w:tc>
        <w:tc>
          <w:tcPr>
            <w:tcW w:type="dxa" w:w="1550"/>
            <w:tcMar>
              <w:top w:w="55" w:type="dxa"/>
              <w:start w:w="70" w:type="dxa"/>
              <w:bottom w:w="55" w:type="dxa"/>
              <w:end w:w="70" w:type="dxa"/>
            </w:tcMar>
            <w:vAlign w:val="center"/>
          </w:tcPr>
          <w:p>
            <w:pPr>
              <w:spacing w:before="0" w:after="0" w:line="240" w:lineRule="auto"/>
              <w:jc w:val="center"/>
            </w:pPr>
            <w:r/>
            <w:r>
              <w:rPr>
                <w:rFonts w:ascii="Times New Roman" w:hAnsi="Times New Roman"/>
                <w:b/>
                <w:sz w:val="15"/>
              </w:rPr>
              <w:t>Key intermediate</w:t>
            </w:r>
          </w:p>
        </w:tc>
        <w:tc>
          <w:tcPr>
            <w:tcW w:type="dxa" w:w="1800"/>
            <w:tcMar>
              <w:top w:w="55" w:type="dxa"/>
              <w:start w:w="70" w:type="dxa"/>
              <w:bottom w:w="55" w:type="dxa"/>
              <w:end w:w="70" w:type="dxa"/>
            </w:tcMar>
            <w:vAlign w:val="center"/>
          </w:tcPr>
          <w:p>
            <w:pPr>
              <w:spacing w:before="0" w:after="0" w:line="240" w:lineRule="auto"/>
              <w:jc w:val="center"/>
            </w:pPr>
            <w:r/>
            <w:r>
              <w:rPr>
                <w:rFonts w:ascii="Times New Roman" w:hAnsi="Times New Roman"/>
                <w:b/>
                <w:sz w:val="15"/>
              </w:rPr>
              <w:t>Relation to DOAN-Omega16</w:t>
            </w:r>
          </w:p>
        </w:tc>
      </w:tr>
      <w:tr>
        <w:trPr>
          <w:cantSplit/>
        </w:trPr>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Cosmic chronometers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differential galaxy ages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H(z), then model-dependent distances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dz/dt</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partial conceptual neighbour</w:t>
            </w:r>
          </w:p>
        </w:tc>
      </w:tr>
      <w:tr>
        <w:trPr>
          <w:cantSplit/>
        </w:trPr>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Chronometric geodesy</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clock-frequency difference</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geopotential or height difference</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relativistic redshift law</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temporal-to-spatial precedent; different physics</w:t>
            </w:r>
          </w:p>
        </w:tc>
      </w:tr>
      <w:tr>
        <w:trPr>
          <w:cantSplit/>
        </w:trPr>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Joint age-distance inference</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stellar ages and photometric data</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posterior distance estimates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statistical model</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co-estimation, not constitutive transduction</w:t>
            </w:r>
          </w:p>
        </w:tc>
      </w:tr>
      <w:tr>
        <w:trPr>
          <w:cantSplit/>
        </w:trPr>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Redshift-independent SN methods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photometry with redshift marginalised</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luminosity distance</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light-curve likelihood</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observational inference, not an age-to-coordinate chain</w:t>
            </w:r>
          </w:p>
        </w:tc>
      </w:tr>
      <w:tr>
        <w:trPr>
          <w:cantSplit/>
        </w:trPr>
        <w:tc>
          <w:tcPr>
            <w:tcW w:type="dxa" w:w="14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General cosmological-distance algorithms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redshift and cosmological parameters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standard cosmological distances</w:t>
            </w:r>
          </w:p>
        </w:tc>
        <w:tc>
          <w:tcPr>
            <w:tcW w:type="dxa" w:w="155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FLRW integration</w:t>
            </w:r>
          </w:p>
        </w:tc>
        <w:tc>
          <w:tcPr>
            <w:tcW w:type="dxa" w:w="1800"/>
            <w:tcMar>
              <w:top w:w="55" w:type="dxa"/>
              <w:start w:w="70" w:type="dxa"/>
              <w:bottom w:w="55" w:type="dxa"/>
              <w:end w:w="70" w:type="dxa"/>
            </w:tcMar>
            <w:vAlign w:val="center"/>
          </w:tcPr>
          <w:p>
            <w:pPr>
              <w:spacing w:before="0" w:after="0" w:line="240" w:lineRule="auto"/>
              <w:jc w:val="left"/>
            </w:pPr>
            <w:r/>
            <w:r>
              <w:rPr>
                <w:rFonts w:ascii="Times New Roman" w:hAnsi="Times New Roman"/>
                <w:b w:val="0"/>
                <w:sz w:val="15"/>
              </w:rPr>
              <w:t>different inputs and target quantities</w:t>
            </w:r>
          </w:p>
        </w:tc>
      </w:tr>
    </w:tbl>
    <w:p>
      <w:pPr>
        <w:pStyle w:val="BodyText"/>
      </w:pPr>
      <w:r>
        <w:t xml:space="preserve">No prior work was identified that reproduces the complete typed chain from an admitted domain-age record to a situated extensional boundary coordinate through a frozen constitutive domain factor and a locally constructed Ω16 scale. This is a report of the search performed, not a claim of logically exhaustive non-existence.</w:t>
      </w:r>
    </w:p>
    <w:bookmarkEnd w:id="62"/>
    <w:bookmarkEnd w:id="63"/>
    <w:bookmarkStart w:id="68" w:name="foundational-interpretation"/>
    <w:p>
      <w:pPr>
        <w:pStyle w:val="Heading1"/>
        <w:keepNext/>
      </w:pPr>
      <w:r>
        <w:t xml:space="preserve">10 Foundational interpretation</w:t>
      </w:r>
    </w:p>
    <w:bookmarkStart w:id="64" w:name="constitutive-rule-versus-universal-law"/>
    <w:p>
      <w:pPr>
        <w:pStyle w:val="Heading2"/>
        <w:keepNext/>
      </w:pPr>
      <w:r>
        <w:t xml:space="preserve">10.1 Constitutive rule versus universal law</w:t>
      </w:r>
    </w:p>
    <w:p>
      <w:pPr>
        <w:pStyle w:val="FirstParagraph"/>
      </w:pPr>
      <w:r>
        <w:t xml:space="preserve">The distinction between a constitutive rule and a universal law is central. Equations (16), (42), and (46) define the operator used in this work. Their mathematical consequences can be demonstrated, their dimensions can be audited, and their numerical outputs can be reproduced. Those facts do not by themselves establish that nature requires these rules uniquely.</w:t>
      </w:r>
    </w:p>
    <w:p>
      <w:pPr>
        <w:pStyle w:val="BodyText"/>
      </w:pPr>
      <w:r>
        <w:t xml:space="preserve">Accordingly, the article makes a two-level claim:</w:t>
      </w:r>
    </w:p>
    <w:p>
      <w:pPr>
        <w:pStyle w:val="Compact"/>
        <w:numPr>
          <w:ilvl w:val="0"/>
          <w:numId w:val="1003"/>
        </w:numPr>
      </w:pPr>
      <w:r>
        <w:rPr>
          <w:b/>
          <w:bCs/>
        </w:rPr>
        <w:t xml:space="preserve">closed at the operator level:</w:t>
      </w:r>
      <w:r>
        <w:t xml:space="preserve"> </w:t>
      </w:r>
      <w:r>
        <w:t xml:space="preserve">the definitions, types, dimensions, and declared execution yield one reproducible output;</w:t>
      </w:r>
    </w:p>
    <w:p>
      <w:pPr>
        <w:pStyle w:val="Compact"/>
        <w:numPr>
          <w:ilvl w:val="0"/>
          <w:numId w:val="1003"/>
        </w:numPr>
      </w:pPr>
      <w:r>
        <w:rPr>
          <w:b/>
          <w:bCs/>
        </w:rPr>
        <w:t xml:space="preserve">open at the universal level:</w:t>
      </w:r>
      <w:r>
        <w:t xml:space="preserve"> </w:t>
      </w:r>
      <w:r>
        <w:t xml:space="preserve">uniqueness, universal physical necessity, and unrestricted transdomain application are not established.</w:t>
      </w:r>
    </w:p>
    <w:p>
      <w:pPr>
        <w:pStyle w:val="FirstParagraph"/>
      </w:pPr>
      <w:r>
        <w:t xml:space="preserve">This separation permits the construction to be evaluated without disguising a constitutive choice as a discovered law.</w:t>
      </w:r>
    </w:p>
    <w:bookmarkEnd w:id="64"/>
    <w:bookmarkStart w:id="65" w:name="age-as-an-extensional-input"/>
    <w:p>
      <w:pPr>
        <w:pStyle w:val="Heading2"/>
        <w:keepNext/>
      </w:pPr>
      <w:r>
        <w:t xml:space="preserve">10.2 Age as an extensional input</w:t>
      </w:r>
    </w:p>
    <w:p>
      <w:pPr>
        <w:pStyle w:val="FirstParagraph"/>
      </w:pPr>
      <w:r>
        <w:t xml:space="preserve">DOAN-Ω16 does not assert that time</w:t>
      </w:r>
      <w:r>
        <w:t xml:space="preserve"> </w:t>
      </w:r>
      <w:r>
        <w:rPr>
          <w:i/>
          <w:iCs/>
        </w:rPr>
        <w:t xml:space="preserve">is</w:t>
      </w:r>
      <w:r>
        <w:t xml:space="preserve"> </w:t>
      </w:r>
      <w:r>
        <w:t xml:space="preserve">space. It asserts that, once a domain-age difference has been normalised to a dimensionless count, a declared structural factor and extensional step may map that count to an extensional coordinate. The dimensional conversion occurs only at</w:t>
      </w:r>
      <w:r>
        <w:t xml:space="preserve"> </w:t>
      </w:r>
      <m:oMath>
        <m:sSub>
          <m:e>
            <m:r>
              <m:t>σ</m:t>
            </m:r>
          </m:e>
          <m:sub>
            <m:r>
              <m:t>Ω</m:t>
            </m:r>
            <m:r>
              <m:t>16</m:t>
            </m:r>
          </m:sub>
        </m:sSub>
      </m:oMath>
      <w:r>
        <w:t xml:space="preserve">.</w:t>
      </w:r>
    </w:p>
    <w:p>
      <w:pPr>
        <w:pStyle w:val="BodyText"/>
      </w:pPr>
      <w:r>
        <w:t xml:space="preserve">This structure is analogous, at a general formal level, to other scientific transformations in which a measured or declared quantity becomes spatial only through an explicit law and calibration. The analogy does not imply physical identity with chronometric geodesy or time-of-flight methods.</w:t>
      </w:r>
    </w:p>
    <w:bookmarkEnd w:id="65"/>
    <w:bookmarkStart w:id="66" w:name="X14275852cc8752352a74285fe5347668d7f3509"/>
    <w:p>
      <w:pPr>
        <w:pStyle w:val="Heading2"/>
        <w:keepNext/>
      </w:pPr>
      <w:r>
        <w:t xml:space="preserve">10.3 Situated coordinate and origin dependence</w:t>
      </w:r>
    </w:p>
    <w:p>
      <w:pPr>
        <w:pStyle w:val="FirstParagraph"/>
      </w:pPr>
      <w:r>
        <w:t xml:space="preserve">The output is meaningful only with its origin. Equation (8) is not interchangeable with Eq. (6). The change-of-origin decomposition in Eq. (63) preserves this distinction. Removing the origin metadata would turn a typed coordinate into an ambiguous scalar.</w:t>
      </w:r>
    </w:p>
    <w:bookmarkEnd w:id="66"/>
    <w:bookmarkStart w:id="67" w:name="closure-without-point-collapse"/>
    <w:p>
      <w:pPr>
        <w:pStyle w:val="Heading2"/>
        <w:keepNext/>
      </w:pPr>
      <w:r>
        <w:t xml:space="preserve">10.4 Closure without point collapse</w:t>
      </w:r>
    </w:p>
    <w:p>
      <w:pPr>
        <w:pStyle w:val="FirstParagraph"/>
      </w:pPr>
      <w:r>
        <w:t xml:space="preserve">The closure execution produces</w:t>
      </w:r>
      <w:r>
        <w:t xml:space="preserve"> </w:t>
      </w:r>
      <m:oMath>
        <m:sSub>
          <m:e>
            <m:r>
              <m:t>λ</m:t>
            </m:r>
          </m:e>
          <m:sub>
            <m:r>
              <m:rPr>
                <m:sty m:val="p"/>
              </m:rPr>
              <m:t>∂</m:t>
            </m:r>
          </m:sub>
        </m:sSub>
        <m:r>
          <m:rPr>
            <m:sty m:val="p"/>
          </m:rPr>
          <m:t>&gt;</m:t>
        </m:r>
        <m:r>
          <m:t>0</m:t>
        </m:r>
      </m:oMath>
      <w:r>
        <w:t xml:space="preserve">. The result shows that, inside the declared apparatus, the end of the etary interval does not imply the disappearance of extension. This is a property of DOAN-Ω16 and its boundary assignment. A broader cosmological conclusion would require identification of domains, dynamics, and observables not supplied here.</w:t>
      </w:r>
    </w:p>
    <w:bookmarkEnd w:id="67"/>
    <w:bookmarkEnd w:id="68"/>
    <w:bookmarkStart w:id="69" w:name="Xe102cd17cdcac79877b4b69edc166abf403a89f"/>
    <w:p>
      <w:pPr>
        <w:pStyle w:val="Heading1"/>
        <w:keepNext/>
      </w:pPr>
      <w:r>
        <w:t xml:space="preserve">11 Limitations and falsifiable failure conditions</w:t>
      </w:r>
    </w:p>
    <w:p>
      <w:pPr>
        <w:pStyle w:val="FirstParagraph"/>
      </w:pPr>
      <w:r>
        <w:t xml:space="preserve">The construction has explicit limitations.</w:t>
      </w:r>
    </w:p>
    <w:p>
      <w:pPr>
        <w:pStyle w:val="Compact"/>
        <w:numPr>
          <w:ilvl w:val="0"/>
          <w:numId w:val="1004"/>
        </w:numPr>
      </w:pPr>
      <w:r>
        <w:rPr>
          <w:b/>
          <w:bCs/>
        </w:rPr>
        <w:t xml:space="preserve">No observational validation.</w:t>
      </w:r>
      <w:r>
        <w:t xml:space="preserve"> </w:t>
      </w:r>
      <w:r>
        <w:t xml:space="preserve">The article does not report a campaign that independently measures the returned boundary coordinate.</w:t>
      </w:r>
    </w:p>
    <w:p>
      <w:pPr>
        <w:pStyle w:val="Compact"/>
        <w:numPr>
          <w:ilvl w:val="0"/>
          <w:numId w:val="1004"/>
        </w:numPr>
      </w:pPr>
      <w:r>
        <w:rPr>
          <w:b/>
          <w:bCs/>
        </w:rPr>
        <w:t xml:space="preserve">Constitutive scale.</w:t>
      </w:r>
      <w:r>
        <w:t xml:space="preserve"> </w:t>
      </w:r>
      <w:r>
        <w:t xml:space="preserve">The Ω16 transfer from a local Earth-Moon-Sun calibration to the etary branch is part of the operator definition; it is not an established standard cosmological law.</w:t>
      </w:r>
    </w:p>
    <w:p>
      <w:pPr>
        <w:pStyle w:val="Compact"/>
        <w:numPr>
          <w:ilvl w:val="0"/>
          <w:numId w:val="1004"/>
        </w:numPr>
      </w:pPr>
      <w:r>
        <w:rPr>
          <w:b/>
          <w:bCs/>
        </w:rPr>
        <w:t xml:space="preserve">No uniqueness theorem.</w:t>
      </w:r>
      <w:r>
        <w:t xml:space="preserve"> </w:t>
      </w:r>
      <w:r>
        <w:t xml:space="preserve">The article does not prove that Eq. (16) or Eq. (42) is universally unique.</w:t>
      </w:r>
    </w:p>
    <w:p>
      <w:pPr>
        <w:pStyle w:val="Compact"/>
        <w:numPr>
          <w:ilvl w:val="0"/>
          <w:numId w:val="1004"/>
        </w:numPr>
      </w:pPr>
      <w:r>
        <w:rPr>
          <w:b/>
          <w:bCs/>
        </w:rPr>
        <w:t xml:space="preserve">Declared-age dependence.</w:t>
      </w:r>
      <w:r>
        <w:t xml:space="preserve"> </w:t>
      </w:r>
      <w:r>
        <w:t xml:space="preserve">The result depends on the admitted values in Eqs. (1)-(3). Their general derivation is not reopened.</w:t>
      </w:r>
    </w:p>
    <w:p>
      <w:pPr>
        <w:pStyle w:val="Compact"/>
        <w:numPr>
          <w:ilvl w:val="0"/>
          <w:numId w:val="1004"/>
        </w:numPr>
      </w:pPr>
      <w:r>
        <w:rPr>
          <w:b/>
          <w:bCs/>
        </w:rPr>
        <w:t xml:space="preserve">Historical inputs.</w:t>
      </w:r>
      <w:r>
        <w:t xml:space="preserve"> </w:t>
      </w:r>
      <w:r>
        <w:t xml:space="preserve">The scale reproduces a historical frozen calibration rather than silently replacing it with updated astronomical constants.</w:t>
      </w:r>
    </w:p>
    <w:p>
      <w:pPr>
        <w:pStyle w:val="Compact"/>
        <w:numPr>
          <w:ilvl w:val="0"/>
          <w:numId w:val="1004"/>
        </w:numPr>
      </w:pPr>
      <w:r>
        <w:rPr>
          <w:b/>
          <w:bCs/>
        </w:rPr>
        <w:t xml:space="preserve">No metric-equivalence claim.</w:t>
      </w:r>
      <w:r>
        <w:t xml:space="preserve"> </w:t>
      </w:r>
      <w:r>
        <w:t xml:space="preserve">The article neither establishes nor denies equivalence to standard cosmological distance measures.</w:t>
      </w:r>
    </w:p>
    <w:p>
      <w:pPr>
        <w:pStyle w:val="Compact"/>
        <w:numPr>
          <w:ilvl w:val="0"/>
          <w:numId w:val="1004"/>
        </w:numPr>
      </w:pPr>
      <w:r>
        <w:rPr>
          <w:b/>
          <w:bCs/>
        </w:rPr>
        <w:t xml:space="preserve">Change of origin is not independent validation.</w:t>
      </w:r>
      <w:r>
        <w:t xml:space="preserve"> </w:t>
      </w:r>
      <w:r>
        <w:t xml:space="preserve">Equation (64) is a coherent recomposition, not an external second measurement of</w:t>
      </w:r>
      <w:r>
        <w:t xml:space="preserve"> </w:t>
      </w:r>
      <m:oMath>
        <m:sSub>
          <m:e>
            <m:r>
              <m:t>R</m:t>
            </m:r>
          </m:e>
          <m:sub>
            <m:r>
              <m:t>U</m:t>
            </m:r>
          </m:sub>
        </m:sSub>
      </m:oMath>
      <w:r>
        <w:t xml:space="preserve">.</w:t>
      </w:r>
    </w:p>
    <w:p>
      <w:pPr>
        <w:pStyle w:val="Compact"/>
        <w:numPr>
          <w:ilvl w:val="0"/>
          <w:numId w:val="1004"/>
        </w:numPr>
      </w:pPr>
      <w:r>
        <w:rPr>
          <w:b/>
          <w:bCs/>
        </w:rPr>
        <w:t xml:space="preserve">Restricted domain.</w:t>
      </w:r>
      <w:r>
        <w:t xml:space="preserve"> </w:t>
      </w:r>
      <w:r>
        <w:t xml:space="preserve">Generalisation to other domains requires independently declared age, reference, structural signature, scale applicability, origin, and boundary.</w:t>
      </w:r>
    </w:p>
    <w:p>
      <w:pPr>
        <w:pStyle w:val="FirstParagraph"/>
      </w:pPr>
      <w:r>
        <w:t xml:space="preserve">The construction must fail or remain unresolved if any of the following occurs:</w:t>
      </w:r>
    </w:p>
    <w:p>
      <w:pPr>
        <w:pStyle w:val="Compact"/>
        <w:numPr>
          <w:ilvl w:val="0"/>
          <w:numId w:val="1005"/>
        </w:numPr>
      </w:pPr>
      <w:r>
        <w:t xml:space="preserve">the domain or reference is not declared;</w:t>
      </w:r>
    </w:p>
    <w:p>
      <w:pPr>
        <w:pStyle w:val="Compact"/>
        <w:numPr>
          <w:ilvl w:val="0"/>
          <w:numId w:val="1005"/>
        </w:numPr>
      </w:pPr>
      <w:r>
        <w:t xml:space="preserve">the age difference is dimensionally inconsistent;</w:t>
      </w:r>
    </w:p>
    <w:p>
      <w:pPr>
        <w:pStyle w:val="Compact"/>
        <w:numPr>
          <w:ilvl w:val="0"/>
          <w:numId w:val="1005"/>
        </w:numPr>
      </w:pPr>
      <m:oMath>
        <m:sSub>
          <m:e>
            <m:r>
              <m:t>χ</m:t>
            </m:r>
          </m:e>
          <m:sub>
            <m:r>
              <m:t>D</m:t>
            </m:r>
          </m:sub>
        </m:sSub>
      </m:oMath>
      <w:r>
        <w:t xml:space="preserve"> </w:t>
      </w:r>
      <w:r>
        <w:t xml:space="preserve">lies outside its admitted interval without an extended definition;</w:t>
      </w:r>
    </w:p>
    <w:p>
      <w:pPr>
        <w:pStyle w:val="Compact"/>
        <w:numPr>
          <w:ilvl w:val="0"/>
          <w:numId w:val="1005"/>
        </w:numPr>
      </w:pPr>
      <w:r>
        <w:t xml:space="preserve">the scale is applied with a different calibration but labelled as the historical Ω16 scale;</w:t>
      </w:r>
    </w:p>
    <w:p>
      <w:pPr>
        <w:pStyle w:val="Compact"/>
        <w:numPr>
          <w:ilvl w:val="0"/>
          <w:numId w:val="1005"/>
        </w:numPr>
      </w:pPr>
      <w:r>
        <w:t xml:space="preserve">the terrestrial-origin output is identified with the formal-origin structural radius without change of origin;</w:t>
      </w:r>
    </w:p>
    <w:p>
      <w:pPr>
        <w:pStyle w:val="Compact"/>
        <w:numPr>
          <w:ilvl w:val="0"/>
          <w:numId w:val="1005"/>
        </w:numPr>
      </w:pPr>
      <w:r>
        <w:t xml:space="preserve">precision-frozen and full-precision branches are mixed silently; or</w:t>
      </w:r>
    </w:p>
    <w:p>
      <w:pPr>
        <w:pStyle w:val="Compact"/>
        <w:numPr>
          <w:ilvl w:val="0"/>
          <w:numId w:val="1005"/>
        </w:numPr>
      </w:pPr>
      <w:r>
        <w:t xml:space="preserve">a decimal expansion is presented as observational certainty.</w:t>
      </w:r>
    </w:p>
    <w:p>
      <w:pPr>
        <w:pStyle w:val="FirstParagraph"/>
      </w:pPr>
      <w:r>
        <w:t xml:space="preserve">These conditions make the formal claim testable as an operator claim even before observational validation is attempted.</w:t>
      </w:r>
    </w:p>
    <w:bookmarkEnd w:id="69"/>
    <w:bookmarkStart w:id="70" w:name="conclusions"/>
    <w:p>
      <w:pPr>
        <w:pStyle w:val="Heading1"/>
        <w:keepNext/>
      </w:pPr>
      <w:r>
        <w:t xml:space="preserve">12 Conclusions</w:t>
      </w:r>
    </w:p>
    <w:p>
      <w:pPr>
        <w:pStyle w:val="FirstParagraph"/>
      </w:pPr>
      <w:r>
        <w:t xml:space="preserve">DOAN-Ω16 has been presented as a formal nodal-etary construction with a declared and auditable chain. An admitted domain-age record is reduced to a dimensionless etary count, weighted by a constitutive structural factor, and mapped to extension by the Ω16 scale. For the returned observable domain, the same frozen factor</w:t>
      </w:r>
      <w:r>
        <w:t xml:space="preserve"> </w:t>
      </w:r>
      <m:oMath>
        <m:rad>
          <m:radPr>
            <m:degHide m:val="on"/>
          </m:radPr>
          <m:deg/>
          <m:e>
            <m:r>
              <m:t>3</m:t>
            </m:r>
          </m:e>
        </m:rad>
        <m:r>
          <m:rPr>
            <m:sty m:val="p"/>
          </m:rPr>
          <m:t>/</m:t>
        </m:r>
        <m:r>
          <m:t>2</m:t>
        </m:r>
      </m:oMath>
      <w:r>
        <w:t xml:space="preserve"> </w:t>
      </w:r>
      <w:r>
        <w:t xml:space="preserve">governs access and boundary, while the etary count changes from 9,232,000,000 to 23,032,000,000. The resulting coordinates are related by the exact rational factor</w:t>
      </w:r>
      <w:r>
        <w:t xml:space="preserve"> </w:t>
      </w:r>
      <m:oMath>
        <m:r>
          <m:t>2879</m:t>
        </m:r>
        <m:r>
          <m:rPr>
            <m:sty m:val="p"/>
          </m:rPr>
          <m:t>/</m:t>
        </m:r>
        <m:r>
          <m:t>1154</m:t>
        </m:r>
      </m:oMath>
      <w:r>
        <w:t xml:space="preserve">.</w:t>
      </w:r>
    </w:p>
    <w:p>
      <w:pPr>
        <w:pStyle w:val="BodyText"/>
      </w:pPr>
      <w:r>
        <w:t xml:space="preserve">The Ω16 scale has been reconstructed from its Earth-Moon-Sun genealogy, including the elliptic mean used to form the solar residual, the two dimensionless ratios, the square-root coupling, and the historical precision freezes. This reconstruction distinguishes exact algebraic identities from multiprecision outputs and from empirical uncertainty.</w:t>
      </w:r>
    </w:p>
    <w:p>
      <w:pPr>
        <w:pStyle w:val="BodyText"/>
      </w:pPr>
      <w:r>
        <w:t xml:space="preserve">The closure-boundary coordinate is a situated Earth-to-boundary result. Its coordination with a previously declared structural radius is achieved by change-of-origin decomposition and exact displayed recomposition. The relation is not presented as a second independent determination of the radius.</w:t>
      </w:r>
    </w:p>
    <w:p>
      <w:pPr>
        <w:pStyle w:val="BodyText"/>
      </w:pPr>
      <w:r>
        <w:t xml:space="preserve">The principal foundational result is therefore limited but substantive: under explicit inputs and constitutive rules, a domain-age record can be mapped to a situated extensional boundary coordinate without conflating age, nodal state, scale, origin, and radius. Observational validation, metric comparison, and universal uniqueness remain open lines of work.</w:t>
      </w:r>
    </w:p>
    <w:bookmarkEnd w:id="70"/>
    <w:bookmarkStart w:id="77" w:name="statements-and-declarations"/>
    <w:p>
      <w:pPr>
        <w:pStyle w:val="Heading1"/>
        <w:keepNext/>
      </w:pPr>
      <w:r>
        <w:t xml:space="preserve">Statements and Declarations</w:t>
      </w:r>
    </w:p>
    <w:bookmarkStart w:id="71" w:name="funding"/>
    <w:p>
      <w:pPr>
        <w:pStyle w:val="Heading2"/>
        <w:keepNext/>
      </w:pPr>
      <w:r>
        <w:t xml:space="preserve">Funding</w:t>
      </w:r>
    </w:p>
    <w:p>
      <w:pPr>
        <w:pStyle w:val="FirstParagraph"/>
      </w:pPr>
      <w:r>
        <w:t xml:space="preserve">This research received no external funding.</w:t>
      </w:r>
    </w:p>
    <w:bookmarkEnd w:id="71"/>
    <w:bookmarkStart w:id="72" w:name="competing-interests"/>
    <w:p>
      <w:pPr>
        <w:pStyle w:val="Heading2"/>
        <w:keepNext/>
      </w:pPr>
      <w:r>
        <w:t xml:space="preserve">Competing interests</w:t>
      </w:r>
    </w:p>
    <w:p>
      <w:pPr>
        <w:pStyle w:val="FirstParagraph"/>
      </w:pPr>
      <w:r>
        <w:t xml:space="preserve">The author declares no competing financial or non-financial interests that could have influenced the work reported in this article.</w:t>
      </w:r>
    </w:p>
    <w:bookmarkEnd w:id="72"/>
    <w:bookmarkStart w:id="73" w:name="author-contributions"/>
    <w:p>
      <w:pPr>
        <w:pStyle w:val="Heading2"/>
        <w:keepNext/>
      </w:pPr>
      <w:r>
        <w:t xml:space="preserve">Author contributions</w:t>
      </w:r>
    </w:p>
    <w:p>
      <w:pPr>
        <w:pStyle w:val="FirstParagraph"/>
      </w:pPr>
      <w:r>
        <w:t xml:space="preserve">J.A.L.E. conceived the study, developed the theoretical and mathematical framework, formulated the nodal-etary construction, performed and verified the calculations, selected and assessed the sources, and wrote, reviewed, and approved the article.</w:t>
      </w:r>
    </w:p>
    <w:bookmarkEnd w:id="73"/>
    <w:bookmarkStart w:id="74" w:name="data-availability"/>
    <w:p>
      <w:pPr>
        <w:pStyle w:val="Heading2"/>
        <w:keepNext/>
      </w:pPr>
      <w:r>
        <w:t xml:space="preserve">Data availability</w:t>
      </w:r>
    </w:p>
    <w:p>
      <w:pPr>
        <w:pStyle w:val="FirstParagraph"/>
      </w:pPr>
      <w:r>
        <w:t xml:space="preserve">All numerical inputs used in this study are obtained from the publicly accessible sources cited in the article or from the author’s cited non-peer-reviewed preprints. All equations, transformations, intermediate quantities, and derived results required to reproduce the formal analysis are provided in the article and its referenced sources. No new experimental or observational dataset was generated.</w:t>
      </w:r>
    </w:p>
    <w:bookmarkEnd w:id="74"/>
    <w:bookmarkStart w:id="75" w:name="previous-disclosure"/>
    <w:p>
      <w:pPr>
        <w:pStyle w:val="Heading2"/>
        <w:keepNext/>
      </w:pPr>
      <w:r>
        <w:t xml:space="preserve">Previous disclosure</w:t>
      </w:r>
    </w:p>
    <w:p>
      <w:pPr>
        <w:pStyle w:val="FirstParagraph"/>
      </w:pPr>
      <w:r>
        <w:t xml:space="preserve">The original nodal-etary procedure and parts of its formalism were previously disclosed by the author in Spanish-language, non-peer-reviewed preprints [8-11]. The present article is not under consideration by another journal. It provides a substantially reorganised and extended formalisation for peer review, including the typed operator, the constitutive status of the domain factor, the scale genealogy, the access-boundary separation, the precision policy, the prior-art comparison, and the delimited foundational interpretation.</w:t>
      </w:r>
    </w:p>
    <w:bookmarkEnd w:id="75"/>
    <w:bookmarkStart w:id="76" w:name="X1f74eb43af444059c7518034463b6c89b1cacf4"/>
    <w:p>
      <w:pPr>
        <w:pStyle w:val="Heading2"/>
        <w:keepNext/>
      </w:pPr>
      <w:r>
        <w:t xml:space="preserve">Declaration of generative AI and AI-assisted technologies in the manuscript preparation process</w:t>
      </w:r>
    </w:p>
    <w:p>
      <w:pPr>
        <w:pStyle w:val="FirstParagraph"/>
      </w:pPr>
      <w:r>
        <w:t xml:space="preserve">During the preparation of this work, the author used ChatGPT by OpenAI (GPT-5.6 Thinking) and Claude by Anthropic (Claude Opus 5) for English-language drafting, structural organisation, adversarial review, bibliographic checking, calculation checking, and editorial criticism. After using these tools, the author reviewed and edited the content as needed and takes full responsibility for the content of the article. The scientific conception, prior theoretical works, mathematical framework, equations, derivations, source selection, physical interpretations, results, and conclusions are the author’s.</w:t>
      </w:r>
    </w:p>
    <w:bookmarkEnd w:id="76"/>
    <w:bookmarkEnd w:id="77"/>
    <w:bookmarkStart w:id="78" w:name="references"/>
    <w:p>
      <w:pPr>
        <w:pStyle w:val="Heading1"/>
        <w:keepNext/>
      </w:pPr>
      <w:r>
        <w:t xml:space="preserve">References</w:t>
      </w:r>
    </w:p>
    <w:p>
      <w:pPr>
        <w:pStyle w:val="Compact"/>
        <w:numPr>
          <w:ilvl w:val="0"/>
          <w:numId w:val="1006"/>
        </w:numPr>
      </w:pPr>
      <w:r>
        <w:t xml:space="preserve">D. W. Hogg,</w:t>
      </w:r>
      <w:r>
        <w:t xml:space="preserve"> </w:t>
      </w:r>
      <w:r>
        <w:t xml:space="preserve">“</w:t>
      </w:r>
      <w:r>
        <w:t xml:space="preserve">Distance measures in cosmology,</w:t>
      </w:r>
      <w:r>
        <w:t xml:space="preserve">”</w:t>
      </w:r>
      <w:r>
        <w:t xml:space="preserve"> </w:t>
      </w:r>
      <w:r>
        <w:t xml:space="preserve">arXiv:astro-ph/9905116 (1999), https://doi.org/10.48550/arXiv.astro-ph/9905116.</w:t>
      </w:r>
    </w:p>
    <w:p>
      <w:pPr>
        <w:pStyle w:val="Compact"/>
        <w:numPr>
          <w:ilvl w:val="0"/>
          <w:numId w:val="1006"/>
        </w:numPr>
      </w:pPr>
      <w:r>
        <w:t xml:space="preserve">R. Jimenez and A. Loeb,</w:t>
      </w:r>
      <w:r>
        <w:t xml:space="preserve"> </w:t>
      </w:r>
      <w:r>
        <w:t xml:space="preserve">“</w:t>
      </w:r>
      <w:r>
        <w:t xml:space="preserve">Constraining cosmological parameters based on relative galaxy ages,</w:t>
      </w:r>
      <w:r>
        <w:t xml:space="preserve">”</w:t>
      </w:r>
      <w:r>
        <w:t xml:space="preserve"> </w:t>
      </w:r>
      <w:r>
        <w:rPr>
          <w:i/>
          <w:iCs/>
        </w:rPr>
        <w:t xml:space="preserve">Astrophysical Journal</w:t>
      </w:r>
      <w:r>
        <w:t xml:space="preserve"> </w:t>
      </w:r>
      <w:r>
        <w:rPr>
          <w:b/>
          <w:bCs/>
        </w:rPr>
        <w:t xml:space="preserve">573</w:t>
      </w:r>
      <w:r>
        <w:t xml:space="preserve">, 37-42 (2002), https://doi.org/10.1086/340549.</w:t>
      </w:r>
    </w:p>
    <w:p>
      <w:pPr>
        <w:pStyle w:val="Compact"/>
        <w:numPr>
          <w:ilvl w:val="0"/>
          <w:numId w:val="1006"/>
        </w:numPr>
      </w:pPr>
      <w:r>
        <w:t xml:space="preserve">M. Moresco et al.,</w:t>
      </w:r>
      <w:r>
        <w:t xml:space="preserve"> </w:t>
      </w:r>
      <w:r>
        <w:t xml:space="preserve">“</w:t>
      </w:r>
      <w:r>
        <w:t xml:space="preserve">Improved constraints on the expansion rate of the Universe up to</w:t>
      </w:r>
      <w:r>
        <w:t xml:space="preserve"> </w:t>
      </w:r>
      <m:oMath>
        <m:r>
          <m:t>z</m:t>
        </m:r>
        <m:r>
          <m:rPr>
            <m:sty m:val="p"/>
          </m:rPr>
          <m:t>∼</m:t>
        </m:r>
        <m:r>
          <m:t>1.1</m:t>
        </m:r>
      </m:oMath>
      <w:r>
        <w:t xml:space="preserve"> </w:t>
      </w:r>
      <w:r>
        <w:t xml:space="preserve">from the spectroscopic evolution of cosmic chronometers,</w:t>
      </w:r>
      <w:r>
        <w:t xml:space="preserve">”</w:t>
      </w:r>
      <w:r>
        <w:t xml:space="preserve"> </w:t>
      </w:r>
      <w:r>
        <w:rPr>
          <w:i/>
          <w:iCs/>
        </w:rPr>
        <w:t xml:space="preserve">Journal of Cosmology and Astroparticle Physics</w:t>
      </w:r>
      <w:r>
        <w:t xml:space="preserve"> </w:t>
      </w:r>
      <w:r>
        <w:rPr>
          <w:b/>
          <w:bCs/>
        </w:rPr>
        <w:t xml:space="preserve">2012</w:t>
      </w:r>
      <w:r>
        <w:t xml:space="preserve">(08), 006 (2012), https://doi.org/10.1088/1475-7516/2012/08/006.</w:t>
      </w:r>
    </w:p>
    <w:p>
      <w:pPr>
        <w:pStyle w:val="Compact"/>
        <w:numPr>
          <w:ilvl w:val="0"/>
          <w:numId w:val="1006"/>
        </w:numPr>
      </w:pPr>
      <w:r>
        <w:t xml:space="preserve">B. J. Barris and J. L. Tonry,</w:t>
      </w:r>
      <w:r>
        <w:t xml:space="preserve"> </w:t>
      </w:r>
      <w:r>
        <w:t xml:space="preserve">“</w:t>
      </w:r>
      <w:r>
        <w:t xml:space="preserve">Redshift-independent distances to Type Ia supernovae,</w:t>
      </w:r>
      <w:r>
        <w:t xml:space="preserve">”</w:t>
      </w:r>
      <w:r>
        <w:t xml:space="preserve"> </w:t>
      </w:r>
      <w:r>
        <w:t xml:space="preserve">arXiv:astro-ph/0408097 (2004).</w:t>
      </w:r>
    </w:p>
    <w:p>
      <w:pPr>
        <w:pStyle w:val="Compact"/>
        <w:numPr>
          <w:ilvl w:val="0"/>
          <w:numId w:val="1006"/>
        </w:numPr>
      </w:pPr>
      <w:r>
        <w:t xml:space="preserve">R. Kayser, P. Helbig, and T. Schramm,</w:t>
      </w:r>
      <w:r>
        <w:t xml:space="preserve"> </w:t>
      </w:r>
      <w:r>
        <w:t xml:space="preserve">“</w:t>
      </w:r>
      <w:r>
        <w:t xml:space="preserve">A general and practical method for calculating cosmological distances,</w:t>
      </w:r>
      <w:r>
        <w:t xml:space="preserve">”</w:t>
      </w:r>
      <w:r>
        <w:t xml:space="preserve"> </w:t>
      </w:r>
      <w:r>
        <w:rPr>
          <w:i/>
          <w:iCs/>
        </w:rPr>
        <w:t xml:space="preserve">Astronomy and Astrophysics</w:t>
      </w:r>
      <w:r>
        <w:t xml:space="preserve"> </w:t>
      </w:r>
      <w:r>
        <w:rPr>
          <w:b/>
          <w:bCs/>
        </w:rPr>
        <w:t xml:space="preserve">318</w:t>
      </w:r>
      <w:r>
        <w:t xml:space="preserve">, 680-686 (1997), arXiv:astro-ph/9603028.</w:t>
      </w:r>
    </w:p>
    <w:p>
      <w:pPr>
        <w:pStyle w:val="Compact"/>
        <w:numPr>
          <w:ilvl w:val="0"/>
          <w:numId w:val="1006"/>
        </w:numPr>
      </w:pPr>
      <w:r>
        <w:t xml:space="preserve">P. Delva and J. Lodewyck,</w:t>
      </w:r>
      <w:r>
        <w:t xml:space="preserve"> </w:t>
      </w:r>
      <w:r>
        <w:t xml:space="preserve">“</w:t>
      </w:r>
      <w:r>
        <w:t xml:space="preserve">Atomic clocks: new prospects in metrology and geodesy,</w:t>
      </w:r>
      <w:r>
        <w:t xml:space="preserve">”</w:t>
      </w:r>
      <w:r>
        <w:t xml:space="preserve"> </w:t>
      </w:r>
      <w:r>
        <w:rPr>
          <w:i/>
          <w:iCs/>
        </w:rPr>
        <w:t xml:space="preserve">Acta Futura</w:t>
      </w:r>
      <w:r>
        <w:t xml:space="preserve"> </w:t>
      </w:r>
      <w:r>
        <w:rPr>
          <w:b/>
          <w:bCs/>
        </w:rPr>
        <w:t xml:space="preserve">7</w:t>
      </w:r>
      <w:r>
        <w:t xml:space="preserve">, 67-78 (2013), https://doi.org/10.2420/AF07.2013.67.</w:t>
      </w:r>
    </w:p>
    <w:p>
      <w:pPr>
        <w:pStyle w:val="Compact"/>
        <w:numPr>
          <w:ilvl w:val="0"/>
          <w:numId w:val="1006"/>
        </w:numPr>
      </w:pPr>
      <w:r>
        <w:t xml:space="preserve">H. Denker et al.,</w:t>
      </w:r>
      <w:r>
        <w:t xml:space="preserve"> </w:t>
      </w:r>
      <w:r>
        <w:t xml:space="preserve">“</w:t>
      </w:r>
      <w:r>
        <w:t xml:space="preserve">Geodetic methods to determine the relativistic redshift at the level of</w:t>
      </w:r>
      <w:r>
        <w:t xml:space="preserve"> </w:t>
      </w:r>
      <m:oMath>
        <m:sSup>
          <m:e>
            <m:r>
              <m:t>10</m:t>
            </m:r>
          </m:e>
          <m:sup>
            <m:r>
              <m:rPr>
                <m:sty m:val="p"/>
              </m:rPr>
              <m:t>−</m:t>
            </m:r>
            <m:r>
              <m:t>18</m:t>
            </m:r>
          </m:sup>
        </m:sSup>
      </m:oMath>
      <w:r>
        <w:t xml:space="preserve"> </w:t>
      </w:r>
      <w:r>
        <w:t xml:space="preserve">in the context of international timescales: a review and practical results,</w:t>
      </w:r>
      <w:r>
        <w:t xml:space="preserve">”</w:t>
      </w:r>
      <w:r>
        <w:t xml:space="preserve"> </w:t>
      </w:r>
      <w:r>
        <w:rPr>
          <w:i/>
          <w:iCs/>
        </w:rPr>
        <w:t xml:space="preserve">Journal of Geodesy</w:t>
      </w:r>
      <w:r>
        <w:t xml:space="preserve"> </w:t>
      </w:r>
      <w:r>
        <w:rPr>
          <w:b/>
          <w:bCs/>
        </w:rPr>
        <w:t xml:space="preserve">92</w:t>
      </w:r>
      <w:r>
        <w:t xml:space="preserve">, 487-516 (2018), https://doi.org/10.1007/s00190-017-1075-1.</w:t>
      </w:r>
    </w:p>
    <w:p>
      <w:pPr>
        <w:pStyle w:val="Compact"/>
        <w:numPr>
          <w:ilvl w:val="0"/>
          <w:numId w:val="1006"/>
        </w:numPr>
      </w:pPr>
      <w:r>
        <w:t xml:space="preserve">J. A. Lloret Egea,</w:t>
      </w:r>
      <w:r>
        <w:t xml:space="preserve"> </w:t>
      </w:r>
      <w:r>
        <w:t xml:space="preserve">“</w:t>
      </w:r>
      <w:r>
        <w:t xml:space="preserve">Recta-Ómicron (Lanzadera) - Trilogía Cosmológica, Parte II,</w:t>
      </w:r>
      <w:r>
        <w:t xml:space="preserve">”</w:t>
      </w:r>
      <w:r>
        <w:t xml:space="preserve"> </w:t>
      </w:r>
      <w:r>
        <w:t xml:space="preserve">non-peer-reviewed preprint (2026), https://doi.org/10.21428/39829d0b.db21f00e.</w:t>
      </w:r>
    </w:p>
    <w:p>
      <w:pPr>
        <w:pStyle w:val="Compact"/>
        <w:numPr>
          <w:ilvl w:val="0"/>
          <w:numId w:val="1006"/>
        </w:numPr>
      </w:pPr>
      <w:r>
        <w:t xml:space="preserve">J. A. Lloret Egea,</w:t>
      </w:r>
      <w:r>
        <w:t xml:space="preserve"> </w:t>
      </w:r>
      <w:r>
        <w:t xml:space="preserve">“</w:t>
      </w:r>
      <w:r>
        <w:t xml:space="preserve">Radio, frontera y densidad del universo observable - Trilogía Cosmológica, Parte III,</w:t>
      </w:r>
      <w:r>
        <w:t xml:space="preserve">”</w:t>
      </w:r>
      <w:r>
        <w:t xml:space="preserve"> </w:t>
      </w:r>
      <w:r>
        <w:t xml:space="preserve">non-peer-reviewed preprint (2026), https://doi.org/10.21428/39829d0b.0430adc0.</w:t>
      </w:r>
    </w:p>
    <w:p>
      <w:pPr>
        <w:pStyle w:val="Compact"/>
        <w:numPr>
          <w:ilvl w:val="0"/>
          <w:numId w:val="1006"/>
        </w:numPr>
      </w:pPr>
      <w:r>
        <w:t xml:space="preserve">J. A. Lloret Egea,</w:t>
      </w:r>
      <w:r>
        <w:t xml:space="preserve"> </w:t>
      </w:r>
      <w:r>
        <w:t xml:space="preserve">“</w:t>
      </w:r>
      <w:r>
        <w:t xml:space="preserve">Edades relativas del universo observable y de sus objetos físicos,</w:t>
      </w:r>
      <w:r>
        <w:t xml:space="preserve">”</w:t>
      </w:r>
      <w:r>
        <w:t xml:space="preserve"> </w:t>
      </w:r>
      <w:r>
        <w:t xml:space="preserve">non-peer-reviewed preprint (2026), https://doi.org/10.21428/39829d0b.b56ed853.</w:t>
      </w:r>
    </w:p>
    <w:p>
      <w:pPr>
        <w:pStyle w:val="Compact"/>
        <w:numPr>
          <w:ilvl w:val="0"/>
          <w:numId w:val="1006"/>
        </w:numPr>
      </w:pPr>
      <w:r>
        <w:t xml:space="preserve">J. A. Lloret Egea,</w:t>
      </w:r>
      <w:r>
        <w:t xml:space="preserve"> </w:t>
      </w:r>
      <w:r>
        <w:t xml:space="preserve">“</w:t>
      </w:r>
      <w:r>
        <w:t xml:space="preserve">Determinación del radio, la superficie y el volumen del Universo - Trilogía Cosmológica, Parte I,</w:t>
      </w:r>
      <w:r>
        <w:t xml:space="preserve">”</w:t>
      </w:r>
      <w:r>
        <w:t xml:space="preserve"> </w:t>
      </w:r>
      <w:r>
        <w:t xml:space="preserve">non-peer-reviewed preprint (2026), https://doi.org/10.21428/39829d0b.101f1d12.</w:t>
      </w:r>
    </w:p>
    <w:bookmarkEnd w:id="78"/>
    <w:sectPr w:rsidR="00FC693F" w:rsidRPr="0006063C" w:rsidSect="00034616">
      <w:footerReference r:id="rId9" w:type="default"/>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both"/>
    </w:pPr>
    <w:rPr>
      <w:rFonts w:ascii="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outlineLvl w:val="0"/>
    </w:pPr>
    <w:rPr>
      <w:rFonts w:ascii="Times New Roman" w:asciiTheme="majorHAnsi" w:cstheme="majorBidi" w:eastAsia="Times New Roman"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imes New Roman"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Times New Roman" w:asciiTheme="majorHAnsi" w:cstheme="majorBidi" w:eastAsia="Times New Roman" w:eastAsiaTheme="majorEastAsia" w:hAnsi="Times New Roman" w:hAnsiTheme="majorHAnsi"/>
      <w:b/>
      <w:bCs/>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heme="majorBidi" w:eastAsia="Times New Roman" w:eastAsiaTheme="majorEastAsia" w:hAnsi="Times New Roman" w:hAnsiTheme="majorHAnsi"/>
      <w:b/>
      <w:color w:val="000000"/>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hAnsi="Times New Roman"/>
      <w:b/>
      <w:bCs/>
      <w:i/>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21" Type="http://schemas.openxmlformats.org/officeDocument/2006/relationships/image" Target="media/rId21.png"/><Relationship Id="rId38" Type="http://schemas.openxmlformats.org/officeDocument/2006/relationships/image" Target="media/rId38.png"/><Relationship Id="rId45" Type="http://schemas.openxmlformats.org/officeDocument/2006/relationships/image" Target="media/rId45.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Nodal-Etary Transduction in Cosmology: DOAN-Ω16 (Lanzadera Ómicron) and the Boundary Coordinate of the Observable Universe</dc:title>
  <dc:creator>Juan Antonio Lloret Egea</dc:creator>
  <cp:keywords>nodal-etary transduction; observable universe; boundary coordinate; DOAN-Ω16</cp:keywords>
  <dcterms:created xsi:type="dcterms:W3CDTF">2026-08-06T07:43:26Z</dcterms:created>
  <dcterms:modified xsi:type="dcterms:W3CDTF">2026-08-06T07:43:26Z</dcterms:modified>
  <dc:subject>Foundations of Physics research article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