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Pueblos con vida · Explicación de las figuras</w:t>
      </w:r>
    </w:p>
    <w:p>
      <w:pPr>
        <w:jc w:val="center"/>
      </w:pPr>
      <w:r>
        <w:rPr>
          <w:i/>
        </w:rPr>
        <w:t>Qué muestra cada imagen de visuals/ (01-17), cómo leerla y qué resultados da con los datos reales del dataset.</w:t>
      </w:r>
    </w:p>
    <w:p>
      <w:pPr>
        <w:jc w:val="center"/>
      </w:pPr>
      <w:r>
        <w:rPr>
          <w:color w:val="666666"/>
          <w:sz w:val="18"/>
        </w:rPr>
        <w:t>Datathon 2026 · Comunidad de Madrid · 155 municipios &lt; 50.000 hab · generado el 28-10-2026</w:t>
      </w:r>
    </w:p>
    <w:p>
      <w:pPr>
        <w:pStyle w:val="Heading1"/>
      </w:pPr>
      <w:r>
        <w:t>El índice de vitalidad, explicado de una vez</w:t>
      </w:r>
    </w:p>
    <w:p>
      <w:r>
        <w:t>El índice de vitalidad es la «nota final» de cada pueblo, del 0 al 100: resume qué tan vivo y bien servido está en comparación con los otros 154 municipios de la región. Se construye en 3 pasos.</w:t>
      </w:r>
    </w:p>
    <w:p>
      <w:pPr>
        <w:pStyle w:val="Heading2"/>
      </w:pPr>
      <w:r>
        <w:t>Paso 1 · Cinco exámenes</w:t>
      </w:r>
    </w:p>
    <w:p>
      <w:r>
        <w:t>A cada pueblo se le examina en 5 cosas (las 5 dimensiones del modelo M4):</w:t>
      </w:r>
    </w:p>
    <w:tbl>
      <w:tblPr>
        <w:tblStyle w:val="LightGrid-Accent1"/>
        <w:tblW w:type="auto" w:w="0"/>
        <w:tblLook w:firstColumn="1" w:firstRow="1" w:lastColumn="0" w:lastRow="0" w:noHBand="0" w:noVBand="1" w:val="04A0"/>
      </w:tblPr>
      <w:tblGrid>
        <w:gridCol w:w="4320"/>
        <w:gridCol w:w="4320"/>
      </w:tblGrid>
      <w:tr>
        <w:tc>
          <w:tcPr>
            <w:tcW w:type="dxa" w:w="4320"/>
          </w:tcPr>
          <w:p>
            <w:r>
              <w:t>Dimensión</w:t>
            </w:r>
          </w:p>
        </w:tc>
        <w:tc>
          <w:tcPr>
            <w:tcW w:type="dxa" w:w="4320"/>
          </w:tcPr>
          <w:p>
            <w:r>
              <w:t>Pregunta que responde</w:t>
            </w:r>
          </w:p>
        </w:tc>
      </w:tr>
      <w:tr>
        <w:tc>
          <w:tcPr>
            <w:tcW w:type="dxa" w:w="4320"/>
          </w:tcPr>
          <w:p>
            <w:r>
              <w:t>Demografía</w:t>
            </w:r>
          </w:p>
        </w:tc>
        <w:tc>
          <w:tcPr>
            <w:tcW w:type="dxa" w:w="4320"/>
          </w:tcPr>
          <w:p>
            <w:r>
              <w:t>¿Tiene niños y jóvenes o se vacía y envejece?</w:t>
            </w:r>
          </w:p>
        </w:tc>
      </w:tr>
      <w:tr>
        <w:tc>
          <w:tcPr>
            <w:tcW w:type="dxa" w:w="4320"/>
          </w:tcPr>
          <w:p>
            <w:r>
              <w:t>Vivienda</w:t>
            </w:r>
          </w:p>
        </w:tc>
        <w:tc>
          <w:tcPr>
            <w:tcW w:type="dxa" w:w="4320"/>
          </w:tcPr>
          <w:p>
            <w:r>
              <w:t>¿Hay casas de sobra por habitante? (cantidad, no precio)</w:t>
            </w:r>
          </w:p>
        </w:tc>
      </w:tr>
      <w:tr>
        <w:tc>
          <w:tcPr>
            <w:tcW w:type="dxa" w:w="4320"/>
          </w:tcPr>
          <w:p>
            <w:r>
              <w:t>Servicios</w:t>
            </w:r>
          </w:p>
        </w:tc>
        <w:tc>
          <w:tcPr>
            <w:tcW w:type="dxa" w:w="4320"/>
          </w:tcPr>
          <w:p>
            <w:r>
              <w:t>¿Cuántos consultorios, escuelas, paradas y líneas telefónicas por habitante?</w:t>
            </w:r>
          </w:p>
        </w:tc>
      </w:tr>
      <w:tr>
        <w:tc>
          <w:tcPr>
            <w:tcW w:type="dxa" w:w="4320"/>
          </w:tcPr>
          <w:p>
            <w:r>
              <w:t>Accesibilidad</w:t>
            </w:r>
          </w:p>
        </w:tc>
        <w:tc>
          <w:tcPr>
            <w:tcW w:type="dxa" w:w="4320"/>
          </w:tcPr>
          <w:p>
            <w:r>
              <w:t>¿A cuántos minutos de Madrid está?</w:t>
            </w:r>
          </w:p>
        </w:tc>
      </w:tr>
      <w:tr>
        <w:tc>
          <w:tcPr>
            <w:tcW w:type="dxa" w:w="4320"/>
          </w:tcPr>
          <w:p>
            <w:r>
              <w:t>Empleo</w:t>
            </w:r>
          </w:p>
        </w:tc>
        <w:tc>
          <w:tcPr>
            <w:tcW w:type="dxa" w:w="4320"/>
          </w:tcPr>
          <w:p>
            <w:r>
              <w:t>¿Cuánto paro hay y va subiendo o bajando?</w:t>
            </w:r>
          </w:p>
        </w:tc>
      </w:tr>
    </w:tbl>
    <w:p>
      <w:pPr>
        <w:pStyle w:val="Heading2"/>
      </w:pPr>
      <w:r>
        <w:t>Paso 2 · Cada examen se nota «en comparación con la clase»</w:t>
      </w:r>
    </w:p>
    <w:p>
      <w:r>
        <w:t>Aquí está la clave: las dimensiones NO se puntúan en unidades reales, sino como posición en la fila de los 155 pueblos (percent-rank, la misma fórmula que ejecuta la app en SQL). Un 77 en Servicios significa: «en servicios por habitante, este pueblo está por encima del 77 % de los municipios». Un pueblo con 1 solo consultorio puede sacar un 90 si es diminuto; uno con 5 consultorios puede sacar un 15 si tiene 30.000 vecinos. La comparación relativa es lo que cuenta, y se recalcula cada año: por eso el retrato del índice usa el corte 2023, el último año con los 5 exámenes completos para todos.</w:t>
      </w:r>
    </w:p>
    <w:p>
      <w:pPr>
        <w:pStyle w:val="Heading2"/>
      </w:pPr>
      <w:r>
        <w:t>Paso 3 · Media ponderada y factor limitante</w:t>
      </w:r>
    </w:p>
    <w:p>
      <w:r>
        <w:t>El índice es la media de las 5 notas con pesos fijos (decisión de diseño, idéntica en Python y en el SQL de la app): Demografía 20 %, Vivienda 15 %, Servicios 25 %, Accesibilidad 25 %, Empleo 15 %. El «factor limitante» es simplemente el examen más bajo del pueblo: lo primero que se rompe si crece.</w:t>
      </w:r>
    </w:p>
    <w:p>
      <w:pPr>
        <w:pStyle w:val="Heading2"/>
      </w:pPr>
      <w:r>
        <w:t>Ejemplo real paso a paso: Ribatejada (corte 2023)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Dimensión</w:t>
            </w:r>
          </w:p>
        </w:tc>
        <w:tc>
          <w:tcPr>
            <w:tcW w:type="dxa" w:w="2160"/>
          </w:tcPr>
          <w:p>
            <w:r>
              <w:t>Nota (percentil)</w:t>
            </w:r>
          </w:p>
        </w:tc>
        <w:tc>
          <w:tcPr>
            <w:tcW w:type="dxa" w:w="2160"/>
          </w:tcPr>
          <w:p>
            <w:r>
              <w:t>Peso</w:t>
            </w:r>
          </w:p>
        </w:tc>
        <w:tc>
          <w:tcPr>
            <w:tcW w:type="dxa" w:w="2160"/>
          </w:tcPr>
          <w:p>
            <w:r>
              <w:t>Aportación al índice</w:t>
            </w:r>
          </w:p>
        </w:tc>
      </w:tr>
      <w:tr>
        <w:tc>
          <w:tcPr>
            <w:tcW w:type="dxa" w:w="2160"/>
          </w:tcPr>
          <w:p>
            <w:r>
              <w:t>Demografía</w:t>
            </w:r>
          </w:p>
        </w:tc>
        <w:tc>
          <w:tcPr>
            <w:tcW w:type="dxa" w:w="2160"/>
          </w:tcPr>
          <w:p>
            <w:r>
              <w:t>51,8</w:t>
            </w:r>
          </w:p>
        </w:tc>
        <w:tc>
          <w:tcPr>
            <w:tcW w:type="dxa" w:w="2160"/>
          </w:tcPr>
          <w:p>
            <w:r>
              <w:t>20 %</w:t>
            </w:r>
          </w:p>
        </w:tc>
        <w:tc>
          <w:tcPr>
            <w:tcW w:type="dxa" w:w="2160"/>
          </w:tcPr>
          <w:p>
            <w:r>
              <w:t>10,4</w:t>
            </w:r>
          </w:p>
        </w:tc>
      </w:tr>
      <w:tr>
        <w:tc>
          <w:tcPr>
            <w:tcW w:type="dxa" w:w="2160"/>
          </w:tcPr>
          <w:p>
            <w:r>
              <w:t>Vivienda</w:t>
            </w:r>
          </w:p>
        </w:tc>
        <w:tc>
          <w:tcPr>
            <w:tcW w:type="dxa" w:w="2160"/>
          </w:tcPr>
          <w:p>
            <w:r>
              <w:t>66,2</w:t>
            </w:r>
          </w:p>
        </w:tc>
        <w:tc>
          <w:tcPr>
            <w:tcW w:type="dxa" w:w="2160"/>
          </w:tcPr>
          <w:p>
            <w:r>
              <w:t>15 %</w:t>
            </w:r>
          </w:p>
        </w:tc>
        <w:tc>
          <w:tcPr>
            <w:tcW w:type="dxa" w:w="2160"/>
          </w:tcPr>
          <w:p>
            <w:r>
              <w:t>9,9</w:t>
            </w:r>
          </w:p>
        </w:tc>
      </w:tr>
      <w:tr>
        <w:tc>
          <w:tcPr>
            <w:tcW w:type="dxa" w:w="2160"/>
          </w:tcPr>
          <w:p>
            <w:r>
              <w:t>Servicios</w:t>
            </w:r>
          </w:p>
        </w:tc>
        <w:tc>
          <w:tcPr>
            <w:tcW w:type="dxa" w:w="2160"/>
          </w:tcPr>
          <w:p>
            <w:r>
              <w:t>77,8</w:t>
            </w:r>
          </w:p>
        </w:tc>
        <w:tc>
          <w:tcPr>
            <w:tcW w:type="dxa" w:w="2160"/>
          </w:tcPr>
          <w:p>
            <w:r>
              <w:t>25 %</w:t>
            </w:r>
          </w:p>
        </w:tc>
        <w:tc>
          <w:tcPr>
            <w:tcW w:type="dxa" w:w="2160"/>
          </w:tcPr>
          <w:p>
            <w:r>
              <w:t>19,4</w:t>
            </w:r>
          </w:p>
        </w:tc>
      </w:tr>
      <w:tr>
        <w:tc>
          <w:tcPr>
            <w:tcW w:type="dxa" w:w="2160"/>
          </w:tcPr>
          <w:p>
            <w:r>
              <w:t>Accesibilidad</w:t>
            </w:r>
          </w:p>
        </w:tc>
        <w:tc>
          <w:tcPr>
            <w:tcW w:type="dxa" w:w="2160"/>
          </w:tcPr>
          <w:p>
            <w:r>
              <w:t>72,9</w:t>
            </w:r>
          </w:p>
        </w:tc>
        <w:tc>
          <w:tcPr>
            <w:tcW w:type="dxa" w:w="2160"/>
          </w:tcPr>
          <w:p>
            <w:r>
              <w:t>25 %</w:t>
            </w:r>
          </w:p>
        </w:tc>
        <w:tc>
          <w:tcPr>
            <w:tcW w:type="dxa" w:w="2160"/>
          </w:tcPr>
          <w:p>
            <w:r>
              <w:t>18,2</w:t>
            </w:r>
          </w:p>
        </w:tc>
      </w:tr>
      <w:tr>
        <w:tc>
          <w:tcPr>
            <w:tcW w:type="dxa" w:w="2160"/>
          </w:tcPr>
          <w:p>
            <w:r>
              <w:t>Empleo</w:t>
            </w:r>
          </w:p>
        </w:tc>
        <w:tc>
          <w:tcPr>
            <w:tcW w:type="dxa" w:w="2160"/>
          </w:tcPr>
          <w:p>
            <w:r>
              <w:t>59,6</w:t>
            </w:r>
          </w:p>
        </w:tc>
        <w:tc>
          <w:tcPr>
            <w:tcW w:type="dxa" w:w="2160"/>
          </w:tcPr>
          <w:p>
            <w:r>
              <w:t>15 %</w:t>
            </w:r>
          </w:p>
        </w:tc>
        <w:tc>
          <w:tcPr>
            <w:tcW w:type="dxa" w:w="2160"/>
          </w:tcPr>
          <w:p>
            <w:r>
              <w:t>8,9</w:t>
            </w:r>
          </w:p>
        </w:tc>
      </w:tr>
      <w:tr>
        <w:tc>
          <w:tcPr>
            <w:tcW w:type="dxa" w:w="2160"/>
          </w:tcPr>
          <w:p>
            <w:r>
              <w:rPr>
                <w:b/>
              </w:rPr>
              <w:t>ÍNDICE DE VITALIDAD</w:t>
            </w:r>
          </w:p>
        </w:tc>
        <w:tc>
          <w:tcPr>
            <w:tcW w:type="dxa" w:w="2160"/>
          </w:tcPr>
          <w:p/>
        </w:tc>
        <w:tc>
          <w:tcPr>
            <w:tcW w:type="dxa" w:w="2160"/>
          </w:tcPr>
          <w:p>
            <w:r>
              <w:rPr>
                <w:b/>
              </w:rPr>
              <w:t>100 %</w:t>
            </w:r>
          </w:p>
        </w:tc>
        <w:tc>
          <w:tcPr>
            <w:tcW w:type="dxa" w:w="2160"/>
          </w:tcPr>
          <w:p>
            <w:r>
              <w:rPr>
                <w:b/>
              </w:rPr>
              <w:t>66,9  (nº 1 de los 155)</w:t>
            </w:r>
          </w:p>
        </w:tc>
      </w:tr>
    </w:tbl>
    <w:p>
      <w:pPr>
        <w:pStyle w:val="Heading2"/>
      </w:pPr>
      <w:r>
        <w:t>Dos orígenes del mismo número</w:t>
      </w:r>
    </w:p>
    <w:p>
      <w:r>
        <w:t>El índice REAL se calcula con la fórmula anterior sobre los datos oficiales (figuras 01-05, corte 2023). El índice SIMULADO lo predicen los 5 modelos ONNX de M4 para un estado hipotético que no existe en el dataset («si este pueblo tuviera 400 vecinos más y 2 escuelas nuevas, ¿qué nota sacaría?» — figuras 10 y 11). Misma receta, dos orígenes: por eso la figura 05 comprueba que el modelo reproduce la fórmula.</w:t>
      </w:r>
    </w:p>
    <w:p>
      <w:pPr>
        <w:pStyle w:val="Heading2"/>
      </w:pPr>
      <w:r>
        <w:t>Dónde aparece en las figuras</w:t>
      </w:r>
    </w:p>
    <w:p>
      <w:r>
        <w:t>Es el resultado final del proyecto, y por eso está en casi todo: el color del mapa (01) ES el índice; los cinco mapas (02) son sus ingredientes; el mapa del factor limitante (03) muestra el ingrediente más flojo de cada pueblo; el ranking (04) ordena los pueblos por él y prueba que los ONNX lo reproducen; la dispersión (13) lo cruza con el precio de la vivienda; y el what-if (10-11) predice cómo cambia en escenarios hipotéticos. La figura 08, además, muestra en qué se fija cada RandomForest al puntuar cada ingrediente.</w:t>
      </w:r>
    </w:p>
    <w:p>
      <w:pPr>
        <w:pStyle w:val="Heading1"/>
      </w:pPr>
      <w:r>
        <w:t>Antes de empezar: dos mundos y un año</w:t>
      </w:r>
    </w:p>
    <w:p>
      <w:r>
        <w:t>Hay dos mundos en las figuras. El primero es la REALIDAD: los datos oficiales (INE, IEM, Catastro, CRTM) con la fórmula de percent-rank de la aplicación. El segundo es la PREDICCIÓN o SIMULACIÓN: lo que calculan los algoritmos M3 (demografía) y M4 (vitalidad).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Mundo</w:t>
            </w:r>
          </w:p>
        </w:tc>
        <w:tc>
          <w:tcPr>
            <w:tcW w:type="dxa" w:w="2880"/>
          </w:tcPr>
          <w:p>
            <w:r>
              <w:t>Figuras</w:t>
            </w:r>
          </w:p>
        </w:tc>
        <w:tc>
          <w:tcPr>
            <w:tcW w:type="dxa" w:w="2880"/>
          </w:tcPr>
          <w:p>
            <w:r>
              <w:t>Qué es</w:t>
            </w:r>
          </w:p>
        </w:tc>
      </w:tr>
      <w:tr>
        <w:tc>
          <w:tcPr>
            <w:tcW w:type="dxa" w:w="2880"/>
          </w:tcPr>
          <w:p>
            <w:r>
              <w:t>Realidad</w:t>
            </w:r>
          </w:p>
        </w:tc>
        <w:tc>
          <w:tcPr>
            <w:tcW w:type="dxa" w:w="2880"/>
          </w:tcPr>
          <w:p>
            <w:r>
              <w:t>01, 02, 03, 04, 05</w:t>
            </w:r>
          </w:p>
        </w:tc>
        <w:tc>
          <w:tcPr>
            <w:tcW w:type="dxa" w:w="2880"/>
          </w:tcPr>
          <w:p>
            <w:r>
              <w:t>Retrato del año 2023, el último con todos los indicadores completos</w:t>
            </w:r>
          </w:p>
        </w:tc>
      </w:tr>
      <w:tr>
        <w:tc>
          <w:tcPr>
            <w:tcW w:type="dxa" w:w="2880"/>
          </w:tcPr>
          <w:p>
            <w:r>
              <w:t>Predicción / simulación</w:t>
            </w:r>
          </w:p>
        </w:tc>
        <w:tc>
          <w:tcPr>
            <w:tcW w:type="dxa" w:w="2880"/>
          </w:tcPr>
          <w:p>
            <w:r>
              <w:t>06, 07, 10, 11</w:t>
            </w:r>
          </w:p>
        </w:tc>
        <w:tc>
          <w:tcPr>
            <w:tcW w:type="dxa" w:w="2880"/>
          </w:tcPr>
          <w:p>
            <w:r>
              <w:t>Población futura (M3) y estados hipotéticos (M4, base 2025)</w:t>
            </w:r>
          </w:p>
        </w:tc>
      </w:tr>
      <w:tr>
        <w:tc>
          <w:tcPr>
            <w:tcW w:type="dxa" w:w="2880"/>
          </w:tcPr>
          <w:p>
            <w:r>
              <w:t>Dato descriptivo (sin algoritmo)</w:t>
            </w:r>
          </w:p>
        </w:tc>
        <w:tc>
          <w:tcPr>
            <w:tcW w:type="dxa" w:w="2880"/>
          </w:tcPr>
          <w:p>
            <w:r>
              <w:t>12, 13</w:t>
            </w:r>
          </w:p>
        </w:tc>
        <w:tc>
          <w:tcPr>
            <w:tcW w:type="dxa" w:w="2880"/>
          </w:tcPr>
          <w:p>
            <w:r>
              <w:t>Capa de asequibilidad: valor catastral por vivienda, 2025</w:t>
            </w:r>
          </w:p>
        </w:tc>
      </w:tr>
      <w:tr>
        <w:tc>
          <w:tcPr>
            <w:tcW w:type="dxa" w:w="2880"/>
          </w:tcPr>
          <w:p>
            <w:r>
              <w:t>Tablas de referencia</w:t>
            </w:r>
          </w:p>
        </w:tc>
        <w:tc>
          <w:tcPr>
            <w:tcW w:type="dxa" w:w="2880"/>
          </w:tcPr>
          <w:p>
            <w:r>
              <w:t>14, 15, 16, 17</w:t>
            </w:r>
          </w:p>
        </w:tc>
        <w:tc>
          <w:tcPr>
            <w:tcW w:type="dxa" w:w="2880"/>
          </w:tcPr>
          <w:p>
            <w:r>
              <w:t>Diccionario de variables, correlaciones y calidad del dato (metadatos)</w:t>
            </w:r>
          </w:p>
        </w:tc>
      </w:tr>
    </w:tbl>
    <w:p/>
    <w:p>
      <w:r>
        <w:rPr>
          <w:b/>
        </w:rPr>
        <w:t xml:space="preserve">¿Por qué 2023 y no 2025? </w:t>
      </w:r>
      <w:r>
        <w:t>Porque el índice necesita 5 piezas de información y en 2024-2025 el dataset no tiene sanidad ni transporte (las fuentes oficiales los publican con retraso). Calcular el índice con 2025 haría que todos los pueblos parecieran «sin servicios» por hueco de dato, no por realidad. La población, la demografía y el paro sí llegan a 2025: por eso las predicciones de M3 parten de 2025 y el estado base del what-if usa población 2025 con los servicios del último año observado (2023).</w:t>
      </w:r>
    </w:p>
    <w:p>
      <w:pPr>
        <w:pStyle w:val="Heading1"/>
      </w:pPr>
      <w:r>
        <w:t>Las 11 figuras</w:t>
      </w:r>
    </w:p>
    <w:p>
      <w:pPr>
        <w:pStyle w:val="Heading2"/>
      </w:pPr>
      <w:r>
        <w:t>01 · Mapa de calor del índice de vitalidad (01_mapa_calor_indice.png)</w:t>
      </w:r>
    </w:p>
    <w:p>
      <w:r>
        <w:rPr>
          <w:b/>
        </w:rPr>
        <w:t xml:space="preserve">Qué es: </w:t>
      </w:r>
      <w:r>
        <w:rPr>
          <w:b w:val="0"/>
        </w:rPr>
        <w:t>Los 155 pueblos en su coordenada geográfica real, coloreados por su índice de vitalidad REAL de 2023 (no es predicción: es la fórmula de la app aplicada a los datos oficiales). Tamaño del círculo = población; estrella = Madrid.</w:t>
      </w:r>
    </w:p>
    <w:p>
      <w:r>
        <w:rPr>
          <w:b/>
        </w:rPr>
        <w:t xml:space="preserve">Resultado con los datos reales: </w:t>
      </w:r>
      <w:r>
        <w:rPr>
          <w:b w:val="0"/>
        </w:rPr>
        <w:t>Mejor Ribatejada (66,9), peor San Martín de Valdeiglesias (32,5). Verde en Sierra Norte y el este; naranja/rojo en el suroeste y sur. Matiz clave: los pueblos pequeños tienden a verde porque todo se mide per cápita.</w:t>
      </w:r>
    </w:p>
    <w:p>
      <w:pPr>
        <w:pStyle w:val="Heading2"/>
      </w:pPr>
      <w:r>
        <w:t>02 · Los 5 mapas de dimensiones (02_mapas_5_dimensiones.png)</w:t>
      </w:r>
    </w:p>
    <w:p>
      <w:r>
        <w:rPr>
          <w:b/>
        </w:rPr>
        <w:t xml:space="preserve">Qué es: </w:t>
      </w:r>
      <w:r>
        <w:rPr>
          <w:b w:val="0"/>
        </w:rPr>
        <w:t>El mismo mapa despiezado en las 5 dimensiones reales de 2023. Cada color es una «nota de posición» frente a los otros 154 pueblos (0-100 = percentil). Vivienda = CANTIDAD, no precio: verde donde hay más viviendas por habitante, rojo donde hay mucha población con poco stock por persona.</w:t>
      </w:r>
    </w:p>
    <w:p>
      <w:r>
        <w:rPr>
          <w:b/>
        </w:rPr>
        <w:t xml:space="preserve">Resultado con los datos reales: </w:t>
      </w:r>
      <w:r>
        <w:rPr>
          <w:b w:val="0"/>
        </w:rPr>
        <w:t>Vivienda: anillo rojo alrededor de Madrid (Ciempozuelos ≈ 12, Valdeolmos ≈ 18); verde en la Sierra Norte. Servicios = densidad de servicios por habitante (rojo Ciempozuelos por su tamaño, verde La Acebeda por su ratio). Accesibilidad castiga el norte; Demografía enrojece la sierra envejecida; Empleo, el sur y sureste.</w:t>
      </w:r>
    </w:p>
    <w:p>
      <w:pPr>
        <w:pStyle w:val="Heading2"/>
      </w:pPr>
      <w:r>
        <w:t>03 · Factor limitante: «¿qué se rompe primero?» (03_mapa_factor_limitante.png)</w:t>
      </w:r>
    </w:p>
    <w:p>
      <w:r>
        <w:rPr>
          <w:b/>
        </w:rPr>
        <w:t xml:space="preserve">Qué es: </w:t>
      </w:r>
      <w:r>
        <w:rPr>
          <w:b w:val="0"/>
        </w:rPr>
        <w:t>Mapa real de 2023 donde cada pueblo se pinta con su dimensión MÁS BAJA (el argmin, la misma regla SQL que usa la app). Es un mapa de diagnóstico: dónde invertir primero.</w:t>
      </w:r>
    </w:p>
    <w:p>
      <w:r>
        <w:rPr>
          <w:b/>
        </w:rPr>
        <w:t xml:space="preserve">Resultado con los datos reales: </w:t>
      </w:r>
      <w:r>
        <w:rPr>
          <w:b w:val="0"/>
        </w:rPr>
        <w:t>Vivienda limita a 51 pueblos (el cinturón interior), Empleo a 37, Demografía a 36 (Sierra Norte), Accesibilidad a 16 y Servicios a 15.</w:t>
      </w:r>
    </w:p>
    <w:p>
      <w:pPr>
        <w:pStyle w:val="Heading2"/>
      </w:pPr>
      <w:r>
        <w:t>04 · ¿Qué municipio es mejor? (04_ranking_top_bottom.png)</w:t>
      </w:r>
    </w:p>
    <w:p>
      <w:r>
        <w:rPr>
          <w:b/>
        </w:rPr>
        <w:t xml:space="preserve">Qué es: </w:t>
      </w:r>
      <w:r>
        <w:rPr>
          <w:b w:val="0"/>
        </w:rPr>
        <w:t>Top 10 y Bottom 10 del ranking REAL de 2023 («índices más bajos 2023» = los 10 peores de ese retrato real). Cada barra descompone el pueblo en sus 5 dimensiones apiladas; el texto da el índice real y, entre paréntesis, el que predicen los ONNX.</w:t>
      </w:r>
    </w:p>
    <w:p>
      <w:r>
        <w:rPr>
          <w:b/>
        </w:rPr>
        <w:t xml:space="preserve">Resultado con los datos reales: </w:t>
      </w:r>
      <w:r>
        <w:rPr>
          <w:b w:val="0"/>
        </w:rPr>
        <w:t>Ribatejada 66,9 (onnx 65,1): equilibrado, sin punto flaco. Valdeolmos-Alalpardo: Demografía ~83 y Vivienda ~18, brillante con un lastre. San Martín de Valdeiglesias 32,5, con Accesibilidad ~13. Spearman real vs predicho = 0,978: el modelo reproduce el ranking.</w:t>
      </w:r>
    </w:p>
    <w:p>
      <w:pPr>
        <w:pStyle w:val="Heading2"/>
      </w:pPr>
      <w:r>
        <w:t>05 · La prueba: ¿es fiable el modelo? (05_validacion_pred_vs_real.png)</w:t>
      </w:r>
    </w:p>
    <w:p>
      <w:r>
        <w:rPr>
          <w:b/>
        </w:rPr>
        <w:t xml:space="preserve">Qué es: </w:t>
      </w:r>
      <w:r>
        <w:rPr>
          <w:b w:val="0"/>
        </w:rPr>
        <w:t>Compara, punto por punto y pueblo por pueblo, la dimensión REAL (fórmula del dataset, que es «la verdad» por definición porque es lo que ejecuta la app en SQL) contra lo que PREDICEN los 5 ONNX de Oracle. Valida el modelo, no la fórmula.</w:t>
      </w:r>
    </w:p>
    <w:p>
      <w:r>
        <w:rPr>
          <w:b/>
        </w:rPr>
        <w:t xml:space="preserve">Resultado con los datos reales: </w:t>
      </w:r>
      <w:r>
        <w:rPr>
          <w:b w:val="0"/>
        </w:rPr>
        <w:t>Accesibilidad casi perfecta (Spearman 0,999, MAE 0,5); Vivienda 0,999; Empleo el punto débil honesto (0,966, MAE 4,8, con sobre-predicción en los peores). Por esto se puede confiar en el «después» simulado de la app.</w:t>
      </w:r>
    </w:p>
    <w:p>
      <w:pPr>
        <w:pStyle w:val="Heading2"/>
      </w:pPr>
      <w:r>
        <w:t>06 · Trayectorias de población (M3) (06_trayectorias_m3.png)</w:t>
      </w:r>
    </w:p>
    <w:p>
      <w:r>
        <w:rPr>
          <w:b/>
        </w:rPr>
        <w:t xml:space="preserve">Qué es: </w:t>
      </w:r>
      <w:r>
        <w:rPr>
          <w:b w:val="0"/>
        </w:rPr>
        <w:t>Línea azul = población REAL 2010-2025 (INE). Línea roja discontinua = PREDICCIÓN de M3 para 2026-2035. Zona sombreada desde 2030 = extrapolación (el modelo se entrenó con horizontes de hasta 5 años; por eso las rojas se aplanan). Solo pueblos con transporte registrado (56), los únicos con los que M3 se entrenó.</w:t>
      </w:r>
    </w:p>
    <w:p>
      <w:r>
        <w:rPr>
          <w:b/>
        </w:rPr>
        <w:t xml:space="preserve">Resultado con los datos reales: </w:t>
      </w:r>
      <w:r>
        <w:rPr>
          <w:b w:val="0"/>
        </w:rPr>
        <w:t>Arroyomolinos pasó de ~16.000 a ~38.000 habitantes y M3 prevé enfriamiento (+1,15 %/año, ~42.500 en 2035). San Fernando de Henares: declive real 2011-25 (41.400 → 39.100) y leve recuperación prevista (+0,20 %/año). El modelo detecta el fondo de la caída.</w:t>
      </w:r>
    </w:p>
    <w:p>
      <w:pPr>
        <w:pStyle w:val="Heading2"/>
      </w:pPr>
      <w:r>
        <w:t>07 · Mapa del crecimiento previsto (M3) (07_mapa_crecimiento_m3.png)</w:t>
      </w:r>
    </w:p>
    <w:p>
      <w:r>
        <w:rPr>
          <w:b/>
        </w:rPr>
        <w:t xml:space="preserve">Qué es: </w:t>
      </w:r>
      <w:r>
        <w:rPr>
          <w:b w:val="0"/>
        </w:rPr>
        <w:t>PREDICCIÓN del % de cambio de población a 5 años (2030) y a 10 (2035) para los 56 pueblos con transporte. Rojo = gana gente, azul = pierde.</w:t>
      </w:r>
    </w:p>
    <w:p>
      <w:r>
        <w:rPr>
          <w:b/>
        </w:rPr>
        <w:t xml:space="preserve">Resultado con los datos reales: </w:t>
      </w:r>
      <w:r>
        <w:rPr>
          <w:b w:val="0"/>
        </w:rPr>
        <w:t>Los dos paneles son casi idénticos porque el modelo predice CONTINUIDAD (el que crece, sigue creciendo; no prevé vuelcos): solo cambian los % acumulados. No hay azul porque entre esos 56 nadie decrece según M3: los que sí pierden población (Rascafría, Somosierra, La Acebeda…) no tienen transporte y están fuera del alcance declarado del modelo. Los rojos más intensos (+15-16 %) caen en el suroeste.</w:t>
      </w:r>
    </w:p>
    <w:p>
      <w:pPr>
        <w:pStyle w:val="Heading2"/>
      </w:pPr>
      <w:r>
        <w:t>09 · Curvas de dependencia parcial (09_dependencia_parcial.png)</w:t>
      </w:r>
    </w:p>
    <w:p>
      <w:r>
        <w:rPr>
          <w:b/>
        </w:rPr>
        <w:t xml:space="preserve">Qué es: </w:t>
      </w:r>
      <w:r>
        <w:rPr>
          <w:b w:val="0"/>
        </w:rPr>
        <w:t>Cómo responde el modelo cuando se mueve una variable de mínimo a máximo con todo lo demás fijo: el «razonamiento» aprendido del dataset. Sube = ayuda; se aplana = saturación.</w:t>
      </w:r>
    </w:p>
    <w:p>
      <w:r>
        <w:rPr>
          <w:b/>
        </w:rPr>
        <w:t xml:space="preserve">Resultado con los datos reales: </w:t>
      </w:r>
      <w:r>
        <w:rPr>
          <w:b w:val="0"/>
        </w:rPr>
        <w:t>La salud satura a ~15 centros/10k hab (los primeros valen oro, después nada). El tiempo a Madrid desploma la Accesibilidad entre los 30-50 minutos (~69 → ~40). Las viviendas por 1.000 hab saturan alrededor de 1.500. El paro erosiona el Empleo de forma continua (~72 con 3 % de paro → ~38 con 12,5 %).</w:t>
      </w:r>
    </w:p>
    <w:p>
      <w:pPr>
        <w:pStyle w:val="Heading2"/>
      </w:pPr>
      <w:r>
        <w:t>10 · What-If: el corazón de la app (10_whatif_antes_despues.png)</w:t>
      </w:r>
    </w:p>
    <w:p>
      <w:r>
        <w:rPr>
          <w:b/>
        </w:rPr>
        <w:t xml:space="preserve">Qué es: </w:t>
      </w:r>
      <w:r>
        <w:rPr>
          <w:b w:val="0"/>
        </w:rPr>
        <w:t>La simulación de APEX reproducida con los mismos ONNX. Choque idéntico en 3 pueblos: +400 hab, +1 centro de salud, +2 escuelas, +6 paradas sobre el estado base 2025 (población 2025 real + servicios del último año observado). Gris = antes, color = después.</w:t>
      </w:r>
    </w:p>
    <w:p>
      <w:r>
        <w:rPr>
          <w:b/>
        </w:rPr>
        <w:t xml:space="preserve">Resultado con los datos reales: </w:t>
      </w:r>
      <w:r>
        <w:rPr>
          <w:b w:val="0"/>
        </w:rPr>
        <w:t>Ciempozuelos (26.350 hab): +0,5, apenas se nota. Ribatejada (905 hab): −5,3, la Vivienda se desploma −30,9 al meter un 44 % más de gente sin construir vivienda, y el limitante cambia de Demografía a Empleo. Arroyomolinos: +1,2. Mismo regalo, tres destinos: el modelo castiga la dilución.</w:t>
      </w:r>
    </w:p>
    <w:p>
      <w:pPr>
        <w:pStyle w:val="Heading2"/>
      </w:pPr>
      <w:r>
        <w:t>11 · El algoritmo castiga la saturación (11_rendimientos_decrecientes.png)</w:t>
      </w:r>
    </w:p>
    <w:p>
      <w:r>
        <w:rPr>
          <w:b/>
        </w:rPr>
        <w:t xml:space="preserve">Qué es: </w:t>
      </w:r>
      <w:r>
        <w:rPr>
          <w:b w:val="0"/>
        </w:rPr>
        <w:t>El índice de vitalidad SIMULADO (M4) = el mismo índice 0-100 del mapa 01, pero calculado por los modelos sobre estados HIPOTÉTICOS: «pueblo 2025 + N vecinos añadidos, con o sin servicios nuevos». Cada punto es una simulación completa, efímera como en la app. (Ribatejada arranca en 57,4 y no en 66,9 porque es su estado 2025, no la foto de la cohorte 2023.)</w:t>
      </w:r>
    </w:p>
    <w:p>
      <w:r>
        <w:rPr>
          <w:b/>
        </w:rPr>
        <w:t xml:space="preserve">Resultado con los datos reales: </w:t>
      </w:r>
      <w:r>
        <w:rPr>
          <w:b w:val="0"/>
        </w:rPr>
        <w:t>La curva roja (solo población, servicios congelados) BAJA desde +0 habitantes en los dos pueblos: Ribatejada cae de 57,4 a ~39,8; la verde (con inversión proporcional: +1 escuela/500 hab, +1 centro sanitario/1.500, +3 paradas/500) amortigua la caída hasta ~46,7. Mensaje aprendido de los datos: crecer sin planear empobrece la vitalidad desde el primer vecino.</w:t>
      </w:r>
    </w:p>
    <w:p>
      <w:pPr>
        <w:pStyle w:val="Heading1"/>
      </w:pPr>
      <w:r>
        <w:t>Capa de asequibilidad: el valor catastral (figuras 12-13)</w:t>
      </w:r>
    </w:p>
    <w:p>
      <w:r>
        <w:t>Las figuras 01-11 miden CAPACIDAD de acogida: la dimensión Vivienda del índice cuenta viviendas por habitante, no lo que cuestan. Las figuras 12-13 añaden la capa de COSTE usando el valor catastral residencial (la única métrica de precio del dataset; columna completa para los 155 municipios en todos los años 2010-2025, por lo que el corte legítimo es 2025). Son capas complementarias, no contradictorias: el índice dice dónde hay sitio y vida; el catastro dice cuánto cuesta ese sitio. La lectura «calidad-precio» surge al cruzarlas en la figura 13. Nota honesta: el valor catastral es un dato administrativo, no es precio de mercado ni una predicción; y el stock per cápita del norte incluye segundas residencias, lo que infla su dimensión Vivienda (ej. La Acebeda: 170 viviendas para 70 vecinos).</w:t>
      </w:r>
    </w:p>
    <w:p>
      <w:pPr>
        <w:pStyle w:val="Heading2"/>
      </w:pPr>
      <w:r>
        <w:t>12 · Mapa y ranking del valor catastral por vivienda (12_mapa_y_ranking_valor_catastral.png)</w:t>
      </w:r>
    </w:p>
    <w:p>
      <w:r>
        <w:rPr>
          <w:b/>
        </w:rPr>
        <w:t xml:space="preserve">Qué es: </w:t>
      </w:r>
      <w:r>
        <w:rPr>
          <w:b w:val="0"/>
        </w:rPr>
        <w:t>Mapa geográfico del valor catastral medio por vivienda en 2025 (verde = barato, rojo = caro; escala recortada al p5-p95 para que los extremos no aplasten la escala; tamaño = población) junto al ranking Top 10 / Bottom 10 con la mediana regional (78.000 EUR) como línea de referencia.</w:t>
      </w:r>
    </w:p>
    <w:p>
      <w:r>
        <w:rPr>
          <w:b/>
        </w:rPr>
        <w:t xml:space="preserve">Resultado con los datos reales: </w:t>
      </w:r>
      <w:r>
        <w:rPr>
          <w:b w:val="0"/>
        </w:rPr>
        <w:t>Los más caros son el corredor oeste rico: Villaviciosa de Odón (191.000 EUR), Torrelodones (183.000), Villanueva de la Cañada (173.000), Paracuellos (147.000), Griñón (144.000). Los más baratos, la sierra y el este rural: Santa María de la Alameda (36.000), Brea de Tajo (43.000), Madarcos (44.000), Cervera de Buitrago (44.000), Carabaña (45.000). Matiz honesto: algunos pueblos pequeños de sierra salen «caros» (Rascafría, 101.000) por segundas residencias y vivienda renovada, no por presión de mercado.</w:t>
      </w:r>
    </w:p>
    <w:p>
      <w:pPr>
        <w:pStyle w:val="Heading2"/>
      </w:pPr>
      <w:r>
        <w:t>13 · Asequibilidad vs vitalidad: ¿dónde se puede vivir barato y con vida? (13_asequibilidad_vs_vitalidad.png)</w:t>
      </w:r>
    </w:p>
    <w:p>
      <w:r>
        <w:rPr>
          <w:b/>
        </w:rPr>
        <w:t xml:space="preserve">Qué es: </w:t>
      </w:r>
      <w:r>
        <w:rPr>
          <w:b w:val="0"/>
        </w:rPr>
        <w:t>Dispersión: eje X = valor catastral medio por vivienda 2025; eje Y = índice de vitalidad real 2023. Las medianas de cada eje (78.000 EUR y 50,1) dividen el plano en 4 cuadrantes: barato y vivo (41 pueblos), barato y apagado (37), caro y vivo (36) y caro y apagado (41). Tamaño = población; etiquetados los municipios showcase y los extremos.</w:t>
      </w:r>
    </w:p>
    <w:p>
      <w:r>
        <w:rPr>
          <w:b/>
        </w:rPr>
        <w:t xml:space="preserve">Resultado con los datos reales: </w:t>
      </w:r>
      <w:r>
        <w:rPr>
          <w:b w:val="0"/>
        </w:rPr>
        <w:t>La «zona dorada» (barato y vivo) la lidera la Sierra Norte: Horcajo de la Sierra-Aoslos (índice 62,8 con viviendas a 49.000 EUR), Gascones (61,9 / 63.000), Villavieja del Lozoya (59,8 / 61.000), Piñuécar-Gandullas (59,5 / 53.000) y El Vellón (58,4 / 69.000). El cuadrante «caro y vivo» concentra el oeste metropolitano (Villaviciosa de Odón, Villalbilla): la vitalidad se paga. El «caro y apagado» (41 pueblos) es el doble problema: gran parte del cinturón grande del sur y sureste. Es la respuesta visual a «¿dónde está la mejor vivienda calidad-precio con vida alrededor?»</w:t>
      </w:r>
    </w:p>
    <w:p>
      <w:pPr>
        <w:pStyle w:val="Heading1"/>
      </w:pPr>
      <w:r>
        <w:t>Las tablas del dataset (14-17)</w:t>
      </w:r>
    </w:p>
    <w:p>
      <w:r>
        <w:t>Cuatro tablas de referencia y calidad de dato, sin algoritmos: qué variables existen y a qué bloque pertenecen, cómo se relacionan entre sí, y qué nulos y transformaciones tiene cada una. Son el «contrato» del dataset ante el jurado.</w:t>
      </w:r>
    </w:p>
    <w:p>
      <w:pPr>
        <w:pStyle w:val="Heading2"/>
      </w:pPr>
      <w:r>
        <w:t>14 · Inventario de variables del Panel (14_inventario_variables_panel.png)</w:t>
      </w:r>
    </w:p>
    <w:p>
      <w:r>
        <w:rPr>
          <w:b/>
        </w:rPr>
        <w:t xml:space="preserve">Qué es: </w:t>
      </w:r>
      <w:r>
        <w:rPr>
          <w:b w:val="0"/>
        </w:rPr>
        <w:t>Las 28 variables del panel municipio-año (2.480 filas, 2010-2025) agrupadas en 7 bloques de color (Demografía, Sanidad, Educación, Vivienda, Transporte y conectividad, Empleo, Territorio y ambiente), con descripción, unidad, fuente oficial, años disponibles reales y la columna «¿Dónde se usa?», que marca si la variable alimenta M3, M4, el índice SQL o es solo contexto.</w:t>
      </w:r>
    </w:p>
    <w:p>
      <w:r>
        <w:rPr>
          <w:b/>
        </w:rPr>
        <w:t xml:space="preserve">Resultado: </w:t>
      </w:r>
      <w:r>
        <w:rPr>
          <w:b w:val="0"/>
        </w:rPr>
        <w:t>16 variables son de demografía; solo un puñado alimenta los modelos (población, edad media, reemplazamiento, % menores y %65+, paro, sanidad, transporte, telefonía, vivienda y distancia). Los «años disponibles» evidencian los huecos de fuente: telefonía 2012-25, sanidad 2010-13 y 2015-24, transporte 2010-23, migración 2010-21.</w:t>
      </w:r>
    </w:p>
    <w:p>
      <w:pPr>
        <w:pStyle w:val="Heading2"/>
      </w:pPr>
      <w:r>
        <w:t>15 · Inventario de variables estáticas de Municipios (15_inventario_variables_municipios.png)</w:t>
      </w:r>
    </w:p>
    <w:p>
      <w:r>
        <w:rPr>
          <w:b/>
        </w:rPr>
        <w:t xml:space="preserve">Qué es: </w:t>
      </w:r>
      <w:r>
        <w:rPr>
          <w:b w:val="0"/>
        </w:rPr>
        <w:t>Las 27 variables de la hoja Municipios (una fila por pueblo): geografía (IGN), accesibilidad por modo (CRTM: paradas, líneas, viajes y minutos a Madrid en interurbano, cercanías, metro y metro ligero), escuelas en funcionamiento (CM) y estaciones de calidad del aire.</w:t>
      </w:r>
    </w:p>
    <w:p>
      <w:r>
        <w:rPr>
          <w:b/>
        </w:rPr>
        <w:t xml:space="preserve">Resultado: </w:t>
      </w:r>
      <w:r>
        <w:rPr>
          <w:b w:val="0"/>
        </w:rPr>
        <w:t>20 de las 27 son de transporte. tiempo_centro_min y distancia_centro_km entran en M3, M4 y el índice; las coordenadas alimentan todos los mapas; el resto es contexto o insumo del cálculo del tiempo al centro.</w:t>
      </w:r>
    </w:p>
    <w:p>
      <w:pPr>
        <w:pStyle w:val="Heading2"/>
      </w:pPr>
      <w:r>
        <w:t>16 · Matriz de correlación Spearman (16_matriz_correlacion.png)</w:t>
      </w:r>
    </w:p>
    <w:p>
      <w:r>
        <w:rPr>
          <w:b/>
        </w:rPr>
        <w:t xml:space="preserve">Qué es: </w:t>
      </w:r>
      <w:r>
        <w:rPr>
          <w:b w:val="0"/>
        </w:rPr>
        <w:t>Heatmap 18×18 de correlaciones Spearman entre variables clave (las 14 features de M4 en crudo + edad media, EUR/vivienda catastral, densidad y área), calculadas en el corte transversal 2023 (n=155, la última cohorte completa) y NO sobre el panel apilado, para no mezclar la evolución temporal de cada pueblo con las diferencias entre pueblos. Variables ordenadas por bloque, con separadores, y top 10 de pares con mayor |ρ|.</w:t>
      </w:r>
    </w:p>
    <w:p>
      <w:r>
        <w:rPr>
          <w:b/>
        </w:rPr>
        <w:t xml:space="preserve">Resultado: </w:t>
      </w:r>
      <w:r>
        <w:rPr>
          <w:b w:val="0"/>
        </w:rPr>
        <w:t>Las relaciones más fuertes: %65+ ↔ edad media (+0,97), %menores ↔ edad media (−0,92), log_población ↔ salud_10k (−0,99: los ratios per cápita se diluyen en los pueblos grandes — la «paradoja de la escala» cuantificada), viv_1000 ↔ distancia (−0,92), edad media ↔ viv_1000 (+0,85). Las escuelas casi no correlacionan con nada (0,0-0,1): su distribución es idiosincrásica.</w:t>
      </w:r>
    </w:p>
    <w:p>
      <w:pPr>
        <w:pStyle w:val="Heading2"/>
      </w:pPr>
      <w:r>
        <w:t>17 · Control de nulos y normalización (17_calidad_y_normalizacion.png)</w:t>
      </w:r>
    </w:p>
    <w:p>
      <w:r>
        <w:rPr>
          <w:b/>
        </w:rPr>
        <w:t xml:space="preserve">Qué es: </w:t>
      </w:r>
      <w:r>
        <w:rPr>
          <w:b w:val="0"/>
        </w:rPr>
        <w:t>Las 55 variables del dataset con sus nulos exactos, % completo, años con hueco, rango 2025 (min · mediana · max) y la transformación que aplica el pipeline: per cápita, log, percent-rank como targets, o imputación lineal del tiempo al centro en 99 pueblos.</w:t>
      </w:r>
    </w:p>
    <w:p>
      <w:r>
        <w:rPr>
          <w:b/>
        </w:rPr>
        <w:t xml:space="preserve">Resultado: </w:t>
      </w:r>
      <w:r>
        <w:rPr>
          <w:b w:val="0"/>
        </w:rPr>
        <w:t>En el corte 2023 solo las 3 columnas de migración tienen nulos (hueco 2022-25): la cohorte está completa. Los huecos declarados (telefonía 2010-11, sanidad 2014 y 2025, transporte 2024-25) son justamente los que justifican que el retrato del índice sea 2023.</w:t>
      </w:r>
    </w:p>
    <w:p>
      <w:pPr>
        <w:pStyle w:val="Heading2"/>
      </w:pPr>
      <w:r>
        <w:t>08 · ¿En qué se fija cada RandomForest? (08_importancia_features.png)</w:t>
      </w:r>
    </w:p>
    <w:p>
      <w:r>
        <w:rPr>
          <w:b/>
        </w:rPr>
        <w:t xml:space="preserve">Qué es: </w:t>
      </w:r>
      <w:r>
        <w:rPr>
          <w:b w:val="0"/>
        </w:rPr>
        <w:t>Las importancias que cada modelo M4 dio a las 14 variables, más un panel con los pesos fijos del índice (SQL). Modelos re-entrenados localmente con los parámetros y semilla de la ficha (2026) y verificados contra los ONNX reales.</w:t>
      </w:r>
    </w:p>
    <w:p>
      <w:r>
        <w:rPr>
          <w:b/>
        </w:rPr>
        <w:t xml:space="preserve">Resultado: </w:t>
      </w:r>
      <w:r>
        <w:rPr>
          <w:b w:val="0"/>
        </w:rPr>
        <w:t>Cada dimensión es dominada por la(s) variable(s) que la definen: el modelo aprendió exactamente la receta. Vivienda → viv_1000 (~1,0). Demografía → pct_menor_15 (0,57) + pct_65mas + crec_10y_pct + reemplazamiento. Servicios → salud_10k (0,68) y luego paradas, escuelas, telefonía. Accesibilidad → tiempo_centro_min (0,65) + paradas + distancia. Empleo → paro_100 (0,41) + var_paro (0,30).</w:t>
      </w:r>
    </w:p>
    <w:p>
      <w:pPr>
        <w:pStyle w:val="Heading2"/>
      </w:pPr>
      <w:r>
        <w:t>Leyenda de las 14 variables de M4</w:t>
      </w:r>
    </w:p>
    <w:p>
      <w:r>
        <w:t>Qué es cada dato y de dónde sale (todas las fuentes son oficiales y están en la hoja Fuentes del dataset):</w:t>
      </w:r>
    </w:p>
    <w:tbl>
      <w:tblPr>
        <w:tblStyle w:val="LightGrid-Accent1"/>
        <w:tblW w:type="auto" w:w="0"/>
        <w:tblLook w:firstColumn="1" w:firstRow="1" w:lastColumn="0" w:lastRow="0" w:noHBand="0" w:noVBand="1" w:val="04A0"/>
      </w:tblPr>
      <w:tblGrid>
        <w:gridCol w:w="4320"/>
        <w:gridCol w:w="4320"/>
      </w:tblGrid>
      <w:tr>
        <w:tc>
          <w:tcPr>
            <w:tcW w:type="dxa" w:w="4320"/>
          </w:tcPr>
          <w:p>
            <w:r>
              <w:t>Variable</w:t>
            </w:r>
          </w:p>
        </w:tc>
        <w:tc>
          <w:tcPr>
            <w:tcW w:type="dxa" w:w="4320"/>
          </w:tcPr>
          <w:p>
            <w:r>
              <w:t>Qué es (fuente)</w:t>
            </w:r>
          </w:p>
        </w:tc>
      </w:tr>
      <w:tr>
        <w:tc>
          <w:tcPr>
            <w:tcW w:type="dxa" w:w="4320"/>
          </w:tcPr>
          <w:p>
            <w:r>
              <w:rPr>
                <w:rFonts w:ascii="Consolas" w:hAnsi="Consolas"/>
              </w:rPr>
              <w:t>log_pob</w:t>
            </w:r>
          </w:p>
        </w:tc>
        <w:tc>
          <w:tcPr>
            <w:tcW w:type="dxa" w:w="4320"/>
          </w:tcPr>
          <w:p>
            <w:r>
              <w:t>Tamaño del pueblo: logaritmo de la población total (INE).</w:t>
            </w:r>
          </w:p>
        </w:tc>
      </w:tr>
      <w:tr>
        <w:tc>
          <w:tcPr>
            <w:tcW w:type="dxa" w:w="4320"/>
          </w:tcPr>
          <w:p>
            <w:r>
              <w:rPr>
                <w:rFonts w:ascii="Consolas" w:hAnsi="Consolas"/>
              </w:rPr>
              <w:t>salud_10k</w:t>
            </w:r>
          </w:p>
        </w:tc>
        <w:tc>
          <w:tcPr>
            <w:tcW w:type="dxa" w:w="4320"/>
          </w:tcPr>
          <w:p>
            <w:r>
              <w:t>Centros de salud + consultorios locales por 10.000 habitantes (IEM, recursos sanitarios por tipo).</w:t>
            </w:r>
          </w:p>
        </w:tc>
      </w:tr>
      <w:tr>
        <w:tc>
          <w:tcPr>
            <w:tcW w:type="dxa" w:w="4320"/>
          </w:tcPr>
          <w:p>
            <w:r>
              <w:rPr>
                <w:rFonts w:ascii="Consolas" w:hAnsi="Consolas"/>
              </w:rPr>
              <w:t>escuelas_1000</w:t>
            </w:r>
          </w:p>
        </w:tc>
        <w:tc>
          <w:tcPr>
            <w:tcW w:type="dxa" w:w="4320"/>
          </w:tcPr>
          <w:p>
            <w:r>
              <w:t>Centros educativos en funcionamiento (estado ALTA del directorio de la Comunidad de Madrid) por 1.000 hab.</w:t>
            </w:r>
          </w:p>
        </w:tc>
      </w:tr>
      <w:tr>
        <w:tc>
          <w:tcPr>
            <w:tcW w:type="dxa" w:w="4320"/>
          </w:tcPr>
          <w:p>
            <w:r>
              <w:rPr>
                <w:rFonts w:ascii="Consolas" w:hAnsi="Consolas"/>
              </w:rPr>
              <w:t>paradas_1000</w:t>
            </w:r>
          </w:p>
        </w:tc>
        <w:tc>
          <w:tcPr>
            <w:tcW w:type="dxa" w:w="4320"/>
          </w:tcPr>
          <w:p>
            <w:r>
              <w:t>Paradas de autobús + metro + cercanías por 1.000 hab (IEM, infraestructura de transporte público).</w:t>
            </w:r>
          </w:p>
        </w:tc>
      </w:tr>
      <w:tr>
        <w:tc>
          <w:tcPr>
            <w:tcW w:type="dxa" w:w="4320"/>
          </w:tcPr>
          <w:p>
            <w:r>
              <w:rPr>
                <w:rFonts w:ascii="Consolas" w:hAnsi="Consolas"/>
              </w:rPr>
              <w:t>telefono_1000</w:t>
            </w:r>
          </w:p>
        </w:tc>
        <w:tc>
          <w:tcPr>
            <w:tcW w:type="dxa" w:w="4320"/>
          </w:tcPr>
          <w:p>
            <w:r>
              <w:t>Líneas telefónicas BAF/ATF por 1.000 hab (IEM, indicador de conectividad).</w:t>
            </w:r>
          </w:p>
        </w:tc>
      </w:tr>
      <w:tr>
        <w:tc>
          <w:tcPr>
            <w:tcW w:type="dxa" w:w="4320"/>
          </w:tcPr>
          <w:p>
            <w:r>
              <w:rPr>
                <w:rFonts w:ascii="Consolas" w:hAnsi="Consolas"/>
              </w:rPr>
              <w:t>viv_1000</w:t>
            </w:r>
          </w:p>
        </w:tc>
        <w:tc>
          <w:tcPr>
            <w:tcW w:type="dxa" w:w="4320"/>
          </w:tcPr>
          <w:p>
            <w:r>
              <w:t>Unidades urbanas de uso residencial del Catastro (CM) por 1.000 hab: el stock de vivienda.</w:t>
            </w:r>
          </w:p>
        </w:tc>
      </w:tr>
      <w:tr>
        <w:tc>
          <w:tcPr>
            <w:tcW w:type="dxa" w:w="4320"/>
          </w:tcPr>
          <w:p>
            <w:r>
              <w:rPr>
                <w:rFonts w:ascii="Consolas" w:hAnsi="Consolas"/>
              </w:rPr>
              <w:t>crec_10y_pct</w:t>
            </w:r>
          </w:p>
        </w:tc>
        <w:tc>
          <w:tcPr>
            <w:tcW w:type="dxa" w:w="4320"/>
          </w:tcPr>
          <w:p>
            <w:r>
              <w:t>Crecimiento medio anual de la población en unos 10 años (CAGR).</w:t>
            </w:r>
          </w:p>
        </w:tc>
      </w:tr>
      <w:tr>
        <w:tc>
          <w:tcPr>
            <w:tcW w:type="dxa" w:w="4320"/>
          </w:tcPr>
          <w:p>
            <w:r>
              <w:rPr>
                <w:rFonts w:ascii="Consolas" w:hAnsi="Consolas"/>
              </w:rPr>
              <w:t>pct_menor_15</w:t>
            </w:r>
          </w:p>
        </w:tc>
        <w:tc>
          <w:tcPr>
            <w:tcW w:type="dxa" w:w="4320"/>
          </w:tcPr>
          <w:p>
            <w:r>
              <w:t>Porcentaje de población menor de 15 años.</w:t>
            </w:r>
          </w:p>
        </w:tc>
      </w:tr>
      <w:tr>
        <w:tc>
          <w:tcPr>
            <w:tcW w:type="dxa" w:w="4320"/>
          </w:tcPr>
          <w:p>
            <w:r>
              <w:rPr>
                <w:rFonts w:ascii="Consolas" w:hAnsi="Consolas"/>
              </w:rPr>
              <w:t>pct_65mas</w:t>
            </w:r>
          </w:p>
        </w:tc>
        <w:tc>
          <w:tcPr>
            <w:tcW w:type="dxa" w:w="4320"/>
          </w:tcPr>
          <w:p>
            <w:r>
              <w:t>Porcentaje de población de 65 años o más.</w:t>
            </w:r>
          </w:p>
        </w:tc>
      </w:tr>
      <w:tr>
        <w:tc>
          <w:tcPr>
            <w:tcW w:type="dxa" w:w="4320"/>
          </w:tcPr>
          <w:p>
            <w:r>
              <w:rPr>
                <w:rFonts w:ascii="Consolas" w:hAnsi="Consolas"/>
              </w:rPr>
              <w:t>reemplazamiento</w:t>
            </w:r>
          </w:p>
        </w:tc>
        <w:tc>
          <w:tcPr>
            <w:tcW w:type="dxa" w:w="4320"/>
          </w:tcPr>
          <w:p>
            <w:r>
              <w:t>Proporción de reemplazamiento (IEM): mide el recambio generacional.</w:t>
            </w:r>
          </w:p>
        </w:tc>
      </w:tr>
      <w:tr>
        <w:tc>
          <w:tcPr>
            <w:tcW w:type="dxa" w:w="4320"/>
          </w:tcPr>
          <w:p>
            <w:r>
              <w:rPr>
                <w:rFonts w:ascii="Consolas" w:hAnsi="Consolas"/>
              </w:rPr>
              <w:t>paro_100</w:t>
            </w:r>
          </w:p>
        </w:tc>
        <w:tc>
          <w:tcPr>
            <w:tcW w:type="dxa" w:w="4320"/>
          </w:tcPr>
          <w:p>
            <w:r>
              <w:t>Paro registrado por 100 habitantes.</w:t>
            </w:r>
          </w:p>
        </w:tc>
      </w:tr>
      <w:tr>
        <w:tc>
          <w:tcPr>
            <w:tcW w:type="dxa" w:w="4320"/>
          </w:tcPr>
          <w:p>
            <w:r>
              <w:rPr>
                <w:rFonts w:ascii="Consolas" w:hAnsi="Consolas"/>
              </w:rPr>
              <w:t>var_paro</w:t>
            </w:r>
          </w:p>
        </w:tc>
        <w:tc>
          <w:tcPr>
            <w:tcW w:type="dxa" w:w="4320"/>
          </w:tcPr>
          <w:p>
            <w:r>
              <w:t>Variación relativa del paro registrado (si el paro sube o baja).</w:t>
            </w:r>
          </w:p>
        </w:tc>
      </w:tr>
      <w:tr>
        <w:tc>
          <w:tcPr>
            <w:tcW w:type="dxa" w:w="4320"/>
          </w:tcPr>
          <w:p>
            <w:r>
              <w:rPr>
                <w:rFonts w:ascii="Consolas" w:hAnsi="Consolas"/>
              </w:rPr>
              <w:t>tiempo_centro_min</w:t>
            </w:r>
          </w:p>
        </w:tc>
        <w:tc>
          <w:tcPr>
            <w:tcW w:type="dxa" w:w="4320"/>
          </w:tcPr>
          <w:p>
            <w:r>
              <w:t>Minutos al centro de Madrid en el modo más rápido (CRTM/GTFS; imputado en 99 pueblos con la regla declarada tiempo = max(0, 14,31 + 0,903·km)).</w:t>
            </w:r>
          </w:p>
        </w:tc>
      </w:tr>
      <w:tr>
        <w:tc>
          <w:tcPr>
            <w:tcW w:type="dxa" w:w="4320"/>
          </w:tcPr>
          <w:p>
            <w:r>
              <w:rPr>
                <w:rFonts w:ascii="Consolas" w:hAnsi="Consolas"/>
              </w:rPr>
              <w:t>distancia_sol_km</w:t>
            </w:r>
          </w:p>
        </w:tc>
        <w:tc>
          <w:tcPr>
            <w:tcW w:type="dxa" w:w="4320"/>
          </w:tcPr>
          <w:p>
            <w:r>
              <w:t>Kilómetros hasta la Puerta del Sol (IGN).</w:t>
            </w:r>
          </w:p>
        </w:tc>
      </w:tr>
    </w:tbl>
    <w:p/>
    <w:p>
      <w:r>
        <w:rPr>
          <w:b/>
        </w:rPr>
        <w:t xml:space="preserve">Por qué pesa cada una: </w:t>
      </w:r>
      <w:r>
        <w:rPr>
          <w:b w:val="0"/>
        </w:rPr>
        <w:t>Cada RandomForest debe reproducir el percent-rank de SU dimensión, así que sus importancias replican la definición de esa dimensión. Vivienda se calcula solo con viv_1000 (por eso su importancia es ~1,0). Demografía es la media de los percent-ranks de crec_10y_pct, pct_menor_15, pct_65mas (invertido) y reemplazamiento. Servicios es la media de salud_10k, escuelas_1000, paradas_1000 y telefono_1000. Accesibilidad es la media de tiempo_centro_min (invertido), paradas_1000 y distancia_sol_km (invertido). Empleo es la media de paro_100 y var_paro (invertidos): nivel y tendencia.</w:t>
      </w:r>
    </w:p>
    <w:p/>
    <w:p>
      <w:r>
        <w:rPr>
          <w:color w:val="666666"/>
          <w:sz w:val="18"/>
        </w:rPr>
        <w:t>Fuentes: data/dataset_155_municipios_2010-2025.xlsx (INE, IEM/Comunidad de Madrid, Catastro, CRTM, IGN) · modelos ONNX de oracle_db/models · scripts generadores: scripts/generar_ejemplos_visuales.py, scripts/generar_mapa_valor_catastral.py y scripts/generar_tablas_dataset.py (semilla 2026). Figuras generadas en visuals/.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