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Twin Home Buyer — Equity Track Inc</w:t>
      </w:r>
    </w:p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Direct-Mail KPI Report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Combined view — QuickBooks · REI BlackBook · Monday.com · Postcard tracker</w:t>
      </w:r>
    </w:p>
    <w:p>
      <w:pPr>
        <w:pBdr>
          <w:bottom w:val="single" w:color="d0d0d0" w:sz="6" w:space="1"/>
        </w:pBdr>
        <w:spacing w:after="120"/>
      </w:pPr>
      <w:r>
        <w:t xml:space="preserve"/>
      </w:r>
    </w:p>
    <w:p>
      <w:pPr>
        <w:spacing w:after="40"/>
      </w:pPr>
      <w:r>
        <w:rPr>
          <w:b/>
          <w:bCs/>
          <w:sz w:val="19"/>
          <w:szCs w:val="19"/>
        </w:rPr>
        <w:t xml:space="preserve">Generated: </w:t>
      </w:r>
      <w:r>
        <w:rPr>
          <w:sz w:val="19"/>
          <w:szCs w:val="19"/>
        </w:rPr>
        <w:t xml:space="preserve">2026-07-22 (Pacific Time)</w:t>
      </w:r>
      <w:r>
        <w:rPr>
          <w:sz w:val="19"/>
          <w:szCs w:val="19"/>
        </w:rPr>
        <w:t xml:space="preserve">     </w:t>
      </w:r>
      <w:r>
        <w:rPr>
          <w:b/>
          <w:bCs/>
          <w:sz w:val="19"/>
          <w:szCs w:val="19"/>
        </w:rPr>
        <w:t xml:space="preserve">Scope: </w:t>
      </w:r>
      <w:r>
        <w:rPr>
          <w:sz w:val="19"/>
          <w:szCs w:val="19"/>
        </w:rPr>
        <w:t xml:space="preserve">Direct mail only</w:t>
      </w:r>
      <w:r>
        <w:rPr>
          <w:sz w:val="19"/>
          <w:szCs w:val="19"/>
        </w:rPr>
        <w:t xml:space="preserve">     </w:t>
      </w:r>
      <w:r>
        <w:rPr>
          <w:b/>
          <w:bCs/>
          <w:sz w:val="19"/>
          <w:szCs w:val="19"/>
        </w:rPr>
        <w:t xml:space="preserve">Period: </w:t>
      </w:r>
      <w:r>
        <w:rPr>
          <w:sz w:val="19"/>
          <w:szCs w:val="19"/>
        </w:rPr>
        <w:t xml:space="preserve">2026 year-to-date</w:t>
      </w:r>
    </w:p>
    <w:p>
      <w:pPr>
        <w:spacing w:after="40"/>
      </w:pPr>
      <w:r>
        <w:rPr>
          <w:b/>
          <w:bCs/>
          <w:color w:val="555555"/>
          <w:sz w:val="18"/>
          <w:szCs w:val="18"/>
        </w:rPr>
        <w:t xml:space="preserve">Data sources: </w:t>
      </w:r>
      <w:r>
        <w:rPr>
          <w:color w:val="555555"/>
          <w:sz w:val="18"/>
          <w:szCs w:val="18"/>
        </w:rPr>
        <w:t xml:space="preserve">Monday.com — live 2026-07-22 (410 leads, reconciled exact to REI 2026-07-21) · QuickBooks — 2026-07-10 · REI BlackBook revenue — 2026-07-21. Source: published KPI dashboard artifact 8b3f705b.</w:t>
      </w:r>
    </w:p>
    <w:p>
      <w:pPr>
        <w:pBdr>
          <w:bottom w:val="single" w:color="d0d0d0" w:sz="6" w:space="1"/>
        </w:pBdr>
        <w:spacing w:after="120"/>
      </w:pPr>
      <w:r>
        <w:t xml:space="preserve"/>
      </w:r>
    </w:p>
    <w:p>
      <w:pPr>
        <w:pStyle w:val="Heading1"/>
        <w:spacing w:after="120" w:before="260"/>
      </w:pPr>
      <w:r>
        <w:rPr>
          <w:color w:val="1f3a5f"/>
        </w:rPr>
        <w:t xml:space="preserve">Executive Summary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ffffff" w:sz="8"/>
          <w:insideV w:val="single" w:color="ffffff" w:sz="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DIRECT-MAIL SPEND</w:t>
            </w:r>
          </w:p>
          <w:p>
            <w:pPr>
              <w:spacing w:after="20"/>
            </w:pPr>
            <w:r>
              <w:rPr>
                <w:b/>
                <w:bCs/>
                <w:color w:val="2a78d6"/>
                <w:sz w:val="30"/>
                <w:szCs w:val="30"/>
              </w:rPr>
              <w:t xml:space="preserve">$124,332.62</w:t>
            </w:r>
          </w:p>
          <w:p>
            <w:r>
              <w:rPr>
                <w:color w:val="555555"/>
                <w:sz w:val="15"/>
                <w:szCs w:val="15"/>
              </w:rPr>
              <w:t xml:space="preserve">QuickBooks · YTD 2026</w:t>
            </w:r>
          </w:p>
        </w:tc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DIRECT-MAIL LEADS</w:t>
            </w:r>
          </w:p>
          <w:p>
            <w:pPr>
              <w:spacing w:after="20"/>
            </w:pPr>
            <w:r>
              <w:rPr>
                <w:b/>
                <w:bCs/>
                <w:color w:val="037f4c"/>
                <w:sz w:val="30"/>
                <w:szCs w:val="30"/>
              </w:rPr>
              <w:t xml:space="preserve">410</w:t>
            </w:r>
          </w:p>
          <w:p>
            <w:r>
              <w:rPr>
                <w:color w:val="555555"/>
                <w:sz w:val="15"/>
                <w:szCs w:val="15"/>
              </w:rPr>
              <w:t xml:space="preserve">live Monday board</w:t>
            </w:r>
          </w:p>
        </w:tc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COST / LEAD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$303.25</w:t>
            </w:r>
          </w:p>
          <w:p>
            <w:r>
              <w:rPr>
                <w:color w:val="555555"/>
                <w:sz w:val="15"/>
                <w:szCs w:val="15"/>
              </w:rPr>
              <w:t xml:space="preserve">$124,332.62 ÷ 410</w:t>
            </w:r>
          </w:p>
        </w:tc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REVENUE (REI)</w:t>
            </w:r>
          </w:p>
          <w:p>
            <w:pPr>
              <w:spacing w:after="20"/>
            </w:pPr>
            <w:r>
              <w:rPr>
                <w:b/>
                <w:bCs/>
                <w:color w:val="037f4c"/>
                <w:sz w:val="30"/>
                <w:szCs w:val="30"/>
              </w:rPr>
              <w:t xml:space="preserve">$35,918.75</w:t>
            </w:r>
          </w:p>
          <w:p>
            <w:r>
              <w:rPr>
                <w:color w:val="555555"/>
                <w:sz w:val="15"/>
                <w:szCs w:val="15"/>
              </w:rPr>
              <w:t xml:space="preserve">1 of 2 closings reported</w:t>
            </w:r>
          </w:p>
        </w:tc>
      </w:tr>
      <w:tr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ROAS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0.29x</w:t>
            </w:r>
          </w:p>
          <w:p>
            <w:r>
              <w:rPr>
                <w:color w:val="555555"/>
                <w:sz w:val="15"/>
                <w:szCs w:val="15"/>
              </w:rPr>
              <w:t xml:space="preserve">revenue ÷ spend</w:t>
            </w:r>
          </w:p>
        </w:tc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ROI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−71.1%</w:t>
            </w:r>
          </w:p>
          <w:p>
            <w:r>
              <w:rPr>
                <w:color w:val="555555"/>
                <w:sz w:val="15"/>
                <w:szCs w:val="15"/>
              </w:rPr>
              <w:t xml:space="preserve">return on spend</w:t>
            </w:r>
          </w:p>
        </w:tc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NET RETURN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−$88,413.87</w:t>
            </w:r>
          </w:p>
          <w:p>
            <w:r>
              <w:rPr>
                <w:color w:val="555555"/>
                <w:sz w:val="15"/>
                <w:szCs w:val="15"/>
              </w:rPr>
              <w:t xml:space="preserve">NEGATIVE</w:t>
            </w:r>
          </w:p>
        </w:tc>
        <w:tc>
          <w:tcPr>
            <w:tcW w:type="dxa" w:w="2520"/>
            <w:shd w:fill="f7f9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555555"/>
                <w:sz w:val="15"/>
                <w:szCs w:val="15"/>
              </w:rPr>
              <w:t xml:space="preserve">ACTIVE PIPELINE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89</w:t>
            </w:r>
          </w:p>
          <w:p>
            <w:r>
              <w:rPr>
                <w:color w:val="555555"/>
                <w:sz w:val="15"/>
                <w:szCs w:val="15"/>
              </w:rPr>
              <w:t xml:space="preserve">working + appt + UC</w:t>
            </w:r>
          </w:p>
        </w:tc>
      </w:tr>
    </w:tbl>
    <w:p>
      <w:pPr>
        <w:spacing w:after="80" w:before="140"/>
      </w:pPr>
      <w:r>
        <w:rPr>
          <w:b/>
          <w:bCs/>
        </w:rPr>
        <w:t xml:space="preserve">Bottom line. </w:t>
      </w:r>
      <w:r>
        <w:t xml:space="preserve">Direct mail is currently running at a net loss of </w:t>
      </w:r>
      <w:r>
        <w:rPr>
          <w:b/>
          <w:bCs/>
        </w:rPr>
        <w:t xml:space="preserve">−$88,413.87</w:t>
      </w:r>
      <w:r>
        <w:t xml:space="preserve">. The channel has returned </w:t>
      </w:r>
      <w:r>
        <w:rPr>
          <w:b/>
          <w:bCs/>
        </w:rPr>
        <w:t xml:space="preserve">$0.29 for every $1.00 spent</w:t>
      </w:r>
      <w:r>
        <w:t xml:space="preserve">. This is a conversion-and-attribution problem, not a spend problem: 410 leads have produced only </w:t>
      </w:r>
      <w:r>
        <w:rPr>
          <w:b/>
          <w:bCs/>
        </w:rPr>
        <w:t xml:space="preserve">2 closings (0.49% close rate)</w:t>
      </w:r>
      <w:r>
        <w:t xml:space="preserve">, and only one of those two carries a revenue figure in REI.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400"/>
        <w:gridCol w:w="2360"/>
        <w:gridCol w:w="2360"/>
        <w:gridCol w:w="196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Prev. (07-11)</w:t>
            </w:r>
          </w:p>
        </w:tc>
        <w:tc>
          <w:tcPr>
            <w:tcW w:type="dxa" w:w="19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Spend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$124,332.62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$124,333.00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≈0.0%</w:t>
            </w:r>
          </w:p>
        </w:tc>
      </w:tr>
      <w:tr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Leads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9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9"/>
                <w:szCs w:val="19"/>
              </w:rPr>
              <w:t xml:space="preserve">+9.9%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Cost / Lead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$303.25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$333.00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9"/>
                <w:szCs w:val="19"/>
              </w:rPr>
              <w:t xml:space="preserve">−8.9%</w:t>
            </w:r>
          </w:p>
        </w:tc>
      </w:tr>
      <w:tr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Closed Deals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Revenue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$35,918.75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$35,918.75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Cost / Acquisition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$62,166.31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$62,166.50</w:t>
            </w:r>
          </w:p>
        </w:tc>
        <w:tc>
          <w:tcPr>
            <w:tcW w:type="dxa" w:w="19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≈0.0%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ROAS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0.29x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0.29x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ROI %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−71.1%</w:t>
            </w:r>
          </w:p>
        </w:tc>
        <w:tc>
          <w:tcPr>
            <w:tcW w:type="dxa" w:w="23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−71.1%</w:t>
            </w:r>
          </w:p>
        </w:tc>
        <w:tc>
          <w:tcPr>
            <w:tcW w:type="dxa" w:w="19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0.0 pts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 Return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−$88,413.87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−$88,414.25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555555"/>
                <w:sz w:val="19"/>
                <w:szCs w:val="19"/>
              </w:rPr>
              <w:t xml:space="preserve">≈0.0%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7"/>
          <w:szCs w:val="17"/>
        </w:rPr>
        <w:t xml:space="preserve">Previous period = last full independent snapshot on 2026-07-11. Lead growth reflects backfill + removal of 29 non-mail call-ins (a classification change), not organic demand.</w:t>
      </w:r>
    </w:p>
    <w:p>
      <w:pPr>
        <w:pStyle w:val="Heading1"/>
        <w:spacing w:after="120" w:before="260"/>
      </w:pPr>
      <w:r>
        <w:rPr>
          <w:color w:val="1f3a5f"/>
        </w:rPr>
        <w:t xml:space="preserve">ROI Calculation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600"/>
        <w:gridCol w:w="5480"/>
        <w:gridCol w:w="20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ROAS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÷ Spend = 35,918.75 ÷ 124,332.62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0.29x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ROI %</w:t>
            </w:r>
          </w:p>
        </w:tc>
        <w:tc>
          <w:tcPr>
            <w:tcW w:type="dxa" w:w="5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((Rev − Spend) ÷ Spend) × 100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−71.1%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 Return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− Spend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−$88,413.87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Cost / Lead</w:t>
            </w:r>
          </w:p>
        </w:tc>
        <w:tc>
          <w:tcPr>
            <w:tcW w:type="dxa" w:w="5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Spend ÷ Leads = 124,332.62 ÷ 410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$303.25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Cost / Acquisition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Spend ÷ Closed = 124,332.62 ÷ 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$62,166.31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Avg Rev / Closed</w:t>
            </w:r>
          </w:p>
        </w:tc>
        <w:tc>
          <w:tcPr>
            <w:tcW w:type="dxa" w:w="5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÷ Closed = 35,918.75 ÷ 2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$17,959.38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Spend breakdown: </w:t>
      </w:r>
      <w:r>
        <w:t xml:space="preserve">AM- Direct Mail $124,330.13  +  Mail Services $2.49  =  </w:t>
      </w:r>
      <w:r>
        <w:rPr>
          <w:b/>
          <w:bCs/>
        </w:rPr>
        <w:t xml:space="preserve">$124,332.62</w:t>
      </w:r>
      <w:r>
        <w:t xml:space="preserve">.</w:t>
      </w:r>
    </w:p>
    <w:p>
      <w:pPr>
        <w:pStyle w:val="Heading1"/>
        <w:spacing w:after="120" w:before="260"/>
      </w:pPr>
      <w:r>
        <w:rPr>
          <w:color w:val="1f3a5f"/>
        </w:rPr>
        <w:t xml:space="preserve">Direct-Mail Funnel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5080"/>
        <w:gridCol w:w="2500"/>
        <w:gridCol w:w="2500"/>
      </w:tblGrid>
      <w:tr>
        <w:trPr>
          <w:tblHeader/>
        </w:trPr>
        <w:tc>
          <w:tcPr>
            <w:tcW w:type="dxa" w:w="5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  <w:tc>
          <w:tcPr>
            <w:tcW w:type="dxa" w:w="2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New Leads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17.6%</w:t>
            </w:r>
          </w:p>
        </w:tc>
      </w:tr>
      <w:tr>
        <w:tc>
          <w:tcPr>
            <w:tcW w:type="dxa" w:w="5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Working / Contacted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19.5%</w:t>
            </w:r>
          </w:p>
        </w:tc>
      </w:tr>
      <w:tr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Appointment &amp; Offer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</w:tr>
      <w:tr>
        <w:tc>
          <w:tcPr>
            <w:tcW w:type="dxa" w:w="5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Under Contract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0.2%</w:t>
            </w:r>
          </w:p>
        </w:tc>
      </w:tr>
      <w:tr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Closed / Won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5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Cancelled Contract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0.2%</w:t>
            </w:r>
          </w:p>
        </w:tc>
      </w:tr>
      <w:tr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Dead / Not Interested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60.0%</w:t>
            </w:r>
          </w:p>
        </w:tc>
      </w:tr>
      <w:tr>
        <w:tc>
          <w:tcPr>
            <w:tcW w:type="dxa" w:w="5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410</w:t>
            </w:r>
          </w:p>
        </w:tc>
        <w:tc>
          <w:tcPr>
            <w:tcW w:type="dxa" w:w="2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80"/>
      </w:pPr>
      <w:r>
        <w:rPr>
          <w:b/>
          <w:bCs/>
        </w:rPr>
        <w:t xml:space="preserve">Active Pipeline = 89</w:t>
      </w:r>
      <w:r>
        <w:t xml:space="preserve">  (Working/Contacted 80 + Appointment &amp; Offer 8 + Under Contract 1). Dead, Cancelled, and New are excluded.</w:t>
      </w:r>
    </w:p>
    <w:p>
      <w:pPr>
        <w:pStyle w:val="Heading1"/>
        <w:spacing w:after="120" w:before="260"/>
      </w:pPr>
      <w:r>
        <w:rPr>
          <w:color w:val="1f3a5f"/>
        </w:rPr>
        <w:t xml:space="preserve">Conversion Rates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080"/>
        <w:gridCol w:w="4900"/>
        <w:gridCol w:w="2100"/>
      </w:tblGrid>
      <w:tr>
        <w:trPr>
          <w:tblHeader/>
        </w:trPr>
        <w:tc>
          <w:tcPr>
            <w:tcW w:type="dxa" w:w="3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Conversion KPI</w:t>
            </w:r>
          </w:p>
        </w:tc>
        <w:tc>
          <w:tcPr>
            <w:tcW w:type="dxa" w:w="4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Contact Rate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Reached Contact ÷ Total = 92 ÷ 410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22.4%</w:t>
            </w:r>
          </w:p>
        </w:tc>
      </w:tr>
      <w:tr>
        <w:tc>
          <w:tcPr>
            <w:tcW w:type="dxa" w:w="3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Appointment Rate</w:t>
            </w:r>
          </w:p>
        </w:tc>
        <w:tc>
          <w:tcPr>
            <w:tcW w:type="dxa" w:w="49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Reached Appt ÷ Total = 12 ÷ 410</w:t>
            </w:r>
          </w:p>
        </w:tc>
        <w:tc>
          <w:tcPr>
            <w:tcW w:type="dxa" w:w="2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2.9%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Contract Rate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Reached Contract ÷ Total = 4 ÷ 410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1.0%</w:t>
            </w:r>
          </w:p>
        </w:tc>
      </w:tr>
      <w:tr>
        <w:tc>
          <w:tcPr>
            <w:tcW w:type="dxa" w:w="3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Close Rate</w:t>
            </w:r>
          </w:p>
        </w:tc>
        <w:tc>
          <w:tcPr>
            <w:tcW w:type="dxa" w:w="49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Closed ÷ Total = 2 ÷ 410</w:t>
            </w:r>
          </w:p>
        </w:tc>
        <w:tc>
          <w:tcPr>
            <w:tcW w:type="dxa" w:w="2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0.49%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Appointment → Contract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 ÷ 12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33.3%</w:t>
            </w:r>
          </w:p>
        </w:tc>
      </w:tr>
      <w:tr>
        <w:tc>
          <w:tcPr>
            <w:tcW w:type="dxa" w:w="3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Contract → Close</w:t>
            </w:r>
          </w:p>
        </w:tc>
        <w:tc>
          <w:tcPr>
            <w:tcW w:type="dxa" w:w="49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 ÷ 4</w:t>
            </w:r>
          </w:p>
        </w:tc>
        <w:tc>
          <w:tcPr>
            <w:tcW w:type="dxa" w:w="2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50.0%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Cancellation Rate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Cancelled ÷ Contracts = 1 ÷ 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25.0%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7"/>
          <w:szCs w:val="17"/>
        </w:rPr>
        <w:t xml:space="preserve">Rates use cumulative "reached-stage" counts from the current board snapshot; the board keeps only current stage, so mid-funnel rates are conservative.</w:t>
      </w:r>
    </w:p>
    <w:p>
      <w:pPr>
        <w:pStyle w:val="Heading1"/>
        <w:spacing w:after="120" w:before="260"/>
      </w:pPr>
      <w:r>
        <w:rPr>
          <w:color w:val="1f3a5f"/>
        </w:rPr>
        <w:t xml:space="preserve">Performance by Direct-Mail Type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080"/>
        <w:gridCol w:w="1300"/>
        <w:gridCol w:w="1200"/>
        <w:gridCol w:w="1500"/>
        <w:gridCol w:w="1300"/>
        <w:gridCol w:w="1700"/>
      </w:tblGrid>
      <w:tr>
        <w:trPr>
          <w:tblHeader/>
        </w:trPr>
        <w:tc>
          <w:tcPr>
            <w:tcW w:type="dxa" w:w="3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Appt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Closed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Direct Mail (Checks)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267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$35,918.75</w:t>
            </w:r>
          </w:p>
        </w:tc>
      </w:tr>
      <w:tr>
        <w:tc>
          <w:tcPr>
            <w:tcW w:type="dxa" w:w="3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Direct Mail (Postcard)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142</w:t>
            </w:r>
          </w:p>
        </w:tc>
        <w:tc>
          <w:tcPr>
            <w:tcW w:type="dxa" w:w="1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$0*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Direct Mail (Letters)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410</w:t>
            </w:r>
          </w:p>
        </w:tc>
        <w:tc>
          <w:tcPr>
            <w:tcW w:type="dxa" w:w="1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$35,918.75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7"/>
          <w:szCs w:val="17"/>
        </w:rPr>
        <w:t xml:space="preserve">* The one closed Postcard deal (1464 Sunrise Pkwy, Petaluma) has a blank Revenue field in REI. QuickBooks does not split spend by mail type, so per-type CPA/ROAS/ROI cannot be computed from source data.</w:t>
      </w:r>
    </w:p>
    <w:p>
      <w:pPr>
        <w:pStyle w:val="Heading1"/>
        <w:spacing w:after="120" w:before="260"/>
      </w:pPr>
      <w:r>
        <w:rPr>
          <w:color w:val="1f3a5f"/>
        </w:rPr>
        <w:t xml:space="preserve">Performance by Campaign / Mailing List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080"/>
        <w:gridCol w:w="1400"/>
        <w:gridCol w:w="2000"/>
        <w:gridCol w:w="1300"/>
        <w:gridCol w:w="1300"/>
      </w:tblGrid>
      <w:tr>
        <w:trPr>
          <w:tblHeader/>
        </w:trPr>
        <w:tc>
          <w:tcPr>
            <w:tcW w:type="dxa" w:w="4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Campaign / List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Reached Appt+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Closed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Liens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4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Tax Delinquent</w:t>
            </w:r>
          </w:p>
        </w:tc>
        <w:tc>
          <w:tcPr>
            <w:tcW w:type="dxa" w:w="1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NOD / Foreclosure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4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Ugly House</w:t>
            </w:r>
          </w:p>
        </w:tc>
        <w:tc>
          <w:tcPr>
            <w:tcW w:type="dxa" w:w="1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Postcard Liens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40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Sorted Ugly Houses EQT (Checks)</w:t>
            </w:r>
          </w:p>
        </w:tc>
        <w:tc>
          <w:tcPr>
            <w:tcW w:type="dxa" w:w="1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37f4c"/>
                <w:sz w:val="19"/>
                <w:szCs w:val="19"/>
              </w:rPr>
              <w:t xml:space="preserve">$35,918.75</w:t>
            </w:r>
          </w:p>
        </w:tc>
      </w:tr>
      <w:tr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Postcard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$0*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Strongest: </w:t>
      </w:r>
      <w:r>
        <w:t xml:space="preserve">"Sorted Ugly Houses EQT (Checks)" — the only campaign with attributed revenue ($35,918.75 from one closing at 8227 Ney Ave, Oakland). It is the channel's entire revenue line.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Weakest / highest risk: </w:t>
      </w:r>
      <w:r>
        <w:t xml:space="preserve">Liens — the largest list (160, plus 22 "Postcard Liens" = 182), yet 0 closings, $0 revenue, and the only cancelled contract (7400 Rudsdale St, Oakland).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Closed deal missing revenue: </w:t>
      </w:r>
      <w:r>
        <w:t xml:space="preserve">"Postcard" campaign — 1464 Sunrise Pkwy, Petaluma, closed/won with a blank Revenue field. Top fix.</w:t>
      </w:r>
    </w:p>
    <w:p>
      <w:pPr>
        <w:pStyle w:val="Heading1"/>
        <w:spacing w:after="120" w:before="260"/>
      </w:pPr>
      <w:r>
        <w:rPr>
          <w:color w:val="1f3a5f"/>
        </w:rPr>
        <w:t xml:space="preserve">Postcard Campaign (Google Sheet Tracker)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04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Postcards mailed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94,753 (42 batches)</w:t>
            </w:r>
          </w:p>
        </w:tc>
      </w:tr>
      <w:tr>
        <w:tc>
          <w:tcPr>
            <w:tcW w:type="dxa" w:w="50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Redstone cost</w:t>
            </w:r>
          </w:p>
        </w:tc>
        <w:tc>
          <w:tcPr>
            <w:tcW w:type="dxa" w:w="50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$50,620.32 ($0.534 / postcard)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Postcard leads (tracker)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92 · 32.6% interested</w:t>
            </w:r>
          </w:p>
        </w:tc>
      </w:tr>
      <w:tr>
        <w:tc>
          <w:tcPr>
            <w:tcW w:type="dxa" w:w="50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Offers made / accepted</w:t>
            </w:r>
          </w:p>
        </w:tc>
        <w:tc>
          <w:tcPr>
            <w:tcW w:type="dxa" w:w="50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0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Deals closed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7"/>
          <w:szCs w:val="17"/>
        </w:rPr>
        <w:t xml:space="preserve">Tracker window Dec 3 2025 – Jun 10 2026; a standalone measurement system with a different lead base than the Monday board.</w:t>
      </w:r>
    </w:p>
    <w:p>
      <w:pPr>
        <w:pStyle w:val="Heading1"/>
        <w:spacing w:after="120" w:before="260"/>
      </w:pPr>
      <w:r>
        <w:rPr>
          <w:color w:val="1f3a5f"/>
        </w:rPr>
        <w:t xml:space="preserve">Data-Accuracy Warnings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560"/>
        <w:gridCol w:w="7720"/>
        <w:gridCol w:w="180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72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Warning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Affected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7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QuickBooks spend stale — last refresh 2026-07-10; connector not enabled in chat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Spend denom.</w:t>
            </w:r>
          </w:p>
        </w:tc>
      </w:tr>
      <w:tr>
        <w:tc>
          <w:tcPr>
            <w:tcW w:type="dxa" w:w="5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7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REI not re-pulled live (no auth session) — data as of 07-21 reconciliation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410 + revenue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7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Closed deal missing revenue (1464 Sunrise Pkwy, Petaluma / Postcard)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 of 2 closed</w:t>
            </w:r>
          </w:p>
        </w:tc>
      </w:tr>
      <w:tr>
        <w:tc>
          <w:tcPr>
            <w:tcW w:type="dxa" w:w="5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77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rests on a single REI entry; QuickBooks shows $0 booked (unreconciled)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line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Conversion rates from current-state snapshot (no stage history)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≤246 dead</w:t>
            </w:r>
          </w:p>
        </w:tc>
      </w:tr>
      <w:tr>
        <w:tc>
          <w:tcPr>
            <w:tcW w:type="dxa" w:w="5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7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Per-type &amp; per-campaign spend unavailable in QuickBooks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Type/campaign ROI</w:t>
            </w:r>
          </w:p>
        </w:tc>
      </w:tr>
    </w:tbl>
    <w:p>
      <w:pPr>
        <w:spacing w:before="60"/>
      </w:pPr>
      <w:r>
        <w:rPr>
          <w:b/>
          <w:bCs/>
        </w:rPr>
        <w:t xml:space="preserve">Validation passed: </w:t>
      </w:r>
      <w:r>
        <w:rPr>
          <w:sz w:val="18"/>
          <w:szCs w:val="18"/>
        </w:rPr>
        <w:t xml:space="preserve">0 duplicate leads · non-direct-mail excluded (source-wins) · Monday↔REI 410 = 410 · cancelled (1) not counted as closed · dead (246) excluded from active pipeline · revenue not double-counted.</w:t>
      </w:r>
    </w:p>
    <w:p>
      <w:pPr>
        <w:pStyle w:val="Heading1"/>
        <w:spacing w:after="120" w:before="260"/>
      </w:pPr>
      <w:r>
        <w:rPr>
          <w:color w:val="1f3a5f"/>
        </w:rPr>
        <w:t xml:space="preserve">Management Insights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1. Not profitable. </w:t>
      </w:r>
      <w:r>
        <w:t xml:space="preserve">−$88,413.87 net, 0.29x ROAS. $124,332.62 spent returned $35,918.75.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2. Strongest return: </w:t>
      </w:r>
      <w:r>
        <w:t xml:space="preserve">"Sorted Ugly Houses EQT (Checks)" — the only campaign with revenue ($35,918.75). Checks carries 100% of confirmed revenue.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3. Biggest underperformer: </w:t>
      </w:r>
      <w:r>
        <w:t xml:space="preserve">Liens — 182 leads, 0 closings, $0 revenue, the only cancelled contract.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4. Biggest drop-off: </w:t>
      </w:r>
      <w:r>
        <w:t xml:space="preserve">the close. 246 of 410 (60%) are Dead; only 4 of 12 appointments reached contract and 2 closed (0.49% close rate).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5. Investigate next: </w:t>
      </w:r>
      <w:r>
        <w:t xml:space="preserve">enter the missing revenue on the Petaluma closing and reconcile the $35,918.75 in QuickBooks — the fastest path to accurate ROI. The channel is ~1–2 properly-booked deals from break-even at a $25K spread.</w:t>
      </w:r>
    </w:p>
    <w:p>
      <w:pPr>
        <w:pBdr>
          <w:bottom w:val="single" w:color="d0d0d0" w:sz="6" w:space="1"/>
        </w:pBdr>
        <w:spacing w:after="120"/>
      </w:pPr>
      <w:r>
        <w:t xml:space="preserve"/>
      </w:r>
    </w:p>
    <w:p>
      <w:pPr>
        <w:spacing w:before="80"/>
      </w:pPr>
      <w:r>
        <w:rPr>
          <w:i/>
          <w:iCs/>
          <w:color w:val="555555"/>
          <w:sz w:val="17"/>
          <w:szCs w:val="17"/>
        </w:rPr>
        <w:t xml:space="preserve">Prepared for Juan Diaz. Direct-mail channel only, per standing scope. Figures trace to live Monday.com data and the last verified QuickBooks / REI pulls; no values are estimated or placeholder. Companion detail: DIRECT_MAIL_ROI_UPDATED_REPORT.md.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Direct-Mail KPI Report</dc:title>
  <dc:creator>Twin Home Buyer</dc:creator>
  <cp:lastModifiedBy>Un-named</cp:lastModifiedBy>
  <cp:revision>1</cp:revision>
  <dcterms:created xsi:type="dcterms:W3CDTF">2026-07-22T16:00:22.504Z</dcterms:created>
  <dcterms:modified xsi:type="dcterms:W3CDTF">2026-07-22T16:00:22.505Z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