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Twin Home Buyer — Equity Track Inc</w:t>
      </w:r>
    </w:p>
    <w:p>
      <w:pPr>
        <w:spacing w:after="40"/>
      </w:pPr>
      <w:r>
        <w:rPr>
          <w:b/>
          <w:bCs/>
          <w:color w:val="1f3a5f"/>
          <w:sz w:val="38"/>
          <w:szCs w:val="38"/>
        </w:rPr>
        <w:t xml:space="preserve">Direct-Mail KPI Dashboard Report</w:t>
      </w:r>
    </w:p>
    <w:p>
      <w:pPr>
        <w:spacing w:after="120"/>
      </w:pPr>
      <w:r>
        <w:rPr>
          <w:color w:val="555555"/>
          <w:sz w:val="20"/>
          <w:szCs w:val="20"/>
        </w:rPr>
        <w:t xml:space="preserve">Real-time KPI snapshot · direct-mail channel only</w:t>
      </w:r>
    </w:p>
    <w:p>
      <w:pPr>
        <w:pBdr>
          <w:bottom w:val="single" w:color="d0d0d0" w:sz="6" w:space="1"/>
        </w:pBdr>
        <w:spacing w:after="120"/>
      </w:pPr>
      <w:r>
        <w:t xml:space="preserve"/>
      </w:r>
    </w:p>
    <w:p>
      <w:pPr>
        <w:spacing w:after="40"/>
      </w:pPr>
      <w:r>
        <w:rPr>
          <w:b/>
          <w:bCs/>
          <w:sz w:val="19"/>
          <w:szCs w:val="19"/>
        </w:rPr>
        <w:t xml:space="preserve">Report date: </w:t>
      </w:r>
      <w:r>
        <w:rPr>
          <w:sz w:val="19"/>
          <w:szCs w:val="19"/>
        </w:rPr>
        <w:t xml:space="preserve">2026-07-22 (PT)</w:t>
      </w:r>
      <w:r>
        <w:rPr>
          <w:sz w:val="19"/>
          <w:szCs w:val="19"/>
        </w:rPr>
        <w:t xml:space="preserve">     </w:t>
      </w:r>
      <w:r>
        <w:rPr>
          <w:b/>
          <w:bCs/>
          <w:sz w:val="19"/>
          <w:szCs w:val="19"/>
        </w:rPr>
        <w:t xml:space="preserve">Source of truth: </w:t>
      </w:r>
      <w:r>
        <w:rPr>
          <w:sz w:val="19"/>
          <w:szCs w:val="19"/>
        </w:rPr>
        <w:t xml:space="preserve">KPI dashboard artifact 8b3f705b, generated 2026-07-21</w:t>
      </w:r>
    </w:p>
    <w:p>
      <w:pPr>
        <w:spacing w:after="120"/>
      </w:pPr>
      <w:r>
        <w:rPr>
          <w:b/>
          <w:bCs/>
          <w:color w:val="555555"/>
          <w:sz w:val="18"/>
          <w:szCs w:val="18"/>
        </w:rPr>
        <w:t xml:space="preserve">Data vintage: </w:t>
      </w:r>
      <w:r>
        <w:rPr>
          <w:color w:val="555555"/>
          <w:sz w:val="18"/>
          <w:szCs w:val="18"/>
        </w:rPr>
        <w:t xml:space="preserve">Monday.com leads/stages/sources re-verified live 2026-07-22 (410 exact) · QuickBooks spend as of artifact (07-10 pull) · REI revenue as of 07-21 (live re-pull pending browser re-auth).</w:t>
      </w:r>
    </w:p>
    <w:p>
      <w:pPr>
        <w:pBdr>
          <w:bottom w:val="single" w:color="d0d0d0" w:sz="6" w:space="1"/>
        </w:pBdr>
        <w:spacing w:after="120"/>
      </w:pPr>
      <w:r>
        <w:t xml:space="preserve"/>
      </w:r>
    </w:p>
    <w:p>
      <w:pPr>
        <w:pStyle w:val="Heading1"/>
        <w:spacing w:after="120" w:before="200"/>
      </w:pPr>
      <w:r>
        <w:rPr>
          <w:color w:val="1f3a5f"/>
        </w:rPr>
        <w:t xml:space="preserve">KPI Tiles</w:t>
      </w:r>
    </w:p>
    <w:p>
      <w:pPr>
        <w:spacing w:after="100"/>
      </w:pPr>
      <w:r>
        <w:rPr>
          <w:sz w:val="18"/>
          <w:szCs w:val="18"/>
        </w:rPr>
        <w:t xml:space="preserve">Values verified against the artifact. </w:t>
      </w:r>
      <w:r>
        <w:rPr>
          <w:b/>
          <w:bCs/>
          <w:color w:val="037f4c"/>
          <w:sz w:val="18"/>
          <w:szCs w:val="18"/>
        </w:rPr>
        <w:t xml:space="preserve">Matches ✓</w:t>
      </w:r>
      <w:r>
        <w:rPr>
          <w:sz w:val="18"/>
          <w:szCs w:val="18"/>
        </w:rPr>
        <w:t xml:space="preserve"> = present and identical on the artifact.  </w:t>
      </w:r>
      <w:r>
        <w:rPr>
          <w:b/>
          <w:bCs/>
          <w:color w:val="b7791f"/>
          <w:sz w:val="18"/>
          <w:szCs w:val="18"/>
        </w:rPr>
        <w:t xml:space="preserve">Monday-only</w:t>
      </w:r>
      <w:r>
        <w:rPr>
          <w:sz w:val="18"/>
          <w:szCs w:val="18"/>
        </w:rPr>
        <w:t xml:space="preserve"> = tile is on the Monday board but not on the artifact.</w:t>
      </w:r>
    </w:p>
    <w:tbl>
      <w:tblPr>
        <w:tblW w:type="dxa" w:w="1008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5200"/>
        <w:gridCol w:w="2400"/>
        <w:gridCol w:w="2480"/>
      </w:tblGrid>
      <w:tr>
        <w:trPr>
          <w:tblHeader/>
        </w:trPr>
        <w:tc>
          <w:tcPr>
            <w:tcW w:type="dxa" w:w="52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KPI Tile</w:t>
            </w:r>
          </w:p>
        </w:tc>
        <w:tc>
          <w:tcPr>
            <w:tcW w:type="dxa" w:w="24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4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Verified vs Artifact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Direct-Mail Spend (QuickBooks, YTD)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$124,332.62</w:t>
            </w:r>
          </w:p>
        </w:tc>
        <w:tc>
          <w:tcPr>
            <w:tcW w:type="dxa" w:w="2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color w:val="037f4c"/>
                <w:sz w:val="18"/>
                <w:szCs w:val="18"/>
              </w:rPr>
              <w:t xml:space="preserve">Matches ✓</w:t>
            </w:r>
          </w:p>
        </w:tc>
      </w:tr>
      <w:tr>
        <w:tc>
          <w:tcPr>
            <w:tcW w:type="dxa" w:w="52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 Direct-Mail Leads</w:t>
            </w:r>
          </w:p>
        </w:tc>
        <w:tc>
          <w:tcPr>
            <w:tcW w:type="dxa" w:w="2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410</w:t>
            </w:r>
          </w:p>
        </w:tc>
        <w:tc>
          <w:tcPr>
            <w:tcW w:type="dxa" w:w="24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color w:val="037f4c"/>
                <w:sz w:val="18"/>
                <w:szCs w:val="18"/>
              </w:rPr>
              <w:t xml:space="preserve">Matches ✓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Postcards Mailed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94,753</w:t>
            </w:r>
          </w:p>
        </w:tc>
        <w:tc>
          <w:tcPr>
            <w:tcW w:type="dxa" w:w="2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color w:val="037f4c"/>
                <w:sz w:val="18"/>
                <w:szCs w:val="18"/>
              </w:rPr>
              <w:t xml:space="preserve">Matches ✓</w:t>
            </w:r>
          </w:p>
        </w:tc>
      </w:tr>
      <w:tr>
        <w:tc>
          <w:tcPr>
            <w:tcW w:type="dxa" w:w="52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 / Postcard (Redstone)</w:t>
            </w:r>
          </w:p>
        </w:tc>
        <w:tc>
          <w:tcPr>
            <w:tcW w:type="dxa" w:w="2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$0.534</w:t>
            </w:r>
          </w:p>
        </w:tc>
        <w:tc>
          <w:tcPr>
            <w:tcW w:type="dxa" w:w="24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color w:val="037f4c"/>
                <w:sz w:val="18"/>
                <w:szCs w:val="18"/>
              </w:rPr>
              <w:t xml:space="preserve">Matches ✓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 / Lead (all direct mail)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$303.25</w:t>
            </w:r>
          </w:p>
        </w:tc>
        <w:tc>
          <w:tcPr>
            <w:tcW w:type="dxa" w:w="2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color w:val="037f4c"/>
                <w:sz w:val="18"/>
                <w:szCs w:val="18"/>
              </w:rPr>
              <w:t xml:space="preserve">Matches ✓</w:t>
            </w:r>
          </w:p>
        </w:tc>
      </w:tr>
      <w:tr>
        <w:tc>
          <w:tcPr>
            <w:tcW w:type="dxa" w:w="52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ROA / ROAS</w:t>
            </w:r>
          </w:p>
        </w:tc>
        <w:tc>
          <w:tcPr>
            <w:tcW w:type="dxa" w:w="2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0.29x</w:t>
            </w:r>
          </w:p>
        </w:tc>
        <w:tc>
          <w:tcPr>
            <w:tcW w:type="dxa" w:w="24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color w:val="037f4c"/>
                <w:sz w:val="18"/>
                <w:szCs w:val="18"/>
              </w:rPr>
              <w:t xml:space="preserve">Matches ✓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Revenue (REI) — total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$35,918.75</w:t>
            </w:r>
          </w:p>
        </w:tc>
        <w:tc>
          <w:tcPr>
            <w:tcW w:type="dxa" w:w="2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color w:val="037f4c"/>
                <w:sz w:val="18"/>
                <w:szCs w:val="18"/>
              </w:rPr>
              <w:t xml:space="preserve">Matches ✓</w:t>
            </w:r>
          </w:p>
        </w:tc>
      </w:tr>
      <w:tr>
        <w:tc>
          <w:tcPr>
            <w:tcW w:type="dxa" w:w="52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Net Return (Revenue − Spend)</w:t>
            </w:r>
          </w:p>
        </w:tc>
        <w:tc>
          <w:tcPr>
            <w:tcW w:type="dxa" w:w="2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−$88,413.87</w:t>
            </w:r>
          </w:p>
        </w:tc>
        <w:tc>
          <w:tcPr>
            <w:tcW w:type="dxa" w:w="24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color w:val="037f4c"/>
                <w:sz w:val="18"/>
                <w:szCs w:val="18"/>
              </w:rPr>
              <w:t xml:space="preserve">Matches ✓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Acquired (closed deals)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color w:val="037f4c"/>
                <w:sz w:val="18"/>
                <w:szCs w:val="18"/>
              </w:rPr>
              <w:t xml:space="preserve">Matches ✓</w:t>
            </w:r>
          </w:p>
        </w:tc>
      </w:tr>
      <w:tr>
        <w:tc>
          <w:tcPr>
            <w:tcW w:type="dxa" w:w="52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 Deals Initiated</w:t>
            </w:r>
          </w:p>
        </w:tc>
        <w:tc>
          <w:tcPr>
            <w:tcW w:type="dxa" w:w="2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color w:val="b7791f"/>
                <w:sz w:val="18"/>
                <w:szCs w:val="18"/>
              </w:rPr>
              <w:t xml:space="preserve">Monday-only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Acquisition Rate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2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color w:val="b7791f"/>
                <w:sz w:val="18"/>
                <w:szCs w:val="18"/>
              </w:rPr>
              <w:t xml:space="preserve">Monday-only</w:t>
            </w:r>
          </w:p>
        </w:tc>
      </w:tr>
      <w:tr>
        <w:tc>
          <w:tcPr>
            <w:tcW w:type="dxa" w:w="52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Cancel Rate</w:t>
            </w:r>
          </w:p>
        </w:tc>
        <w:tc>
          <w:tcPr>
            <w:tcW w:type="dxa" w:w="2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24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color w:val="b7791f"/>
                <w:sz w:val="18"/>
                <w:szCs w:val="18"/>
              </w:rPr>
              <w:t xml:space="preserve">Monday-only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 Inbound Leads (mail responses)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410</w:t>
            </w:r>
          </w:p>
        </w:tc>
        <w:tc>
          <w:tcPr>
            <w:tcW w:type="dxa" w:w="2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color w:val="b7791f"/>
                <w:sz w:val="18"/>
                <w:szCs w:val="18"/>
              </w:rPr>
              <w:t xml:space="preserve">Monday-only</w:t>
            </w:r>
          </w:p>
        </w:tc>
      </w:tr>
      <w:tr>
        <w:tc>
          <w:tcPr>
            <w:tcW w:type="dxa" w:w="52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Response Rate (leads ÷ postcards)</w:t>
            </w:r>
          </w:p>
        </w:tc>
        <w:tc>
          <w:tcPr>
            <w:tcW w:type="dxa" w:w="2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0.43%</w:t>
            </w:r>
          </w:p>
        </w:tc>
        <w:tc>
          <w:tcPr>
            <w:tcW w:type="dxa" w:w="24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color w:val="b7791f"/>
                <w:sz w:val="18"/>
                <w:szCs w:val="18"/>
              </w:rPr>
              <w:t xml:space="preserve">Monday-only *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Avg Mails per Lead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231</w:t>
            </w:r>
          </w:p>
        </w:tc>
        <w:tc>
          <w:tcPr>
            <w:tcW w:type="dxa" w:w="2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color w:val="b7791f"/>
                <w:sz w:val="18"/>
                <w:szCs w:val="18"/>
              </w:rPr>
              <w:t xml:space="preserve">Monday-only</w:t>
            </w:r>
          </w:p>
        </w:tc>
      </w:tr>
      <w:tr>
        <w:tc>
          <w:tcPr>
            <w:tcW w:type="dxa" w:w="52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Avg Mailing per Deal</w:t>
            </w:r>
          </w:p>
        </w:tc>
        <w:tc>
          <w:tcPr>
            <w:tcW w:type="dxa" w:w="2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47,377</w:t>
            </w:r>
          </w:p>
        </w:tc>
        <w:tc>
          <w:tcPr>
            <w:tcW w:type="dxa" w:w="24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color w:val="b7791f"/>
                <w:sz w:val="18"/>
                <w:szCs w:val="18"/>
              </w:rPr>
              <w:t xml:space="preserve">Monday-only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 per Mail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$0.534</w:t>
            </w:r>
          </w:p>
        </w:tc>
        <w:tc>
          <w:tcPr>
            <w:tcW w:type="dxa" w:w="2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color w:val="b7791f"/>
                <w:sz w:val="18"/>
                <w:szCs w:val="18"/>
              </w:rPr>
              <w:t xml:space="preserve">Monday-only</w:t>
            </w:r>
          </w:p>
        </w:tc>
      </w:tr>
    </w:tbl>
    <w:p>
      <w:pPr>
        <w:spacing w:before="60"/>
      </w:pPr>
      <w:r>
        <w:rPr>
          <w:i/>
          <w:iCs/>
          <w:color w:val="555555"/>
          <w:sz w:val="17"/>
          <w:szCs w:val="17"/>
        </w:rPr>
        <w:t xml:space="preserve">* The artifact shows no overall response rate; its only response-type figure is a 32.6% postcard interest rate. The 0.43% is a Monday calculation (410 leads ÷ 94,753 postcards).</w:t>
      </w:r>
    </w:p>
    <w:p>
      <w:pPr>
        <w:pStyle w:val="Heading1"/>
        <w:spacing w:after="120" w:before="220"/>
      </w:pPr>
      <w:r>
        <w:rPr>
          <w:color w:val="1f3a5f"/>
        </w:rPr>
        <w:t xml:space="preserve">ROI — stated both ways</w:t>
      </w:r>
    </w:p>
    <w:tbl>
      <w:tblPr>
        <w:tblW w:type="dxa" w:w="1008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2600"/>
        <w:gridCol w:w="5480"/>
        <w:gridCol w:w="200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4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20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ROAS</w:t>
            </w:r>
          </w:p>
        </w:tc>
        <w:tc>
          <w:tcPr>
            <w:tcW w:type="dxa" w:w="5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Revenue ÷ Spend = 35,918.75 ÷ 124,332.62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0.29x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ROI %</w:t>
            </w:r>
          </w:p>
        </w:tc>
        <w:tc>
          <w:tcPr>
            <w:tcW w:type="dxa" w:w="54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((Rev − Spend) ÷ Spend) × 100</w:t>
            </w:r>
          </w:p>
        </w:tc>
        <w:tc>
          <w:tcPr>
            <w:tcW w:type="dxa" w:w="20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−71.1%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Net Return</w:t>
            </w:r>
          </w:p>
        </w:tc>
        <w:tc>
          <w:tcPr>
            <w:tcW w:type="dxa" w:w="5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Revenue − Spend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−$88,413.87</w:t>
            </w:r>
          </w:p>
        </w:tc>
      </w:tr>
      <w:tr>
        <w:tc>
          <w:tcPr>
            <w:tcW w:type="dxa" w:w="26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 / Acquisition</w:t>
            </w:r>
          </w:p>
        </w:tc>
        <w:tc>
          <w:tcPr>
            <w:tcW w:type="dxa" w:w="54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Spend ÷ Closed = 124,332.62 ÷ 2</w:t>
            </w:r>
          </w:p>
        </w:tc>
        <w:tc>
          <w:tcPr>
            <w:tcW w:type="dxa" w:w="20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$62,166.31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Avg Revenue / Closed</w:t>
            </w:r>
          </w:p>
        </w:tc>
        <w:tc>
          <w:tcPr>
            <w:tcW w:type="dxa" w:w="5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Revenue ÷ Closed = 35,918.75 ÷ 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$17,959.38</w:t>
            </w:r>
          </w:p>
        </w:tc>
      </w:tr>
    </w:tbl>
    <w:p>
      <w:pPr>
        <w:pStyle w:val="Heading1"/>
        <w:spacing w:after="120" w:before="220"/>
      </w:pPr>
      <w:r>
        <w:rPr>
          <w:color w:val="1f3a5f"/>
        </w:rPr>
        <w:t xml:space="preserve">Leads by Stage (funnel)</w:t>
      </w:r>
    </w:p>
    <w:tbl>
      <w:tblPr>
        <w:tblW w:type="dxa" w:w="1008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5200"/>
        <w:gridCol w:w="2400"/>
        <w:gridCol w:w="2480"/>
      </w:tblGrid>
      <w:tr>
        <w:trPr>
          <w:tblHeader/>
        </w:trPr>
        <w:tc>
          <w:tcPr>
            <w:tcW w:type="dxa" w:w="52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4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Leads</w:t>
            </w:r>
          </w:p>
        </w:tc>
        <w:tc>
          <w:tcPr>
            <w:tcW w:type="dxa" w:w="24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of Total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Dead / Not Interested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246</w:t>
            </w:r>
          </w:p>
        </w:tc>
        <w:tc>
          <w:tcPr>
            <w:tcW w:type="dxa" w:w="2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60.0%</w:t>
            </w:r>
          </w:p>
        </w:tc>
      </w:tr>
      <w:tr>
        <w:tc>
          <w:tcPr>
            <w:tcW w:type="dxa" w:w="52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New</w:t>
            </w:r>
          </w:p>
        </w:tc>
        <w:tc>
          <w:tcPr>
            <w:tcW w:type="dxa" w:w="2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24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17.6%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Contacted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2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17.6%</w:t>
            </w:r>
          </w:p>
        </w:tc>
      </w:tr>
      <w:tr>
        <w:tc>
          <w:tcPr>
            <w:tcW w:type="dxa" w:w="52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Appointment</w:t>
            </w:r>
          </w:p>
        </w:tc>
        <w:tc>
          <w:tcPr>
            <w:tcW w:type="dxa" w:w="2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2.0%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Interested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2.0%</w:t>
            </w:r>
          </w:p>
        </w:tc>
      </w:tr>
      <w:tr>
        <w:tc>
          <w:tcPr>
            <w:tcW w:type="dxa" w:w="52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Acquired</w:t>
            </w:r>
          </w:p>
        </w:tc>
        <w:tc>
          <w:tcPr>
            <w:tcW w:type="dxa" w:w="2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0.5%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Under Contract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0.2%</w:t>
            </w:r>
          </w:p>
        </w:tc>
      </w:tr>
      <w:tr>
        <w:tc>
          <w:tcPr>
            <w:tcW w:type="dxa" w:w="52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Cancelled Contract</w:t>
            </w:r>
          </w:p>
        </w:tc>
        <w:tc>
          <w:tcPr>
            <w:tcW w:type="dxa" w:w="2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0.2%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410</w:t>
            </w:r>
          </w:p>
        </w:tc>
        <w:tc>
          <w:tcPr>
            <w:tcW w:type="dxa" w:w="2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100%</w:t>
            </w:r>
          </w:p>
        </w:tc>
      </w:tr>
    </w:tbl>
    <w:p>
      <w:pPr>
        <w:pStyle w:val="Heading1"/>
        <w:spacing w:after="120" w:before="220"/>
      </w:pPr>
      <w:r>
        <w:rPr>
          <w:color w:val="1f3a5f"/>
        </w:rPr>
        <w:t xml:space="preserve">Leads by Source</w:t>
      </w:r>
    </w:p>
    <w:tbl>
      <w:tblPr>
        <w:tblW w:type="dxa" w:w="1008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5200"/>
        <w:gridCol w:w="2400"/>
        <w:gridCol w:w="2480"/>
      </w:tblGrid>
      <w:tr>
        <w:trPr>
          <w:tblHeader/>
        </w:trPr>
        <w:tc>
          <w:tcPr>
            <w:tcW w:type="dxa" w:w="52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4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Leads</w:t>
            </w:r>
          </w:p>
        </w:tc>
        <w:tc>
          <w:tcPr>
            <w:tcW w:type="dxa" w:w="24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 Mail (Checks)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267</w:t>
            </w:r>
          </w:p>
        </w:tc>
        <w:tc>
          <w:tcPr>
            <w:tcW w:type="dxa" w:w="2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65.1%</w:t>
            </w:r>
          </w:p>
        </w:tc>
      </w:tr>
      <w:tr>
        <w:tc>
          <w:tcPr>
            <w:tcW w:type="dxa" w:w="52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 Mail (Postcard)</w:t>
            </w:r>
          </w:p>
        </w:tc>
        <w:tc>
          <w:tcPr>
            <w:tcW w:type="dxa" w:w="2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142</w:t>
            </w:r>
          </w:p>
        </w:tc>
        <w:tc>
          <w:tcPr>
            <w:tcW w:type="dxa" w:w="24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34.6%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 Mail (Letters)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0.2%</w:t>
            </w:r>
          </w:p>
        </w:tc>
      </w:tr>
      <w:tr>
        <w:tc>
          <w:tcPr>
            <w:tcW w:type="dxa" w:w="52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40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410</w:t>
            </w:r>
          </w:p>
        </w:tc>
        <w:tc>
          <w:tcPr>
            <w:tcW w:type="dxa" w:w="2480"/>
            <w:shd w:fill="f2f4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100%</w:t>
            </w:r>
          </w:p>
        </w:tc>
      </w:tr>
    </w:tbl>
    <w:p>
      <w:pPr>
        <w:pStyle w:val="Heading1"/>
        <w:spacing w:after="120" w:before="220"/>
      </w:pPr>
      <w:r>
        <w:rPr>
          <w:color w:val="1f3a5f"/>
        </w:rPr>
        <w:t xml:space="preserve">Read-out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Not profitable. </w:t>
      </w:r>
      <w:r>
        <w:t xml:space="preserve">Net loss of −$88,413.87; ROA 0.29x — the channel returns $0.29 per $1.00 spent.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Revenue is thin and single-sourced. </w:t>
      </w:r>
      <w:r>
        <w:t xml:space="preserve">$35,918.75 from one closed deal; the second acquisition still has a blank revenue field in REI.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The bottleneck is conversion. </w:t>
      </w:r>
      <w:r>
        <w:t xml:space="preserve">410 leads → 4 deals initiated → 2 acquired (0.49% close rate); 246 of 410 (60%) are Dead.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b/>
          <w:bCs/>
        </w:rPr>
        <w:t xml:space="preserve">Break-even is close. </w:t>
      </w:r>
      <w:r>
        <w:t xml:space="preserve">One to two properly-booked deals at a ~$25K spread move the channel toward break-even.</w:t>
      </w:r>
    </w:p>
    <w:p>
      <w:pPr>
        <w:pBdr>
          <w:bottom w:val="single" w:color="d0d0d0" w:sz="6" w:space="1"/>
        </w:pBdr>
        <w:spacing w:after="120"/>
      </w:pPr>
      <w:r>
        <w:t xml:space="preserve"/>
      </w:r>
    </w:p>
    <w:p>
      <w:pPr>
        <w:spacing w:before="80"/>
      </w:pPr>
      <w:r>
        <w:rPr>
          <w:i/>
          <w:iCs/>
          <w:color w:val="555555"/>
          <w:sz w:val="17"/>
          <w:szCs w:val="17"/>
        </w:rPr>
        <w:t xml:space="preserve">Prepared for Juan Diaz. Direct-mail channel only. Core financials verified against the published KPI dashboard artifact (2026-07-21); leads/stages/sources re-verified live on Monday.com (2026-07-22). No estimated or placeholder values. No changes were made to Monday.com, the artifact, or any records.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20"/>
    </w:pPr>
    <w:rPr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Direct-Mail KPI Dashboard Report</dc:title>
  <dc:creator>Twin Home Buyer</dc:creator>
  <cp:lastModifiedBy>Un-named</cp:lastModifiedBy>
  <cp:revision>1</cp:revision>
  <dcterms:created xsi:type="dcterms:W3CDTF">2026-07-22T17:54:20.609Z</dcterms:created>
  <dcterms:modified xsi:type="dcterms:W3CDTF">2026-07-22T17:54:20.622Z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