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Calibri" w:cs="Calibri" w:eastAsia="Calibri" w:hAnsi="Calibri"/>
          <w:b/>
          <w:bCs/>
          <w:color w:val="1F3A5F"/>
          <w:spacing w:val="40"/>
          <w:sz w:val="56"/>
          <w:szCs w:val="56"/>
        </w:rPr>
        <w:t xml:space="preserve">TWIN HOME BUYER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b/>
          <w:bCs/>
          <w:color w:val="2A78D6"/>
          <w:sz w:val="40"/>
          <w:szCs w:val="40"/>
        </w:rPr>
        <w:t xml:space="preserve">Direct-Mail KPI Report</w:t>
      </w:r>
    </w:p>
    <w:p>
      <w:pPr>
        <w:pBdr>
          <w:bottom w:val="single" w:color="2A78D6" w:sz="8" w:space="6"/>
        </w:pBdr>
        <w:spacing w:after="0" w:before="240"/>
        <w:jc w:val="center"/>
      </w:pPr>
    </w:p>
    <w:p>
      <w:pPr>
        <w:spacing w:after="0" w:before="220"/>
        <w:jc w:val="center"/>
      </w:pPr>
      <w:r>
        <w:rPr>
          <w:rFonts w:ascii="Calibri" w:cs="Calibri" w:eastAsia="Calibri" w:hAnsi="Calibri"/>
          <w:b/>
          <w:bCs/>
          <w:color w:val="141413"/>
          <w:sz w:val="26"/>
          <w:szCs w:val="26"/>
        </w:rPr>
        <w:t xml:space="preserve">Equity Track Inc</w:t>
      </w:r>
    </w:p>
    <w:p>
      <w:pPr>
        <w:spacing w:after="0" w:before="40"/>
        <w:jc w:val="center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Direct mail only  ·  checks · letters · postcards  ·  2026</w:t>
      </w:r>
    </w:p>
    <w:p>
      <w:pPr>
        <w:spacing w:after="500"/>
      </w:pP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Data generated 2026-07-21 · Report compiled 2026-07-22</w:t>
      </w:r>
    </w:p>
    <w:p>
      <w:pPr>
        <w:spacing w:after="0" w:before="40"/>
        <w:jc w:val="center"/>
      </w:pPr>
      <w:r>
        <w:rPr>
          <w:rFonts w:ascii="Calibri" w:cs="Calibri" w:eastAsia="Calibri" w:hAnsi="Calibri"/>
          <w:color w:val="52514E"/>
          <w:sz w:val="17"/>
          <w:szCs w:val="17"/>
        </w:rPr>
        <w:t xml:space="preserve">Sources: QuickBooks Online · REI Blackbook · Monday.com · Twin Home Buyer "KPI Postcard" Google Sheet</w:t>
      </w:r>
    </w:p>
    <w:p>
      <w:pPr>
        <w:spacing w:after="0" w:before="40"/>
        <w:jc w:val="center"/>
      </w:pPr>
      <w:r>
        <w:rPr>
          <w:rFonts w:ascii="Calibri" w:cs="Calibri" w:eastAsia="Calibri" w:hAnsi="Calibri"/>
          <w:i/>
          <w:iCs/>
          <w:color w:val="037F4C"/>
          <w:sz w:val="17"/>
          <w:szCs w:val="17"/>
        </w:rPr>
        <w:t xml:space="preserve">Independently re-verified vs live REI: 410 = 410 exact match · 0 duplicates · 0 stage mismatches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Data Sources</w:t>
      </w:r>
    </w:p>
    <w:tbl>
      <w:tblPr>
        <w:tblW w:type="dxa" w:w="9360"/>
        <w:tblBorders>
          <w:top w:val="single" w:color="E4E7EC" w:sz="4"/>
          <w:left w:val="none"/>
          <w:bottom w:val="single" w:color="E4E7EC" w:sz="4"/>
          <w:right w:val="none"/>
          <w:insideH w:val="single" w:color="E4E7EC" w:sz="2"/>
          <w:insideV w:val="none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2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45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feeds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QuickBooks Online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AM- Direct Mail account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Direct-mail spend</w:t>
            </w:r>
          </w:p>
        </w:tc>
      </w:tr>
      <w:tr>
        <w:tc>
          <w:tcPr>
            <w:tcW w:type="dxa" w:w="26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REI Blackbook</w:t>
            </w:r>
          </w:p>
        </w:tc>
        <w:tc>
          <w:tcPr>
            <w:tcW w:type="dxa" w:w="22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Contacts / Revenue field</w:t>
            </w:r>
          </w:p>
        </w:tc>
        <w:tc>
          <w:tcPr>
            <w:tcW w:type="dxa" w:w="45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Direct-mail leads &amp; revenue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Monday.com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Equity Track Iriga – Operating System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Mail production &amp; pipeline</w:t>
            </w:r>
          </w:p>
        </w:tc>
      </w:tr>
      <w:tr>
        <w:tc>
          <w:tcPr>
            <w:tcW w:type="dxa" w:w="26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Google Sheet</w:t>
            </w:r>
          </w:p>
        </w:tc>
        <w:tc>
          <w:tcPr>
            <w:tcW w:type="dxa" w:w="22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"KPI Postcard" tracker</w:t>
            </w:r>
          </w:p>
        </w:tc>
        <w:tc>
          <w:tcPr>
            <w:tcW w:type="dxa" w:w="45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Postcard campaign (source of truth)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Headline KPIs</w:t>
      </w:r>
    </w:p>
    <w:p>
      <w:pPr>
        <w:spacing w:after="14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2514E"/>
          <w:sz w:val="19"/>
          <w:szCs w:val="19"/>
        </w:rPr>
        <w:t xml:space="preserve">Spend, mail, leads and revenue for the direct-mail channel — YTD 2026.</w:t>
      </w:r>
    </w:p>
    <w:tbl>
      <w:tblPr>
        <w:tblW w:type="dxa" w:w="9360"/>
        <w:tblBorders>
          <w:top w:val="single" w:color="E4E7EC" w:sz="4"/>
          <w:left w:val="none"/>
          <w:bottom w:val="single" w:color="E4E7EC" w:sz="4"/>
          <w:right w:val="none"/>
          <w:insideH w:val="single" w:color="E4E7EC" w:sz="2"/>
          <w:insideV w:val="none"/>
        </w:tblBorders>
      </w:tblPr>
      <w:tblGrid>
        <w:gridCol w:w="3000"/>
        <w:gridCol w:w="2100"/>
        <w:gridCol w:w="426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1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2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Basis / detail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Direct-Mail Spend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413"/>
                <w:sz w:val="19"/>
                <w:szCs w:val="19"/>
              </w:rPr>
              <w:t xml:space="preserve">$124.3K</w:t>
            </w:r>
          </w:p>
        </w:tc>
        <w:tc>
          <w:tcPr>
            <w:tcW w:type="dxa" w:w="42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QuickBooks · YTD 2026</w:t>
            </w:r>
          </w:p>
        </w:tc>
      </w:tr>
      <w:tr>
        <w:tc>
          <w:tcPr>
            <w:tcW w:type="dxa" w:w="30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Direct-Mail Leads</w:t>
            </w:r>
          </w:p>
        </w:tc>
        <w:tc>
          <w:tcPr>
            <w:tcW w:type="dxa" w:w="2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413"/>
                <w:sz w:val="19"/>
                <w:szCs w:val="19"/>
              </w:rPr>
              <w:t xml:space="preserve">410</w:t>
            </w:r>
          </w:p>
        </w:tc>
        <w:tc>
          <w:tcPr>
            <w:tcW w:type="dxa" w:w="42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Live on Monday board (by stage below)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Cost / Lead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413"/>
                <w:sz w:val="19"/>
                <w:szCs w:val="19"/>
              </w:rPr>
              <w:t xml:space="preserve">$303</w:t>
            </w:r>
          </w:p>
        </w:tc>
        <w:tc>
          <w:tcPr>
            <w:tcW w:type="dxa" w:w="42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$124,333 ÷ 410 leads</w:t>
            </w:r>
          </w:p>
        </w:tc>
      </w:tr>
      <w:tr>
        <w:tc>
          <w:tcPr>
            <w:tcW w:type="dxa" w:w="30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Postcards Mailed</w:t>
            </w:r>
          </w:p>
        </w:tc>
        <w:tc>
          <w:tcPr>
            <w:tcW w:type="dxa" w:w="2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413"/>
                <w:sz w:val="19"/>
                <w:szCs w:val="19"/>
              </w:rPr>
              <w:t xml:space="preserve">94,753</w:t>
            </w:r>
          </w:p>
        </w:tc>
        <w:tc>
          <w:tcPr>
            <w:tcW w:type="dxa" w:w="42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42 batches (tracker)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Active Pipeline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413"/>
                <w:sz w:val="19"/>
                <w:szCs w:val="19"/>
              </w:rPr>
              <w:t xml:space="preserve">91</w:t>
            </w:r>
          </w:p>
        </w:tc>
        <w:tc>
          <w:tcPr>
            <w:tcW w:type="dxa" w:w="42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working + appt + UC + won (of 410)</w:t>
            </w:r>
          </w:p>
        </w:tc>
      </w:tr>
      <w:tr>
        <w:tc>
          <w:tcPr>
            <w:tcW w:type="dxa" w:w="30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Revenue (REI)</w:t>
            </w:r>
          </w:p>
        </w:tc>
        <w:tc>
          <w:tcPr>
            <w:tcW w:type="dxa" w:w="2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37F4C"/>
                <w:sz w:val="19"/>
                <w:szCs w:val="19"/>
              </w:rPr>
              <w:t xml:space="preserve">$35.9K</w:t>
            </w:r>
          </w:p>
        </w:tc>
        <w:tc>
          <w:tcPr>
            <w:tcW w:type="dxa" w:w="42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1 of 2 wins reported · QuickBooks $0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Total ROA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F2F4A"/>
                <w:sz w:val="19"/>
                <w:szCs w:val="19"/>
              </w:rPr>
              <w:t xml:space="preserve">0.29x</w:t>
            </w:r>
          </w:p>
        </w:tc>
        <w:tc>
          <w:tcPr>
            <w:tcW w:type="dxa" w:w="42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$35,918.75 rev ÷ $124,332.62 spend · net −$88,413.87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 · Direct-Mail Engine</w:t>
      </w:r>
    </w:p>
    <w:p>
      <w:pPr>
        <w:spacing w:after="14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2514E"/>
          <w:sz w:val="19"/>
          <w:szCs w:val="19"/>
        </w:rPr>
        <w:t xml:space="preserve">Money spent, mail sent, and leads back — the direct-mail channel only. Sources: QuickBooks, REI Blackbook, Monday.com.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Direct-mail spend by month</w:t>
      </w:r>
    </w:p>
    <w:p>
      <w:pPr>
        <w:spacing w:after="14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2514E"/>
          <w:sz w:val="19"/>
          <w:szCs w:val="19"/>
        </w:rPr>
        <w:t xml:space="preserve">QuickBooks · AM- Direct Mail account</w:t>
      </w:r>
    </w:p>
    <w:tbl>
      <w:tblPr>
        <w:tblW w:type="dxa" w:w="9360"/>
        <w:tblBorders>
          <w:top w:val="single" w:color="E4E7EC" w:sz="4"/>
          <w:left w:val="none"/>
          <w:bottom w:val="single" w:color="E4E7EC" w:sz="4"/>
          <w:right w:val="none"/>
          <w:insideH w:val="single" w:color="E4E7EC" w:sz="2"/>
          <w:insideV w:val="none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Month (2026)</w:t>
            </w:r>
          </w:p>
        </w:tc>
        <w:tc>
          <w:tcPr>
            <w:tcW w:type="dxa" w:w="468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Spend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January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$41,711</w:t>
            </w:r>
          </w:p>
        </w:tc>
      </w:tr>
      <w:tr>
        <w:tc>
          <w:tcPr>
            <w:tcW w:type="dxa" w:w="468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February</w:t>
            </w:r>
          </w:p>
        </w:tc>
        <w:tc>
          <w:tcPr>
            <w:tcW w:type="dxa" w:w="468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$30,860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March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$27,469</w:t>
            </w:r>
          </w:p>
        </w:tc>
      </w:tr>
      <w:tr>
        <w:tc>
          <w:tcPr>
            <w:tcW w:type="dxa" w:w="468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April</w:t>
            </w:r>
          </w:p>
        </w:tc>
        <w:tc>
          <w:tcPr>
            <w:tcW w:type="dxa" w:w="468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$759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May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$6,254</w:t>
            </w:r>
          </w:p>
        </w:tc>
      </w:tr>
      <w:tr>
        <w:tc>
          <w:tcPr>
            <w:tcW w:type="dxa" w:w="468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June</w:t>
            </w:r>
          </w:p>
        </w:tc>
        <w:tc>
          <w:tcPr>
            <w:tcW w:type="dxa" w:w="468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$17,268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July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$10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Direct-mail leads by month</w:t>
      </w:r>
    </w:p>
    <w:p>
      <w:pPr>
        <w:spacing w:after="14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2514E"/>
          <w:sz w:val="19"/>
          <w:szCs w:val="19"/>
        </w:rPr>
        <w:t xml:space="preserve">REI Blackbook · ~1 month lag behind spend</w:t>
      </w:r>
    </w:p>
    <w:tbl>
      <w:tblPr>
        <w:tblW w:type="dxa" w:w="9360"/>
        <w:tblBorders>
          <w:top w:val="single" w:color="E4E7EC" w:sz="4"/>
          <w:left w:val="none"/>
          <w:bottom w:val="single" w:color="E4E7EC" w:sz="4"/>
          <w:right w:val="none"/>
          <w:insideH w:val="single" w:color="E4E7EC" w:sz="2"/>
          <w:insideV w:val="none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Month (2026)</w:t>
            </w:r>
          </w:p>
        </w:tc>
        <w:tc>
          <w:tcPr>
            <w:tcW w:type="dxa" w:w="468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Leads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January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112</w:t>
            </w:r>
          </w:p>
        </w:tc>
      </w:tr>
      <w:tr>
        <w:tc>
          <w:tcPr>
            <w:tcW w:type="dxa" w:w="468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February</w:t>
            </w:r>
          </w:p>
        </w:tc>
        <w:tc>
          <w:tcPr>
            <w:tcW w:type="dxa" w:w="468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70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March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56</w:t>
            </w:r>
          </w:p>
        </w:tc>
      </w:tr>
      <w:tr>
        <w:tc>
          <w:tcPr>
            <w:tcW w:type="dxa" w:w="468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April</w:t>
            </w:r>
          </w:p>
        </w:tc>
        <w:tc>
          <w:tcPr>
            <w:tcW w:type="dxa" w:w="468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27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May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468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June</w:t>
            </w:r>
          </w:p>
        </w:tc>
        <w:tc>
          <w:tcPr>
            <w:tcW w:type="dxa" w:w="468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67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July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26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Conversion funnel — direct mail</w:t>
      </w:r>
    </w:p>
    <w:p>
      <w:pPr>
        <w:spacing w:after="14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2514E"/>
          <w:sz w:val="19"/>
          <w:szCs w:val="19"/>
        </w:rPr>
        <w:t xml:space="preserve">Monday board groups · live · 2026 YTD</w:t>
      </w:r>
    </w:p>
    <w:tbl>
      <w:tblPr>
        <w:tblW w:type="dxa" w:w="9360"/>
        <w:tblBorders>
          <w:top w:val="single" w:color="E4E7EC" w:sz="4"/>
          <w:left w:val="none"/>
          <w:bottom w:val="single" w:color="E4E7EC" w:sz="4"/>
          <w:right w:val="none"/>
          <w:insideH w:val="single" w:color="E4E7EC" w:sz="2"/>
          <w:insideV w:val="none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8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</w:tr>
      <w:tr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Direct-mail leads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410</w:t>
            </w:r>
          </w:p>
        </w:tc>
      </w:tr>
      <w:tr>
        <w:tc>
          <w:tcPr>
            <w:tcW w:type="dxa" w:w="65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Working / contacted</w:t>
            </w:r>
          </w:p>
        </w:tc>
        <w:tc>
          <w:tcPr>
            <w:tcW w:type="dxa" w:w="28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80</w:t>
            </w:r>
          </w:p>
        </w:tc>
      </w:tr>
      <w:tr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Appointment &amp; offer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65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Under contract</w:t>
            </w:r>
          </w:p>
        </w:tc>
        <w:tc>
          <w:tcPr>
            <w:tcW w:type="dxa" w:w="28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Won / acquired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2</w:t>
            </w:r>
          </w:p>
        </w:tc>
      </w:tr>
    </w:tbl>
    <w:p>
      <w:pPr>
        <w:pBdr>
          <w:top w:val="single" w:color="E4E7EC" w:sz="2" w:space="6"/>
          <w:bottom w:val="single" w:color="E4E7EC" w:sz="2" w:space="6"/>
          <w:left w:val="single" w:color="037F4C" w:sz="18" w:space="8"/>
          <w:right w:val="single" w:color="E4E7EC" w:sz="2" w:space="6"/>
        </w:pBdr>
        <w:shd w:fill="F7F8FA" w:color="auto" w:val="clear"/>
        <w:spacing w:after="160" w:before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3"/>
          <w:sz w:val="20"/>
          <w:szCs w:val="20"/>
        </w:rPr>
        <w:t xml:space="preserve">The board shows </w:t>
      </w:r>
      <w:r>
        <w:rPr>
          <w:rFonts w:ascii="Calibri" w:cs="Calibri" w:eastAsia="Calibri" w:hAnsi="Calibri"/>
          <w:b/>
          <w:bCs/>
          <w:i w:val="false"/>
          <w:iCs w:val="false"/>
          <w:color w:val="141413"/>
          <w:sz w:val="20"/>
          <w:szCs w:val="20"/>
        </w:rPr>
        <w:t xml:space="preserve">2 Won + 1 Under Contract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3"/>
          <w:sz w:val="20"/>
          <w:szCs w:val="20"/>
        </w:rPr>
        <w:t xml:space="preserve"> (Damond Dixon’s $120K Oakland contract was cancelled — moved to the Cancelled Contract group). REI Blackbook now reports </w:t>
      </w:r>
      <w:r>
        <w:rPr>
          <w:rFonts w:ascii="Calibri" w:cs="Calibri" w:eastAsia="Calibri" w:hAnsi="Calibri"/>
          <w:b/>
          <w:bCs/>
          <w:i w:val="false"/>
          <w:iCs w:val="false"/>
          <w:color w:val="141413"/>
          <w:sz w:val="20"/>
          <w:szCs w:val="20"/>
        </w:rPr>
        <w:t xml:space="preserve">$35,918.75 revenue on Dianne Andrews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3"/>
          <w:sz w:val="20"/>
          <w:szCs w:val="20"/>
        </w:rPr>
        <w:t xml:space="preserve"> (Oakland, checks) — first real revenue attribution. Denise Marks’ revenue is still blank in REI, and QuickBooks still shows $0 booked; overall direct-mail ROA so far: </w:t>
      </w:r>
      <w:r>
        <w:rPr>
          <w:rFonts w:ascii="Calibri" w:cs="Calibri" w:eastAsia="Calibri" w:hAnsi="Calibri"/>
          <w:b/>
          <w:bCs/>
          <w:i w:val="false"/>
          <w:iCs w:val="false"/>
          <w:color w:val="141413"/>
          <w:sz w:val="20"/>
          <w:szCs w:val="20"/>
        </w:rPr>
        <w:t xml:space="preserve">0.29x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3"/>
          <w:sz w:val="20"/>
          <w:szCs w:val="20"/>
        </w:rPr>
        <w:t xml:space="preserve"> ($35.9K / $124.3K).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Campaigns on direct-mail leads</w:t>
      </w:r>
    </w:p>
    <w:p>
      <w:pPr>
        <w:spacing w:after="14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2514E"/>
          <w:sz w:val="19"/>
          <w:szCs w:val="19"/>
        </w:rPr>
        <w:t xml:space="preserve">~54 of 374 leads carry a campaign name (14%)</w:t>
      </w:r>
    </w:p>
    <w:tbl>
      <w:tblPr>
        <w:tblW w:type="dxa" w:w="9360"/>
        <w:tblBorders>
          <w:top w:val="single" w:color="E4E7EC" w:sz="4"/>
          <w:left w:val="none"/>
          <w:bottom w:val="single" w:color="E4E7EC" w:sz="4"/>
          <w:right w:val="none"/>
          <w:insideH w:val="single" w:color="E4E7EC" w:sz="2"/>
          <w:insideV w:val="none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Campaign</w:t>
            </w:r>
          </w:p>
        </w:tc>
        <w:tc>
          <w:tcPr>
            <w:tcW w:type="dxa" w:w="28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Leads</w:t>
            </w:r>
          </w:p>
        </w:tc>
      </w:tr>
      <w:tr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Postcard Liens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65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EQT Liens – Check</w:t>
            </w:r>
          </w:p>
        </w:tc>
        <w:tc>
          <w:tcPr>
            <w:tcW w:type="dxa" w:w="28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Postcard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65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70% Distress</w:t>
            </w:r>
          </w:p>
        </w:tc>
        <w:tc>
          <w:tcPr>
            <w:tcW w:type="dxa" w:w="28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Tax Delinquent EQT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5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Ugly Houses</w:t>
            </w:r>
          </w:p>
        </w:tc>
        <w:tc>
          <w:tcPr>
            <w:tcW w:type="dxa" w:w="28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Other campaigns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11</w:t>
            </w:r>
          </w:p>
        </w:tc>
      </w:tr>
    </w:tbl>
    <w:p>
      <w:pPr>
        <w:pBdr>
          <w:top w:val="single" w:color="E4E7EC" w:sz="2" w:space="6"/>
          <w:bottom w:val="single" w:color="E4E7EC" w:sz="2" w:space="6"/>
          <w:left w:val="single" w:color="B9770B" w:sz="18" w:space="8"/>
          <w:right w:val="single" w:color="E4E7EC" w:sz="2" w:space="6"/>
        </w:pBdr>
        <w:shd w:fill="F7F8FA" w:color="auto" w:val="clear"/>
        <w:spacing w:after="160" w:before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3"/>
          <w:sz w:val="20"/>
          <w:szCs w:val="20"/>
        </w:rPr>
        <w:t xml:space="preserve">86% of direct-mail leads have </w:t>
      </w:r>
      <w:r>
        <w:rPr>
          <w:rFonts w:ascii="Calibri" w:cs="Calibri" w:eastAsia="Calibri" w:hAnsi="Calibri"/>
          <w:b/>
          <w:bCs/>
          <w:i w:val="false"/>
          <w:iCs w:val="false"/>
          <w:color w:val="141413"/>
          <w:sz w:val="20"/>
          <w:szCs w:val="20"/>
        </w:rPr>
        <w:t xml:space="preserve">no campaign tag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3"/>
          <w:sz w:val="20"/>
          <w:szCs w:val="20"/>
        </w:rPr>
        <w:t xml:space="preserve"> — the attribution gap the integration is meant to close.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 · Pipeline &amp; Mail Operations</w:t>
      </w:r>
    </w:p>
    <w:p>
      <w:pPr>
        <w:spacing w:after="14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2514E"/>
          <w:sz w:val="19"/>
          <w:szCs w:val="19"/>
        </w:rPr>
        <w:t xml:space="preserve">Live property pipeline and the Redstone mail production tracked on the Iriga Operating System. Source: Monday.com.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Property pipeline stages</w:t>
      </w:r>
    </w:p>
    <w:p>
      <w:pPr>
        <w:spacing w:after="14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2514E"/>
          <w:sz w:val="19"/>
          <w:szCs w:val="19"/>
        </w:rPr>
        <w:t xml:space="preserve">Monday.com / REI property inbox</w:t>
      </w:r>
    </w:p>
    <w:tbl>
      <w:tblPr>
        <w:tblW w:type="dxa" w:w="9360"/>
        <w:tblBorders>
          <w:top w:val="single" w:color="E4E7EC" w:sz="4"/>
          <w:left w:val="none"/>
          <w:bottom w:val="single" w:color="E4E7EC" w:sz="4"/>
          <w:right w:val="none"/>
          <w:insideH w:val="single" w:color="E4E7EC" w:sz="2"/>
          <w:insideV w:val="none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8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Properties</w:t>
            </w:r>
          </w:p>
        </w:tc>
      </w:tr>
      <w:tr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New (to work)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2,427</w:t>
            </w:r>
          </w:p>
        </w:tc>
      </w:tr>
      <w:tr>
        <w:tc>
          <w:tcPr>
            <w:tcW w:type="dxa" w:w="65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Evaluating</w:t>
            </w:r>
          </w:p>
        </w:tc>
        <w:tc>
          <w:tcPr>
            <w:tcW w:type="dxa" w:w="28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42</w:t>
            </w:r>
          </w:p>
        </w:tc>
      </w:tr>
      <w:tr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Under Contract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5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Closed (all-time)</w:t>
            </w:r>
          </w:p>
        </w:tc>
        <w:tc>
          <w:tcPr>
            <w:tcW w:type="dxa" w:w="28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1,444</w:t>
            </w:r>
          </w:p>
        </w:tc>
      </w:tr>
      <w:tr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Property Leads board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292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Redstone mail production</w:t>
      </w:r>
    </w:p>
    <w:p>
      <w:pPr>
        <w:spacing w:after="14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2514E"/>
          <w:sz w:val="19"/>
          <w:szCs w:val="19"/>
        </w:rPr>
        <w:t xml:space="preserve">Monday.com · Red Stone Upload · May–Jul (relaunch era)</w:t>
      </w:r>
    </w:p>
    <w:tbl>
      <w:tblPr>
        <w:tblW w:type="dxa" w:w="9360"/>
        <w:tblBorders>
          <w:top w:val="single" w:color="E4E7EC" w:sz="4"/>
          <w:left w:val="none"/>
          <w:bottom w:val="single" w:color="E4E7EC" w:sz="4"/>
          <w:right w:val="none"/>
          <w:insideH w:val="single" w:color="E4E7EC" w:sz="2"/>
          <w:insideV w:val="none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8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Mail batches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65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Pieces mailed</w:t>
            </w:r>
          </w:p>
        </w:tc>
        <w:tc>
          <w:tcPr>
            <w:tcW w:type="dxa" w:w="28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47,803</w:t>
            </w:r>
          </w:p>
        </w:tc>
      </w:tr>
      <w:tr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Tracked cost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$23,278</w:t>
            </w:r>
          </w:p>
        </w:tc>
      </w:tr>
      <w:tr>
        <w:tc>
          <w:tcPr>
            <w:tcW w:type="dxa" w:w="65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Avg cost / piece</w:t>
            </w:r>
          </w:p>
        </w:tc>
        <w:tc>
          <w:tcPr>
            <w:tcW w:type="dxa" w:w="28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$0.49</w:t>
            </w:r>
          </w:p>
        </w:tc>
      </w:tr>
      <w:tr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Cost / direct-mail lead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$330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 · Lead Map — Valid, Appointment &amp; Acquired Leads</w:t>
      </w:r>
    </w:p>
    <w:p>
      <w:pPr>
        <w:spacing w:after="14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2514E"/>
          <w:sz w:val="19"/>
          <w:szCs w:val="19"/>
        </w:rPr>
        <w:t xml:space="preserve">Every active direct-mail lead geocoded from its property address on the Monday board. Showing 82 of 88 active leads (6 fall outside the Bay Area / Central Valley frame).</w:t>
      </w:r>
    </w:p>
    <w:tbl>
      <w:tblPr>
        <w:tblW w:type="dxa" w:w="9360"/>
        <w:tblBorders>
          <w:top w:val="single" w:color="E4E7EC" w:sz="4"/>
          <w:left w:val="none"/>
          <w:bottom w:val="single" w:color="E4E7EC" w:sz="4"/>
          <w:right w:val="none"/>
          <w:insideH w:val="single" w:color="E4E7EC" w:sz="2"/>
          <w:insideV w:val="none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8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Geocoded leads</w:t>
            </w:r>
          </w:p>
        </w:tc>
      </w:tr>
      <w:tr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New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27</w:t>
            </w:r>
          </w:p>
        </w:tc>
      </w:tr>
      <w:tr>
        <w:tc>
          <w:tcPr>
            <w:tcW w:type="dxa" w:w="65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Contacted</w:t>
            </w:r>
          </w:p>
        </w:tc>
        <w:tc>
          <w:tcPr>
            <w:tcW w:type="dxa" w:w="28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32</w:t>
            </w:r>
          </w:p>
        </w:tc>
      </w:tr>
      <w:tr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Interested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65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Under Contract</w:t>
            </w:r>
          </w:p>
        </w:tc>
        <w:tc>
          <w:tcPr>
            <w:tcW w:type="dxa" w:w="28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Appointment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65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Acquired</w:t>
            </w:r>
          </w:p>
        </w:tc>
        <w:tc>
          <w:tcPr>
            <w:tcW w:type="dxa" w:w="28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413"/>
                <w:sz w:val="19"/>
                <w:szCs w:val="19"/>
              </w:rPr>
              <w:t xml:space="preserve">Total shown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41413"/>
                <w:sz w:val="19"/>
                <w:szCs w:val="19"/>
              </w:rPr>
              <w:t xml:space="preserve">82</w:t>
            </w:r>
          </w:p>
        </w:tc>
      </w:tr>
    </w:tbl>
    <w:p>
      <w:pPr>
        <w:pBdr>
          <w:top w:val="single" w:color="E4E7EC" w:sz="2" w:space="6"/>
          <w:bottom w:val="single" w:color="E4E7EC" w:sz="2" w:space="6"/>
          <w:left w:val="single" w:color="037F4C" w:sz="18" w:space="8"/>
          <w:right w:val="single" w:color="E4E7EC" w:sz="2" w:space="6"/>
        </w:pBdr>
        <w:shd w:fill="F7F8FA" w:color="auto" w:val="clear"/>
        <w:spacing w:after="160" w:before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41413"/>
          <w:sz w:val="20"/>
          <w:szCs w:val="20"/>
        </w:rPr>
        <w:t xml:space="preserve">The pipeline is an East Bay / Central Valley story.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3"/>
          <w:sz w:val="20"/>
          <w:szCs w:val="20"/>
        </w:rPr>
        <w:t xml:space="preserve"> Appointments and all 3 acquisitions cluster around Oakland, the I-80 corridor and the 205/99 Central Valley — the same areas the postcards concentrate. That geographic overlap is where the follow-up muscle should go.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 · Postcard Campaign — Official Tracker</w:t>
      </w:r>
    </w:p>
    <w:p>
      <w:pPr>
        <w:spacing w:after="14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2514E"/>
          <w:sz w:val="19"/>
          <w:szCs w:val="19"/>
        </w:rPr>
        <w:t xml:space="preserve">Twin Home Buyer’s own "KPI Postcard" Google Sheet — the source of truth for postcards. Full campaign: Dec 3, 2025 – May 29, 2026 (218 days).</w:t>
      </w:r>
    </w:p>
    <w:tbl>
      <w:tblPr>
        <w:tblW w:type="dxa" w:w="9360"/>
        <w:tblBorders>
          <w:top w:val="single" w:color="E4E7EC" w:sz="4"/>
          <w:left w:val="none"/>
          <w:bottom w:val="single" w:color="E4E7EC" w:sz="4"/>
          <w:right w:val="none"/>
          <w:insideH w:val="single" w:color="E4E7EC" w:sz="2"/>
          <w:insideV w:val="none"/>
        </w:tblBorders>
      </w:tblPr>
      <w:tblGrid>
        <w:gridCol w:w="3000"/>
        <w:gridCol w:w="2100"/>
        <w:gridCol w:w="426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1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2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Postcards Mailed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413"/>
                <w:sz w:val="19"/>
                <w:szCs w:val="19"/>
              </w:rPr>
              <w:t xml:space="preserve">94,753</w:t>
            </w:r>
          </w:p>
        </w:tc>
        <w:tc>
          <w:tcPr>
            <w:tcW w:type="dxa" w:w="42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42 batches · last drop Jun 10</w:t>
            </w:r>
          </w:p>
        </w:tc>
      </w:tr>
      <w:tr>
        <w:tc>
          <w:tcPr>
            <w:tcW w:type="dxa" w:w="30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Redstone Cost</w:t>
            </w:r>
          </w:p>
        </w:tc>
        <w:tc>
          <w:tcPr>
            <w:tcW w:type="dxa" w:w="2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413"/>
                <w:sz w:val="19"/>
                <w:szCs w:val="19"/>
              </w:rPr>
              <w:t xml:space="preserve">$50.6K</w:t>
            </w:r>
          </w:p>
        </w:tc>
        <w:tc>
          <w:tcPr>
            <w:tcW w:type="dxa" w:w="42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$0.534 / postcard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All-in Spend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413"/>
                <w:sz w:val="19"/>
                <w:szCs w:val="19"/>
              </w:rPr>
              <w:t xml:space="preserve">$50.5K</w:t>
            </w:r>
          </w:p>
        </w:tc>
        <w:tc>
          <w:tcPr>
            <w:tcW w:type="dxa" w:w="42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$0.65 / postcard</w:t>
            </w:r>
          </w:p>
        </w:tc>
      </w:tr>
      <w:tr>
        <w:tc>
          <w:tcPr>
            <w:tcW w:type="dxa" w:w="30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Leads</w:t>
            </w:r>
          </w:p>
        </w:tc>
        <w:tc>
          <w:tcPr>
            <w:tcW w:type="dxa" w:w="2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413"/>
                <w:sz w:val="19"/>
                <w:szCs w:val="19"/>
              </w:rPr>
              <w:t xml:space="preserve">92</w:t>
            </w:r>
          </w:p>
        </w:tc>
        <w:tc>
          <w:tcPr>
            <w:tcW w:type="dxa" w:w="42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125 inbound calls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Interest Rate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413"/>
                <w:sz w:val="19"/>
                <w:szCs w:val="19"/>
              </w:rPr>
              <w:t xml:space="preserve">32.6%</w:t>
            </w:r>
          </w:p>
        </w:tc>
        <w:tc>
          <w:tcPr>
            <w:tcW w:type="dxa" w:w="42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30 interested</w:t>
            </w:r>
          </w:p>
        </w:tc>
      </w:tr>
      <w:tr>
        <w:tc>
          <w:tcPr>
            <w:tcW w:type="dxa" w:w="30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Deals Closed</w:t>
            </w:r>
          </w:p>
        </w:tc>
        <w:tc>
          <w:tcPr>
            <w:tcW w:type="dxa" w:w="2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F2F4A"/>
                <w:sz w:val="19"/>
                <w:szCs w:val="19"/>
              </w:rPr>
              <w:t xml:space="preserve">0</w:t>
            </w:r>
          </w:p>
        </w:tc>
        <w:tc>
          <w:tcPr>
            <w:tcW w:type="dxa" w:w="42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$459.51 / lead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Lead response breakdown</w:t>
      </w:r>
    </w:p>
    <w:p>
      <w:pPr>
        <w:spacing w:after="14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2514E"/>
          <w:sz w:val="19"/>
          <w:szCs w:val="19"/>
        </w:rPr>
        <w:t xml:space="preserve">Inbound call dispositions</w:t>
      </w:r>
    </w:p>
    <w:tbl>
      <w:tblPr>
        <w:tblW w:type="dxa" w:w="9360"/>
        <w:tblBorders>
          <w:top w:val="single" w:color="E4E7EC" w:sz="4"/>
          <w:left w:val="none"/>
          <w:bottom w:val="single" w:color="E4E7EC" w:sz="4"/>
          <w:right w:val="none"/>
          <w:insideH w:val="single" w:color="E4E7EC" w:sz="2"/>
          <w:insideV w:val="none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28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</w:tr>
      <w:tr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Not Interested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53</w:t>
            </w:r>
          </w:p>
        </w:tc>
      </w:tr>
      <w:tr>
        <w:tc>
          <w:tcPr>
            <w:tcW w:type="dxa" w:w="65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Interested</w:t>
            </w:r>
          </w:p>
        </w:tc>
        <w:tc>
          <w:tcPr>
            <w:tcW w:type="dxa" w:w="28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Do Not Mail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65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Do Not Call</w:t>
            </w:r>
          </w:p>
        </w:tc>
        <w:tc>
          <w:tcPr>
            <w:tcW w:type="dxa" w:w="28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Ghost Calls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65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No Plans to Sell</w:t>
            </w:r>
          </w:p>
        </w:tc>
        <w:tc>
          <w:tcPr>
            <w:tcW w:type="dxa" w:w="28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No Answer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5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Follow-Up Needed</w:t>
            </w:r>
          </w:p>
        </w:tc>
        <w:tc>
          <w:tcPr>
            <w:tcW w:type="dxa" w:w="28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Nurture Pipeline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2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Deal outcomes &amp; economics</w:t>
      </w:r>
    </w:p>
    <w:p>
      <w:pPr>
        <w:spacing w:after="14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2514E"/>
          <w:sz w:val="19"/>
          <w:szCs w:val="19"/>
        </w:rPr>
        <w:t xml:space="preserve">What the 92 leads became</w:t>
      </w:r>
    </w:p>
    <w:tbl>
      <w:tblPr>
        <w:tblW w:type="dxa" w:w="9360"/>
        <w:tblBorders>
          <w:top w:val="single" w:color="E4E7EC" w:sz="4"/>
          <w:left w:val="none"/>
          <w:bottom w:val="single" w:color="E4E7EC" w:sz="4"/>
          <w:right w:val="none"/>
          <w:insideH w:val="single" w:color="E4E7EC" w:sz="2"/>
          <w:insideV w:val="none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8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Acquired deals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65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Sold deals</w:t>
            </w:r>
          </w:p>
        </w:tc>
        <w:tc>
          <w:tcPr>
            <w:tcW w:type="dxa" w:w="28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Under contract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65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Offers declined</w:t>
            </w:r>
          </w:p>
        </w:tc>
        <w:tc>
          <w:tcPr>
            <w:tcW w:type="dxa" w:w="28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Canceled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65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Lead → deal rate</w:t>
            </w:r>
          </w:p>
        </w:tc>
        <w:tc>
          <w:tcPr>
            <w:tcW w:type="dxa" w:w="28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0.0%</w:t>
            </w:r>
          </w:p>
        </w:tc>
      </w:tr>
      <w:tr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Avg days: mail → contract</w:t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34</w:t>
            </w:r>
          </w:p>
        </w:tc>
      </w:tr>
      <w:tr>
        <w:tc>
          <w:tcPr>
            <w:tcW w:type="dxa" w:w="65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Do Not Mail / Do Not Call</w:t>
            </w:r>
          </w:p>
        </w:tc>
        <w:tc>
          <w:tcPr>
            <w:tcW w:type="dxa" w:w="28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19 / 19</w:t>
            </w:r>
          </w:p>
        </w:tc>
      </w:tr>
    </w:tbl>
    <w:p>
      <w:pPr>
        <w:pBdr>
          <w:top w:val="single" w:color="E4E7EC" w:sz="2" w:space="6"/>
          <w:bottom w:val="single" w:color="E4E7EC" w:sz="2" w:space="6"/>
          <w:left w:val="single" w:color="DF2F4A" w:sz="18" w:space="8"/>
          <w:right w:val="single" w:color="E4E7EC" w:sz="2" w:space="6"/>
        </w:pBdr>
        <w:shd w:fill="F7F8FA" w:color="auto" w:val="clear"/>
        <w:spacing w:after="160" w:before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41413"/>
          <w:sz w:val="20"/>
          <w:szCs w:val="20"/>
        </w:rPr>
        <w:t xml:space="preserve">ROI flag: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3"/>
          <w:sz w:val="20"/>
          <w:szCs w:val="20"/>
        </w:rPr>
        <w:t xml:space="preserve">$50.5K spent, 92 leads, healthy 32.6% interest — but </w:t>
      </w:r>
      <w:r>
        <w:rPr>
          <w:rFonts w:ascii="Calibri" w:cs="Calibri" w:eastAsia="Calibri" w:hAnsi="Calibri"/>
          <w:b/>
          <w:bCs/>
          <w:i w:val="false"/>
          <w:iCs w:val="false"/>
          <w:color w:val="141413"/>
          <w:sz w:val="20"/>
          <w:szCs w:val="20"/>
        </w:rPr>
        <w:t xml:space="preserve">0 deals closed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3"/>
          <w:sz w:val="20"/>
          <w:szCs w:val="20"/>
        </w:rPr>
        <w:t xml:space="preserve"> so far and $459.51 cost per lead. Either offers are landing low (3 declined) or deals are still maturing (34-day mail→contract lag). This is the number to turn around, not the spend.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 · Postcard ROI — The Money View</w:t>
      </w:r>
    </w:p>
    <w:p>
      <w:pPr>
        <w:spacing w:after="14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2514E"/>
          <w:sz w:val="19"/>
          <w:szCs w:val="19"/>
        </w:rPr>
        <w:t xml:space="preserve">The KPIs above count activity. This is the one that counts money — and it exposes where the campaign is actually leaking. Sources: Google Sheet + QuickBooks.</w:t>
      </w:r>
    </w:p>
    <w:tbl>
      <w:tblPr>
        <w:tblW w:type="dxa" w:w="9360"/>
        <w:tblBorders>
          <w:top w:val="single" w:color="E4E7EC" w:sz="4"/>
          <w:left w:val="none"/>
          <w:bottom w:val="single" w:color="E4E7EC" w:sz="4"/>
          <w:right w:val="none"/>
          <w:insideH w:val="single" w:color="E4E7EC" w:sz="2"/>
          <w:insideV w:val="none"/>
        </w:tblBorders>
      </w:tblPr>
      <w:tblGrid>
        <w:gridCol w:w="3000"/>
        <w:gridCol w:w="2100"/>
        <w:gridCol w:w="4260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1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2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Postcard Spend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413"/>
                <w:sz w:val="19"/>
                <w:szCs w:val="19"/>
              </w:rPr>
              <w:t xml:space="preserve">$50.5K</w:t>
            </w:r>
          </w:p>
        </w:tc>
        <w:tc>
          <w:tcPr>
            <w:tcW w:type="dxa" w:w="42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all-in, Dec–May</w:t>
            </w:r>
          </w:p>
        </w:tc>
      </w:tr>
      <w:tr>
        <w:tc>
          <w:tcPr>
            <w:tcW w:type="dxa" w:w="30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Booked Revenue</w:t>
            </w:r>
          </w:p>
        </w:tc>
        <w:tc>
          <w:tcPr>
            <w:tcW w:type="dxa" w:w="2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F2F4A"/>
                <w:sz w:val="19"/>
                <w:szCs w:val="19"/>
              </w:rPr>
              <w:t xml:space="preserve">$0</w:t>
            </w:r>
          </w:p>
        </w:tc>
        <w:tc>
          <w:tcPr>
            <w:tcW w:type="dxa" w:w="42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confirmed in QuickBooks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ROI to Date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F2F4A"/>
                <w:sz w:val="19"/>
                <w:szCs w:val="19"/>
              </w:rPr>
              <w:t xml:space="preserve">−100%</w:t>
            </w:r>
          </w:p>
        </w:tc>
        <w:tc>
          <w:tcPr>
            <w:tcW w:type="dxa" w:w="42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nothing booked yet</w:t>
            </w:r>
          </w:p>
        </w:tc>
      </w:tr>
      <w:tr>
        <w:tc>
          <w:tcPr>
            <w:tcW w:type="dxa" w:w="30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Cost / Lead</w:t>
            </w:r>
          </w:p>
        </w:tc>
        <w:tc>
          <w:tcPr>
            <w:tcW w:type="dxa" w:w="2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413"/>
                <w:sz w:val="19"/>
                <w:szCs w:val="19"/>
              </w:rPr>
              <w:t xml:space="preserve">$549</w:t>
            </w:r>
          </w:p>
        </w:tc>
        <w:tc>
          <w:tcPr>
            <w:tcW w:type="dxa" w:w="42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$459 Redstone-only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Cost / Interested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413"/>
                <w:sz w:val="19"/>
                <w:szCs w:val="19"/>
              </w:rPr>
              <w:t xml:space="preserve">$1,685</w:t>
            </w:r>
          </w:p>
        </w:tc>
        <w:tc>
          <w:tcPr>
            <w:tcW w:type="dxa" w:w="42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30 interested sellers</w:t>
            </w:r>
          </w:p>
        </w:tc>
      </w:tr>
      <w:tr>
        <w:tc>
          <w:tcPr>
            <w:tcW w:type="dxa" w:w="30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Breakeven</w:t>
            </w:r>
          </w:p>
        </w:tc>
        <w:tc>
          <w:tcPr>
            <w:tcW w:type="dxa" w:w="2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413"/>
                <w:sz w:val="19"/>
                <w:szCs w:val="19"/>
              </w:rPr>
              <w:t xml:space="preserve">~2</w:t>
            </w:r>
          </w:p>
        </w:tc>
        <w:tc>
          <w:tcPr>
            <w:tcW w:type="dxa" w:w="42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deals @ $25K profit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The real funnel — where it leaks</w:t>
      </w:r>
    </w:p>
    <w:p>
      <w:pPr>
        <w:spacing w:after="14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2514E"/>
          <w:sz w:val="19"/>
          <w:szCs w:val="19"/>
        </w:rPr>
        <w:t xml:space="preserve">94,753 postcards → 175 postcard leads per tracker (0.18%), then:</w:t>
      </w:r>
    </w:p>
    <w:tbl>
      <w:tblPr>
        <w:tblW w:type="dxa" w:w="9360"/>
        <w:tblBorders>
          <w:top w:val="single" w:color="E4E7EC" w:sz="4"/>
          <w:left w:val="none"/>
          <w:bottom w:val="single" w:color="E4E7EC" w:sz="4"/>
          <w:right w:val="none"/>
          <w:insideH w:val="single" w:color="E4E7EC" w:sz="2"/>
          <w:insideV w:val="none"/>
        </w:tblBorders>
      </w:tblPr>
      <w:tblGrid>
        <w:gridCol w:w="4680"/>
        <w:gridCol w:w="1900"/>
        <w:gridCol w:w="2780"/>
      </w:tblGrid>
      <w:tr>
        <w:trPr>
          <w:tblHeader/>
        </w:trPr>
        <w:tc>
          <w:tcPr>
            <w:tcW w:type="dxa" w:w="468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19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278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Leads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92</w:t>
            </w:r>
          </w:p>
        </w:tc>
        <w:tc>
          <w:tcPr>
            <w:tcW w:type="dxa" w:w="27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Interested</w:t>
            </w:r>
          </w:p>
        </w:tc>
        <w:tc>
          <w:tcPr>
            <w:tcW w:type="dxa" w:w="19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30</w:t>
            </w:r>
          </w:p>
        </w:tc>
        <w:tc>
          <w:tcPr>
            <w:tcW w:type="dxa" w:w="278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32.6% of leads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Offers made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3</w:t>
            </w:r>
          </w:p>
        </w:tc>
        <w:tc>
          <w:tcPr>
            <w:tcW w:type="dxa" w:w="27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10% of interested</w:t>
            </w:r>
          </w:p>
        </w:tc>
      </w:tr>
      <w:tr>
        <w:tc>
          <w:tcPr>
            <w:tcW w:type="dxa" w:w="468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413"/>
                <w:sz w:val="19"/>
                <w:szCs w:val="19"/>
              </w:rPr>
              <w:t xml:space="preserve">Offers accepted</w:t>
            </w:r>
          </w:p>
        </w:tc>
        <w:tc>
          <w:tcPr>
            <w:tcW w:type="dxa" w:w="19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F2F4A"/>
                <w:sz w:val="19"/>
                <w:szCs w:val="19"/>
              </w:rPr>
              <w:t xml:space="preserve">0</w:t>
            </w:r>
          </w:p>
        </w:tc>
        <w:tc>
          <w:tcPr>
            <w:tcW w:type="dxa" w:w="278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0% — all 3 declined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413"/>
                <w:sz w:val="19"/>
                <w:szCs w:val="19"/>
              </w:rPr>
              <w:t xml:space="preserve">Closed / booked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F2F4A"/>
                <w:sz w:val="19"/>
                <w:szCs w:val="19"/>
              </w:rPr>
              <w:t xml:space="preserve">0</w:t>
            </w:r>
          </w:p>
        </w:tc>
        <w:tc>
          <w:tcPr>
            <w:tcW w:type="dxa" w:w="27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$0 revenue</w:t>
            </w:r>
          </w:p>
        </w:tc>
      </w:tr>
    </w:tbl>
    <w:p>
      <w:pPr>
        <w:pBdr>
          <w:top w:val="single" w:color="E4E7EC" w:sz="2" w:space="6"/>
          <w:bottom w:val="single" w:color="E4E7EC" w:sz="2" w:space="6"/>
          <w:left w:val="single" w:color="DF2F4A" w:sz="18" w:space="8"/>
          <w:right w:val="single" w:color="E4E7EC" w:sz="2" w:space="6"/>
        </w:pBdr>
        <w:shd w:fill="F7F8FA" w:color="auto" w:val="clear"/>
        <w:spacing w:after="160" w:before="6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41413"/>
          <w:sz w:val="20"/>
          <w:szCs w:val="20"/>
        </w:rPr>
        <w:t xml:space="preserve">The leak is mid-funnel, not the mail.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3"/>
          <w:sz w:val="20"/>
          <w:szCs w:val="20"/>
        </w:rPr>
        <w:t xml:space="preserve"> 30 sellers said they’re interested, but only </w:t>
      </w:r>
      <w:r>
        <w:rPr>
          <w:rFonts w:ascii="Calibri" w:cs="Calibri" w:eastAsia="Calibri" w:hAnsi="Calibri"/>
          <w:b/>
          <w:bCs/>
          <w:i w:val="false"/>
          <w:iCs w:val="false"/>
          <w:color w:val="141413"/>
          <w:sz w:val="20"/>
          <w:szCs w:val="20"/>
        </w:rPr>
        <w:t xml:space="preserve">3 got an offer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3"/>
          <w:sz w:val="20"/>
          <w:szCs w:val="20"/>
        </w:rPr>
        <w:t xml:space="preserve"> (10%) and </w:t>
      </w:r>
      <w:r>
        <w:rPr>
          <w:rFonts w:ascii="Calibri" w:cs="Calibri" w:eastAsia="Calibri" w:hAnsi="Calibri"/>
          <w:b/>
          <w:bCs/>
          <w:i w:val="false"/>
          <w:iCs w:val="false"/>
          <w:color w:val="141413"/>
          <w:sz w:val="20"/>
          <w:szCs w:val="20"/>
        </w:rPr>
        <w:t xml:space="preserve">0 accepted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3"/>
          <w:sz w:val="20"/>
          <w:szCs w:val="20"/>
        </w:rPr>
        <w:t xml:space="preserve">. The money isn’t lost on postage — it’s lost between "interested" and "offer made / accepted."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Breakeven — it only takes one deal</w:t>
      </w:r>
    </w:p>
    <w:p>
      <w:pPr>
        <w:spacing w:after="14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2514E"/>
          <w:sz w:val="19"/>
          <w:szCs w:val="19"/>
        </w:rPr>
        <w:t xml:space="preserve">Deals needed to cover $50,549</w:t>
      </w:r>
    </w:p>
    <w:tbl>
      <w:tblPr>
        <w:tblW w:type="dxa" w:w="9360"/>
        <w:tblBorders>
          <w:top w:val="single" w:color="E4E7EC" w:sz="4"/>
          <w:left w:val="none"/>
          <w:bottom w:val="single" w:color="E4E7EC" w:sz="4"/>
          <w:right w:val="none"/>
          <w:insideH w:val="single" w:color="E4E7EC" w:sz="2"/>
          <w:insideV w:val="none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Avg profit / deal</w:t>
            </w:r>
          </w:p>
        </w:tc>
        <w:tc>
          <w:tcPr>
            <w:tcW w:type="dxa" w:w="468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Deals to break even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$15,000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3.4</w:t>
            </w:r>
          </w:p>
        </w:tc>
      </w:tr>
      <w:tr>
        <w:tc>
          <w:tcPr>
            <w:tcW w:type="dxa" w:w="468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$25,000</w:t>
            </w:r>
          </w:p>
        </w:tc>
        <w:tc>
          <w:tcPr>
            <w:tcW w:type="dxa" w:w="468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2.0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$40,000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468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$60,000</w:t>
            </w:r>
          </w:p>
        </w:tc>
        <w:tc>
          <w:tcPr>
            <w:tcW w:type="dxa" w:w="468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0.8</w:t>
            </w:r>
          </w:p>
        </w:tc>
      </w:tr>
    </w:tbl>
    <w:p>
      <w:pPr>
        <w:pBdr>
          <w:top w:val="single" w:color="E4E7EC" w:sz="2" w:space="6"/>
          <w:bottom w:val="single" w:color="E4E7EC" w:sz="2" w:space="6"/>
          <w:left w:val="single" w:color="037F4C" w:sz="18" w:space="8"/>
          <w:right w:val="single" w:color="E4E7EC" w:sz="2" w:space="6"/>
        </w:pBdr>
        <w:shd w:fill="F7F8FA" w:color="auto" w:val="clear"/>
        <w:spacing w:after="160" w:before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3"/>
          <w:sz w:val="20"/>
          <w:szCs w:val="20"/>
        </w:rPr>
        <w:t xml:space="preserve">One typical wholesale or flip covers most-to-all of the spend. </w:t>
      </w:r>
      <w:r>
        <w:rPr>
          <w:rFonts w:ascii="Calibri" w:cs="Calibri" w:eastAsia="Calibri" w:hAnsi="Calibri"/>
          <w:b/>
          <w:bCs/>
          <w:i w:val="false"/>
          <w:iCs w:val="false"/>
          <w:color w:val="141413"/>
          <w:sz w:val="20"/>
          <w:szCs w:val="20"/>
        </w:rPr>
        <w:t xml:space="preserve">Cost isn’t the problem — conversion is.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3"/>
          <w:sz w:val="20"/>
          <w:szCs w:val="20"/>
        </w:rPr>
        <w:t xml:space="preserve"> The channel becomes profitable the moment interested sellers start getting (and accepting) offers.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What’s missing — the KPIs that would make ROI real</w:t>
      </w:r>
    </w:p>
    <w:p>
      <w:pPr>
        <w:spacing w:after="14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2514E"/>
          <w:sz w:val="19"/>
          <w:szCs w:val="19"/>
        </w:rPr>
        <w:t xml:space="preserve">You measure spend and leads well. These five gaps are why ROI can’t be computed today.</w:t>
      </w:r>
    </w:p>
    <w:tbl>
      <w:tblPr>
        <w:tblW w:type="dxa" w:w="9360"/>
        <w:tblBorders>
          <w:top w:val="single" w:color="E4E7EC" w:sz="4"/>
          <w:left w:val="none"/>
          <w:bottom w:val="single" w:color="E4E7EC" w:sz="4"/>
          <w:right w:val="none"/>
          <w:insideH w:val="single" w:color="E4E7EC" w:sz="2"/>
          <w:insideV w:val="none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61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1. Closed-revenue attribution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No closing is tied back to a postcard — so the ROI numerator is unknown/$0. This is the #1 fix.</w:t>
            </w:r>
          </w:p>
        </w:tc>
      </w:tr>
      <w:tr>
        <w:tc>
          <w:tcPr>
            <w:tcW w:type="dxa" w:w="32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2. Offer-stage tracking</w:t>
            </w:r>
          </w:p>
        </w:tc>
        <w:tc>
          <w:tcPr>
            <w:tcW w:type="dxa" w:w="61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You track leads and "interested," then jump to deals. The leak (30 → 3 offers → 0 accepted) is invisible in the current KPIs.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3. Avg deal profit / breakeven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Without an average spread per deal you can’t say if the channel is worth it. Set a target (e.g. break even at 2 deals).</w:t>
            </w:r>
          </w:p>
        </w:tc>
      </w:tr>
      <w:tr>
        <w:tc>
          <w:tcPr>
            <w:tcW w:type="dxa" w:w="32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4. Deal-by-list ROI</w:t>
            </w:r>
          </w:p>
        </w:tc>
        <w:tc>
          <w:tcPr>
            <w:tcW w:type="dxa" w:w="61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You track leads by list (liens, tax delinquent, ugly houses) but not which lists produce offers and deals.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5. Contract → close time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9"/>
                <w:szCs w:val="19"/>
              </w:rPr>
              <w:t xml:space="preserve">Mail→contract is 34 days, but no close-cycle metric — so you can’t tell if "0 deals" means failing or just too early.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Scope &amp; Sources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41413"/>
          <w:sz w:val="20"/>
          <w:szCs w:val="20"/>
        </w:rPr>
        <w:t xml:space="preserve">Scope.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3"/>
          <w:sz w:val="20"/>
          <w:szCs w:val="20"/>
        </w:rPr>
        <w:t xml:space="preserve">Direct mail only — other channels (PPC, Property Leads, TV, etc.) and general revenue are excluded from this view.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41413"/>
          <w:sz w:val="20"/>
          <w:szCs w:val="20"/>
        </w:rPr>
        <w:t xml:space="preserve">Sources.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3"/>
          <w:sz w:val="20"/>
          <w:szCs w:val="20"/>
        </w:rPr>
        <w:t xml:space="preserve">Direct-mail spend from the QuickBooks Online API (AM- Direct Mail, $124,330 YTD 2026; company-wide 2026 income $10.98M / net $5.01M, all channels). Direct-mail leads from the Monday board (410 live, by stage: 72 new · 80 working · 8 appointment · 1 under contract · 1 cancelled contract · 2 won · 246 dead). Mail production from Monday.com "Equity Track Iriga – Operating System." Sections 4–5 use Twin Home Buyer’s own "KPI Postcard" Google Sheet (Dec 3 2025 – May 29 2026) — the authoritative postcard tracker (94,753 mailed / 42 batches, 175 postcard leads per tracker, 0 closed). Revenue: REI Blackbook "Revenue" field — $35,918.75 on Dianne Andrews (checks deal); Denise Marks pending; QuickBooks still shows $0 booked, so REI-reported revenue is the ROI source until reconciled.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41413"/>
          <w:sz w:val="20"/>
          <w:szCs w:val="20"/>
        </w:rPr>
        <w:t xml:space="preserve">Verification. </w:t>
      </w:r>
      <w:r>
        <w:rPr>
          <w:rFonts w:ascii="Calibri" w:cs="Calibri" w:eastAsia="Calibri" w:hAnsi="Calibri"/>
          <w:b w:val="false"/>
          <w:bCs w:val="false"/>
          <w:i/>
          <w:iCs/>
          <w:color w:val="141413"/>
          <w:sz w:val="20"/>
          <w:szCs w:val="20"/>
        </w:rPr>
        <w:t xml:space="preserve">Generated 2026-07-21 (independently re-verified vs live REI: 410 = 410 exact match, 0 duplicates, 0 stage mismatches).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Appendix · Activity &amp; Data Log</w:t>
      </w:r>
    </w:p>
    <w:p>
      <w:pPr>
        <w:spacing w:after="14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2514E"/>
          <w:sz w:val="19"/>
          <w:szCs w:val="19"/>
        </w:rPr>
        <w:t xml:space="preserve">Every data pull, reconciliation, and change behind this dashboard — newest first.</w:t>
      </w:r>
    </w:p>
    <w:tbl>
      <w:tblPr>
        <w:tblW w:type="dxa" w:w="9360"/>
        <w:tblBorders>
          <w:top w:val="single" w:color="E4E7EC" w:sz="4"/>
          <w:left w:val="none"/>
          <w:bottom w:val="single" w:color="E4E7EC" w:sz="4"/>
          <w:right w:val="none"/>
          <w:insideH w:val="single" w:color="E4E7EC" w:sz="2"/>
          <w:insideV w:val="none"/>
        </w:tblBorders>
      </w:tblPr>
      <w:tblGrid>
        <w:gridCol w:w="1100"/>
        <w:gridCol w:w="1500"/>
        <w:gridCol w:w="6760"/>
      </w:tblGrid>
      <w:tr>
        <w:trPr>
          <w:tblHeader/>
        </w:trPr>
        <w:tc>
          <w:tcPr>
            <w:tcW w:type="dxa" w:w="11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5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67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21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REI Blackbook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Hourly sync: 2215 Santa Fe Dr, Santa Rosa moved Working → Dead (REI now tags it Dead Lead / Lost Deal). Board holds at 410 leads, exact REI match; no new mail-response leads this hour; revenue unchanged.</w:t>
            </w:r>
          </w:p>
        </w:tc>
      </w:tr>
      <w:tr>
        <w:tc>
          <w:tcPr>
            <w:tcW w:type="dxa" w:w="1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21</w:t>
            </w:r>
          </w:p>
        </w:tc>
        <w:tc>
          <w:tcPr>
            <w:tcW w:type="dxa" w:w="15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Google Sheet</w:t>
            </w:r>
          </w:p>
        </w:tc>
        <w:tc>
          <w:tcPr>
            <w:tcW w:type="dxa" w:w="67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Postcard tracker refreshed from the KPI Postcard Google Sheet. Mailing is much bigger than previously tracked: 94,753 postcards over 42 batches (74,770 unique addresses: 47,574 first-touch + 27,196 second-touch across 13 area groups), window Dec 3 – Jun 10, last drop 41 days ago. Redstone cost $50,620.32 ($0.534/postcard, $1,205/batch). Postcard-only per tracker: 207 inbound calls → 175 leads (72 interested) → 1 under contract, 5 offers declined, 0 closed. Monday spend board mailing-detail row updated.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21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Reconcile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Verification pass on the mail-only board: exact match. Fresh live REI scan re-classified from scratch under the new rule (mail source or mail tag required, no call-ins) and diffed against all 410 board links: 0 missing, 0 extra, 0 duplicates, 0 stage mismatches. Sources on board: 142 Postcard · 267 Checks · 1 Letters. Deal rows confirmed: Won = Denise Marks (Petaluma) + Dianne Andrews (Oakland, $35,918.75); UC = Jose Espinoza (Lake Elsinore); Cancelled = Damond Dixon (Oakland).</w:t>
            </w:r>
          </w:p>
        </w:tc>
      </w:tr>
      <w:tr>
        <w:tc>
          <w:tcPr>
            <w:tcW w:type="dxa" w:w="1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21</w:t>
            </w:r>
          </w:p>
        </w:tc>
        <w:tc>
          <w:tcPr>
            <w:tcW w:type="dxa" w:w="15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Monday.com</w:t>
            </w:r>
          </w:p>
        </w:tc>
        <w:tc>
          <w:tcPr>
            <w:tcW w:type="dxa" w:w="67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Board scoped to true mail responses only (per Juan). The 29 “Direct Mail (Call-in)” rows — hotline callers with no mail source or mail tag in REI — were removed, and the hourly sync no longer adds call-ins. The board is now strictly Postcard / Checks / Letters: 410 leads (2 won · 1 UC · 8 appointment · 81 working · 72 new · 1 cancelled · 245 dead). Cost/lead $303.25.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21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Reconcile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Catch-up sync — scheduled runs had been failing silently on REI login; fixed. The hourly job spun up fresh sessions that lacked the saved REI browser login, so Jul 15–20 changes never landed; it’s now re-bound to the authenticated session. Applied today: +7 leads (Oscar Cantu — 9 W Yorkshire Dr Stockton, re-attributed to Direct Mail Checks; Douglas Stephenson — Rosamond, first “Direct Mail (Letters)” response; 5 spam/dead call-ins) and 12 moved to Dead per REI (incl. 3 lost appointments: 1149 Amador Ave Seaside, 1323 Oxford Berkeley, 1020 Colusa St Vallejo). Dianne Andrews’ REI pipeline updated to “10 Acquired / Deal Closed” ✓. Board = 439, exact REI match. Cost/lead $283.22.</w:t>
            </w:r>
          </w:p>
        </w:tc>
      </w:tr>
      <w:tr>
        <w:tc>
          <w:tcPr>
            <w:tcW w:type="dxa" w:w="1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14</w:t>
            </w:r>
          </w:p>
        </w:tc>
        <w:tc>
          <w:tcPr>
            <w:tcW w:type="dxa" w:w="15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REI Blackbook</w:t>
            </w:r>
          </w:p>
        </w:tc>
        <w:tc>
          <w:tcPr>
            <w:tcW w:type="dxa" w:w="67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Synced 7 new REI leads + 2 status updates. New: 2 mailed-letter foreclosure leads and 2 hotline call-ins on follow-up (→ Working), James Cota (17830 Bubbling Wells Rd, Desert Hot Springs — already closed out: DNC/Remove From List) and “Sam” (spam call) → Dead, and 1 fresh postcard call-in (Liens) → New. Status: the Jul 11/13 call-ins REI 20500069 and REI 20501726 were marked Dead Lead/Lost in REI → moved to Dead. Board = 432, exact REI match. Cost/lead $287.81.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14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System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Hourly sync upgraded to FULL reconciliation (v3). Every hour (7 AM–8 PM PT) the automation now does what the manual audits did: re-scans all 2026 REI contacts, re-verifies every board lead both directions (adds new direct-mail leads, removes re-attributed/deleted ones), re-checks every lead’s stage from REI tags/pipeline (acquired, cancelled contract, under contract, dead/DNC/remove-from-list, appointment, working), fills property addresses, and recomputes Revenue/ROA/Net Return from the REI Revenue field. Dashboard republishes automatically when anything changes.</w:t>
            </w:r>
          </w:p>
        </w:tc>
      </w:tr>
      <w:tr>
        <w:tc>
          <w:tcPr>
            <w:tcW w:type="dxa" w:w="1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13</w:t>
            </w:r>
          </w:p>
        </w:tc>
        <w:tc>
          <w:tcPr>
            <w:tcW w:type="dxa" w:w="15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Reconcile</w:t>
            </w:r>
          </w:p>
        </w:tc>
        <w:tc>
          <w:tcPr>
            <w:tcW w:type="dxa" w:w="67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Bill resolved — he’s a PPC acquisition, not direct mail. REI source for Bill (1202 Via Lucas, San Lorenzo) was updated to Google Ads (PPC), settling the long-standing Direct-Mail-vs-PPC conflict. Per the source-wins rule his row is off the direct-mail board; the acquisition credits the PPC channel. Direct-mail Won = 2 (Denise Marks, Dianne Andrews). Also +1 new postcard call-in tonight: Chris (2831 MLK Jr Way, Oakland — following up). Board = 425, exact REI match both directions, 0 duplicates.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13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Reconcile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REI recheck: Bill is back — and confirmed Acquired. Fresh full REI scan (1,240 contacts): REI now tags Bill (1202 Via Lucas, San Lorenzo) “Acquired” with Direct Mail (Checks) source — his deleted row was restored to Won (Won = 3; his Revenue field is still blank in REI). Also: +1 new postcard call-in already dead in REI (Maria Rozeville, 990 Prague St SF — Remove From List/DNC); −4 rows removed: 3 hotline call-ins re-attributed in REI to Bing/Facebook/Google Ads (source wins) and 1 contact deleted in REI. Board = 425, exact match with REI in both directions. Cost/lead $292.55.</w:t>
            </w:r>
          </w:p>
        </w:tc>
      </w:tr>
      <w:tr>
        <w:tc>
          <w:tcPr>
            <w:tcW w:type="dxa" w:w="1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13</w:t>
            </w:r>
          </w:p>
        </w:tc>
        <w:tc>
          <w:tcPr>
            <w:tcW w:type="dxa" w:w="15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Reconcile</w:t>
            </w:r>
          </w:p>
        </w:tc>
        <w:tc>
          <w:tcPr>
            <w:tcW w:type="dxa" w:w="67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Full-board stage audit — every one of the 427 leads re-verified against live REI data. 10 more corrections: 8 → Dead with final outcomes hiding under active stages (Miller Howard/15 Stevens Pl — Lost Deal; Dan Choi/18649 Stanton — offer declined; 1300 84th Ave Oakland — Dead Lead; 4458 Yuma Ct Pleasanton + 225 Olive Ave Modesto — We’re Passing; 260 Medburn St Concord + 2302 Las Palomas Lincoln — declined; 419 Delta Dr Woodland — Not Interested) and 2 → Appointment that were buried in Working (2234 E Euclid Ave + 2155 Watercourse St, Stockton). Unresponsive leads still on an active Follow-Up pipeline stay in Working. Cancelled contracts: still only Damond Dixon. Final: 80 new · 84 working · 11 appointment · 1 UC · 1 cancelled · 2 won · 248 dead.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13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Reconcile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Property addresses reconciled across the full board. All 427 leads checked 1-by-1 against the REI property-address field: 77 items fixed this pass (45 outside New + 32 in New) — 43 blank items filled, 34 city-only items upgraded to full street addresses (incl. Jose Espinoza’s under-contract property: 33025 Wildomar Rd, Lake Elsinore). Final: 183 leads have a property address (all shown), 244 have none in REI — mostly anonymous hotline callers; those stay “No property address” until captured in REI.</w:t>
            </w:r>
          </w:p>
        </w:tc>
      </w:tr>
      <w:tr>
        <w:tc>
          <w:tcPr>
            <w:tcW w:type="dxa" w:w="1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13</w:t>
            </w:r>
          </w:p>
        </w:tc>
        <w:tc>
          <w:tcPr>
            <w:tcW w:type="dxa" w:w="15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Reconcile</w:t>
            </w:r>
          </w:p>
        </w:tc>
        <w:tc>
          <w:tcPr>
            <w:tcW w:type="dxa" w:w="67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New Leads audited 1-by-1 in REI — 55 re-staged, 32 addresses filled. Every lead in the New group was re-pulled from REI Blackbook: 41 → Dead (Remove From List, Do Not Mail, declined offer, unresponsive, wrong number, deceased, telemarketer/tenant, working with realtor, passing), 13 → Working/Contacted (top-dollar askers, not-a-decision-maker, language barrier, not ready yet), 1 → Appointment: Harry McGowan (344 Mesa Verde Ct, Chico — appointment booked in REI). 80 genuinely New remain. 32 items renamed with their REI property address. ⚠ Separately: Bill (1202 Via Lucas, San Lorenzo, Won) was deleted from the board outside this session — Won now counts 2; say the word to restore him.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13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Monday.com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Cancelled Contract now tracked. New “🚫 Cancelled Contract” group on the leads board (above Dead). Damond Dixon (7400 Rudsdale St #7G, Oakland — $166K offer renegotiated to $120K) moved there from Under Contract per Juan: contract cancelled, not closed. Under Contract now 1 (Jose Espinoza). No other board lead carries a cancelled-contract signal in REI.</w:t>
            </w:r>
          </w:p>
        </w:tc>
      </w:tr>
      <w:tr>
        <w:tc>
          <w:tcPr>
            <w:tcW w:type="dxa" w:w="1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13</w:t>
            </w:r>
          </w:p>
        </w:tc>
        <w:tc>
          <w:tcPr>
            <w:tcW w:type="dxa" w:w="15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REI Blackbook</w:t>
            </w:r>
          </w:p>
        </w:tc>
        <w:tc>
          <w:tcPr>
            <w:tcW w:type="dxa" w:w="67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New postcard lead in — hotline call-in (phone 510-275-1739, “Liens” mailing list, REI 20501726), added to the board → 428 leads, cost/lead $290.50. 7 other new contacts were PPC/PPL/web — excluded as usual. Revenue check: Dianne Andrews $35,918.75 still the only entry; Denise Marks’ Revenue field still blank in REI.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11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Reconcile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Final double-check (independent re-scan): exact match. Fresh live pull of all 1,230 REI contacts created in 2026, re-classified from scratch (source-wins rule) and diffed against all 427 board links: 0 missing, 0 extra, 0 duplicates — 427 = 427 in both directions. 10 borderline contacts with paid-source (Bing PPC / PropertyLeads) but incidental mail tags correctly excluded per the source-wins rule.</w:t>
            </w:r>
          </w:p>
        </w:tc>
      </w:tr>
      <w:tr>
        <w:tc>
          <w:tcPr>
            <w:tcW w:type="dxa" w:w="1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11</w:t>
            </w:r>
          </w:p>
        </w:tc>
        <w:tc>
          <w:tcPr>
            <w:tcW w:type="dxa" w:w="15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Reconcile</w:t>
            </w:r>
          </w:p>
        </w:tc>
        <w:tc>
          <w:tcPr>
            <w:tcW w:type="dxa" w:w="67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Audit round 2 — reconciled to the contact. Every 2026 REI contact accounted for: 1,229 total = 427 direct-mail on the board (401 tagged + 26 THB-hotline call-ins, new 'Direct Mail (Call-in)' source label) + 645 other channels (PPC/PPL/web, excluded) + 156 with no channel signal (listed, not added) + 1 intentional duplicate. Cost/lead $291.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11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Reconcile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Full audit: 23 more leads recovered — complete REI↔board diff found 24 gaps (1 was the intentional Jose dup). Board now 401 = every 2026 REI direct-mail lead. Includes a 3rd acquisition (Bill, 1202 Via Lucas, San Lorenzo — ⚠ tagged both Direct Mail source and PPC LEAD) and a 2nd appointment (Miller Howard, Vallejo). Cost/lead $310. Root cause: original backfill filter excluded mixed-tag leads; sync gap Jul 8–10.</w:t>
            </w:r>
          </w:p>
        </w:tc>
      </w:tr>
      <w:tr>
        <w:tc>
          <w:tcPr>
            <w:tcW w:type="dxa" w:w="1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11</w:t>
            </w:r>
          </w:p>
        </w:tc>
        <w:tc>
          <w:tcPr>
            <w:tcW w:type="dxa" w:w="15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REI Blackbook</w:t>
            </w:r>
          </w:p>
        </w:tc>
        <w:tc>
          <w:tcPr>
            <w:tcW w:type="dxa" w:w="67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5 missing leads recovered — new REI direct-mail leads since the Jul 10 backfill added to the board (378 total): Mark Lempert (Berkeley — appointment booked), Daniel Bobadia Macias (NTS), REI 20499988, Sylvia Walter + REI 20499456 (dead). Cost/lead now $329. Hourly sync being repaired for the new board layout.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11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REI Blackbook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First revenue attributed! Dianne Andrews (8227 Ney Ave, Oakland) — $35,918.75 entered in the new REI Revenue field (offer $412,000 / sale $440,475). Direct-mail ROA now 0.29x. Denise Marks’ revenue still blank in REI; QuickBooks still $0 booked. Monday spend board ROA updated.</w:t>
            </w:r>
          </w:p>
        </w:tc>
      </w:tr>
      <w:tr>
        <w:tc>
          <w:tcPr>
            <w:tcW w:type="dxa" w:w="1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11</w:t>
            </w:r>
          </w:p>
        </w:tc>
        <w:tc>
          <w:tcPr>
            <w:tcW w:type="dxa" w:w="15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REI Blackbook</w:t>
            </w:r>
          </w:p>
        </w:tc>
        <w:tc>
          <w:tcPr>
            <w:tcW w:type="dxa" w:w="67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Revenue field detected in REI Blackbook (created 5:08 PM, field "Revenue"). Values still empty on all 5 deal contacts — ROI stays $0-based until amounts are entered; once filled, revenue KPIs switch to REI-sourced.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11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Reconcile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Refresh (evening): board re-verified — 373 leads (122 new · 68 working · 12 appointment · 2 UC · 2 won · 167 dead), spend $124,333, cost/lead $333. No material change since morning pull.</w:t>
            </w:r>
          </w:p>
        </w:tc>
      </w:tr>
      <w:tr>
        <w:tc>
          <w:tcPr>
            <w:tcW w:type="dxa" w:w="1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11</w:t>
            </w:r>
          </w:p>
        </w:tc>
        <w:tc>
          <w:tcPr>
            <w:tcW w:type="dxa" w:w="15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Reconcile</w:t>
            </w:r>
          </w:p>
        </w:tc>
        <w:tc>
          <w:tcPr>
            <w:tcW w:type="dxa" w:w="67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Refresh: QuickBooks re-pulled (direct-mail spend $124,333; income $10.98M / net $5.01M YTD). Board re-verified at 373 leads — New 122 · Working 68 · Appointment 12 · Under Contract 2 · Won 2 · Dead 167.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11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Monday.com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Leads board layout finalized — Item column = property address (or "No property address"); new Name column shows each lead name as a clickable link to its exact REI Blackbook record (new tab). Phone / old link / Property Address columns removed.</w:t>
            </w:r>
          </w:p>
        </w:tc>
      </w:tr>
      <w:tr>
        <w:tc>
          <w:tcPr>
            <w:tcW w:type="dxa" w:w="1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10</w:t>
            </w:r>
          </w:p>
        </w:tc>
        <w:tc>
          <w:tcPr>
            <w:tcW w:type="dxa" w:w="15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Reconcile</w:t>
            </w:r>
          </w:p>
        </w:tc>
        <w:tc>
          <w:tcPr>
            <w:tcW w:type="dxa" w:w="67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Won corrected — "Dan Seth Firepine" moved Won→Dead (offer declined, not acquired; tags had "DECLINED OFFER" + "Sold"). Won now 2 (Denise Marks confirmed; Dianne Andrews flagged — "Sold" but no "Acquired/Deal Closed" tag).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10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Monday.com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Duplicate removed — "Jose Espinoza(2)" (REI-tagged "Duplicate lead", same Lake Elsinore property) deleted; board now 373. Under Contract → 2. Flagged 2 near-name pairs (Aminullah/AMINULLAH Mahmood, Marisol/Marizol Hudson) for review.</w:t>
            </w:r>
          </w:p>
        </w:tc>
      </w:tr>
      <w:tr>
        <w:tc>
          <w:tcPr>
            <w:tcW w:type="dxa" w:w="1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10</w:t>
            </w:r>
          </w:p>
        </w:tc>
        <w:tc>
          <w:tcPr>
            <w:tcW w:type="dxa" w:w="15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Reconcile</w:t>
            </w:r>
          </w:p>
        </w:tc>
        <w:tc>
          <w:tcPr>
            <w:tcW w:type="dxa" w:w="67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Refresh: board re-counted (374 leads — 122 new, 68 working, 12 appointment, 3 under contract, 3 won, 166 dead). QuickBooks re-pulled: direct-mail spend $124,330; company income $10.98M / net $5.01M YTD.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10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Monday.com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Leads cleaned up — added a clickable "Open in REI Blackbook" link on all 374 leads, removed the raw REI Lead ID column and two blank columns (Mail Batch, Offer Amount).</w:t>
            </w:r>
          </w:p>
        </w:tc>
      </w:tr>
      <w:tr>
        <w:tc>
          <w:tcPr>
            <w:tcW w:type="dxa" w:w="1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10</w:t>
            </w:r>
          </w:p>
        </w:tc>
        <w:tc>
          <w:tcPr>
            <w:tcW w:type="dxa" w:w="15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System</w:t>
            </w:r>
          </w:p>
        </w:tc>
        <w:tc>
          <w:tcPr>
            <w:tcW w:type="dxa" w:w="67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Monday.com API tools allowlisted in project settings so the hourly sync + daily refresh run without permission prompts.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10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Monday.com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Lead map added — 82 active leads pinned by property address (New, Contacted, Interested, Appointment, Under Contract, Acquired). Clustered East Bay + Central Valley.</w:t>
            </w:r>
          </w:p>
        </w:tc>
      </w:tr>
      <w:tr>
        <w:tc>
          <w:tcPr>
            <w:tcW w:type="dxa" w:w="1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10</w:t>
            </w:r>
          </w:p>
        </w:tc>
        <w:tc>
          <w:tcPr>
            <w:tcW w:type="dxa" w:w="15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Monday.com</w:t>
            </w:r>
          </w:p>
        </w:tc>
        <w:tc>
          <w:tcPr>
            <w:tcW w:type="dxa" w:w="67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All 374 direct-mail leads rebuilt on the Iriga board: item name = person, property address moved into its own Property Address column (148 geocoded).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10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Monday.com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New Marketing Spend (QuickBooks) board + combined Monday dashboard (spend, cost/lead $332, cost/postcard $0.544, ROA 0.0x, leads by stage/source).</w:t>
            </w:r>
          </w:p>
        </w:tc>
      </w:tr>
      <w:tr>
        <w:tc>
          <w:tcPr>
            <w:tcW w:type="dxa" w:w="1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10</w:t>
            </w:r>
          </w:p>
        </w:tc>
        <w:tc>
          <w:tcPr>
            <w:tcW w:type="dxa" w:w="15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QuickBooks</w:t>
            </w:r>
          </w:p>
        </w:tc>
        <w:tc>
          <w:tcPr>
            <w:tcW w:type="dxa" w:w="67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Refreshed QuickBooks direct-mail spend: AM- Direct Mail $124,330 + Mail Services $2.49 = $124,333 YTD.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10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System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Automations scheduled: hourly REI→Monday lead sync (7 AM–8 PM PT) + daily 6 PM KPI refresh.</w:t>
            </w:r>
          </w:p>
        </w:tc>
      </w:tr>
      <w:tr>
        <w:tc>
          <w:tcPr>
            <w:tcW w:type="dxa" w:w="1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9</w:t>
            </w:r>
          </w:p>
        </w:tc>
        <w:tc>
          <w:tcPr>
            <w:tcW w:type="dxa" w:w="15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REI Blackbook</w:t>
            </w:r>
          </w:p>
        </w:tc>
        <w:tc>
          <w:tcPr>
            <w:tcW w:type="dxa" w:w="67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Full contact database re-pulled live: 7,853 contacts (1,202 added in 2026).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9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REI Blackbook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Performing leads geocoded (582): top city Oakland — 14 deals, 24 appts, 28 interested. East Bay leads overall.</w:t>
            </w:r>
          </w:p>
        </w:tc>
      </w:tr>
      <w:tr>
        <w:tc>
          <w:tcPr>
            <w:tcW w:type="dxa" w:w="1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9</w:t>
            </w:r>
          </w:p>
        </w:tc>
        <w:tc>
          <w:tcPr>
            <w:tcW w:type="dxa" w:w="15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REI Blackbook</w:t>
            </w:r>
          </w:p>
        </w:tc>
        <w:tc>
          <w:tcPr>
            <w:tcW w:type="dxa" w:w="67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Direct-mail leads: 377 (260 checks, 117 postcard); campaign attribution 14%.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9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Google Sheet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Postcard KPI tracker read: 77,763 mailed, 92 leads, 32.6% interest, $50,549 spend, 0 deals.</w:t>
            </w:r>
          </w:p>
        </w:tc>
      </w:tr>
      <w:tr>
        <w:tc>
          <w:tcPr>
            <w:tcW w:type="dxa" w:w="1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9</w:t>
            </w:r>
          </w:p>
        </w:tc>
        <w:tc>
          <w:tcPr>
            <w:tcW w:type="dxa" w:w="15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QuickBooks</w:t>
            </w:r>
          </w:p>
        </w:tc>
        <w:tc>
          <w:tcPr>
            <w:tcW w:type="dxa" w:w="67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AM- Direct Mail spend $124,330 YTD. Sales-by-customer returned 0 records — property sales are journaled, not invoiced.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9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Reconcile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Cross-check: QuickBooks confirms $0 booked postcard revenue vs REI tags (~1 acquired) — tag deals unverified.</w:t>
            </w:r>
          </w:p>
        </w:tc>
      </w:tr>
      <w:tr>
        <w:tc>
          <w:tcPr>
            <w:tcW w:type="dxa" w:w="1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9</w:t>
            </w:r>
          </w:p>
        </w:tc>
        <w:tc>
          <w:tcPr>
            <w:tcW w:type="dxa" w:w="15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Monday.com</w:t>
            </w:r>
          </w:p>
        </w:tc>
        <w:tc>
          <w:tcPr>
            <w:tcW w:type="dxa" w:w="67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Red Stone Upload: 12 batches / 47,803 pieces / $23,278. Pipeline: 3 under contract, 1,444 closed all-time.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9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System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Dashboard scoped to direct mail only (removed other channels, Total Income, P&amp;L expenses); added Postcard tracker, ROI, and this Activity Log tab.</w:t>
            </w:r>
          </w:p>
        </w:tc>
      </w:tr>
      <w:tr>
        <w:tc>
          <w:tcPr>
            <w:tcW w:type="dxa" w:w="1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9</w:t>
            </w:r>
          </w:p>
        </w:tc>
        <w:tc>
          <w:tcPr>
            <w:tcW w:type="dxa" w:w="15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System</w:t>
            </w:r>
          </w:p>
        </w:tc>
        <w:tc>
          <w:tcPr>
            <w:tcW w:type="dxa" w:w="67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Automation set up: daily KPI refresh routine (6 AM PT) + desktop app self-update.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8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QuickBooks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QuickBooks connected — Equity Track Inc; P&amp;L pulled (income $10.98M).</w:t>
            </w:r>
          </w:p>
        </w:tc>
      </w:tr>
      <w:tr>
        <w:tc>
          <w:tcPr>
            <w:tcW w:type="dxa" w:w="1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8</w:t>
            </w:r>
          </w:p>
        </w:tc>
        <w:tc>
          <w:tcPr>
            <w:tcW w:type="dxa" w:w="15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REI Blackbook</w:t>
            </w:r>
          </w:p>
        </w:tc>
        <w:tc>
          <w:tcPr>
            <w:tcW w:type="dxa" w:w="67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REI Blackbook login verified (email verification) — headless session established.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8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Monday.com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Monday.com workspaces mapped; Property Leads board (292 items) selected as the deals board.</w:t>
            </w:r>
          </w:p>
        </w:tc>
      </w:tr>
      <w:tr>
        <w:tc>
          <w:tcPr>
            <w:tcW w:type="dxa" w:w="11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Jul 8</w:t>
            </w:r>
          </w:p>
        </w:tc>
        <w:tc>
          <w:tcPr>
            <w:tcW w:type="dxa" w:w="150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System</w:t>
            </w:r>
          </w:p>
        </w:tc>
        <w:tc>
          <w:tcPr>
            <w:tcW w:type="dxa" w:w="6760"/>
            <w:shd w:fill="F2F5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41413"/>
                <w:sz w:val="17"/>
                <w:szCs w:val="17"/>
              </w:rPr>
              <w:t xml:space="preserve">Integration bridge built (REI Blackbook → Monday → QuickBooks) and pushed to the repo.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Calibri" w:cs="Calibri" w:eastAsia="Calibri" w:hAnsi="Calibri"/>
        <w:color w:val="52514E"/>
        <w:sz w:val="16"/>
        <w:szCs w:val="16"/>
      </w:rPr>
      <w:t xml:space="preserve">Page </w:t>
    </w:r>
    <w:r>
      <w:rPr>
        <w:rFonts w:ascii="Calibri" w:cs="Calibri" w:eastAsia="Calibri" w:hAnsi="Calibri"/>
        <w:color w:val="52514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514E"/>
        <w:sz w:val="16"/>
        <w:szCs w:val="16"/>
      </w:rPr>
      <w:t xml:space="preserve"> · direct mail only · sources: QuickBooks · REI Blackbook · Monday.com · Google Sheet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7EC" w:sz="4" w:space="4"/>
      </w:pBdr>
      <w:spacing w:after="0"/>
      <w:jc w:val="right"/>
    </w:pPr>
    <w:r>
      <w:rPr>
        <w:rFonts w:ascii="Calibri" w:cs="Calibri" w:eastAsia="Calibri" w:hAnsi="Calibri"/>
        <w:color w:val="52514E"/>
        <w:sz w:val="16"/>
        <w:szCs w:val="16"/>
      </w:rPr>
      <w:t xml:space="preserve">Twin Home Buyer · Direct-Mail KPI Report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Twin Home Buyer — Direct-Mail KPI Report</dc:title>
  <dc:creator>Twin Home Buyer</dc:creator>
  <dc:description>Direct-Mail KPI Report generated from the combined KPI dashboard</dc:description>
  <cp:lastModifiedBy>Un-named</cp:lastModifiedBy>
  <cp:revision>1</cp:revision>
  <dcterms:created xsi:type="dcterms:W3CDTF">2026-07-22T18:02:22.876Z</dcterms:created>
  <dcterms:modified xsi:type="dcterms:W3CDTF">2026-07-22T18:02:22.876Z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