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160" w:before="0"/>
        <w:jc w:val="center"/>
      </w:pPr>
      <w:r>
        <w:rPr>
          <w:rFonts w:ascii="Arial" w:cs="Arial" w:eastAsia="Arial" w:hAnsi="Arial"/>
          <w:b/>
          <w:bCs/>
          <w:color w:val="1F4E79"/>
          <w:sz w:val="56"/>
          <w:szCs w:val="56"/>
        </w:rPr>
        <w:t xml:space="preserve">GUÍA DOCENTE</w:t>
      </w:r>
    </w:p>
    <w:p>
      <w:pPr>
        <w:pBdr>
          <w:top w:val="single" w:color="1F4E79" w:sz="8" w:space="1"/>
          <w:bottom w:val="single" w:color="1F4E79" w:sz="8" w:space="1"/>
        </w:pBdr>
        <w:spacing w:after="160" w:before="0"/>
        <w:jc w:val="center"/>
      </w:pPr>
      <w:r>
        <w:rPr>
          <w:rFonts w:ascii="Arial" w:cs="Arial" w:eastAsia="Arial" w:hAnsi="Arial"/>
          <w:b/>
          <w:bCs/>
          <w:color w:val="1F4E79"/>
          <w:sz w:val="36"/>
          <w:szCs w:val="36"/>
        </w:rPr>
        <w:t xml:space="preserve">Ingeniería de Sistemas con MBSE y Simscape</w:t>
      </w:r>
    </w:p>
    <w:p>
      <w:pPr>
        <w:spacing w:after="0" w:before="160"/>
      </w:pPr>
      <w:r>
        <w:t xml:space="preserve"/>
      </w:r>
    </w:p>
    <w:p>
      <w:pPr>
        <w:spacing w:after="80" w:before="0"/>
        <w:jc w:val="center"/>
      </w:pPr>
      <w:r>
        <w:rPr>
          <w:rFonts w:ascii="Arial" w:cs="Arial" w:eastAsia="Arial" w:hAnsi="Arial"/>
          <w:color w:val="444444"/>
          <w:sz w:val="24"/>
          <w:szCs w:val="24"/>
        </w:rPr>
        <w:t xml:space="preserve">4º Grado en Ingeniería Electrónica  ·  14 semanas  ·  Equipos de 3-4 alumnos</w:t>
      </w:r>
    </w:p>
    <w:p>
      <w:pPr>
        <w:spacing w:after="80" w:before="0"/>
        <w:jc w:val="center"/>
      </w:pPr>
      <w:r>
        <w:rPr>
          <w:rFonts w:ascii="Arial" w:cs="Arial" w:eastAsia="Arial" w:hAnsi="Arial"/>
          <w:i/>
          <w:iCs/>
          <w:color w:val="666666"/>
          <w:sz w:val="22"/>
          <w:szCs w:val="22"/>
        </w:rPr>
        <w:t xml:space="preserve">Herramientas: MATLAB System Composer · Simscape · Simulink · Simulink Test</w:t>
      </w:r>
    </w:p>
    <w:p>
      <w:pPr>
        <w:spacing w:after="0" w:before="0"/>
        <w:jc w:val="center"/>
      </w:pPr>
      <w:r>
        <w:rPr>
          <w:rFonts w:ascii="Arial" w:cs="Arial" w:eastAsia="Arial" w:hAnsi="Arial"/>
          <w:i/>
          <w:iCs/>
          <w:color w:val="666666"/>
          <w:sz w:val="22"/>
          <w:szCs w:val="22"/>
        </w:rPr>
        <w:t xml:space="preserve">Proyecto vertebrador: CPP 01/2026 AB — UGV pesado autónomo (CDTI / Ministerio de Defensa)</w:t>
      </w:r>
    </w:p>
    <w:p>
      <w:pPr>
        <w:spacing w:after="0" w:before="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D6E4F0" w:val="clear"/>
            <w:tcMar>
              <w:top w:type="dxa" w:w="140"/>
              <w:left w:type="dxa" w:w="200"/>
              <w:bottom w:type="dxa" w:w="140"/>
              <w:right w:type="dxa" w:w="200"/>
            </w:tcMar>
          </w:tcPr>
          <w:p>
            <w:pPr>
              <w:spacing w:after="120" w:before="0"/>
              <w:jc w:val="center"/>
            </w:pPr>
            <w:r>
              <w:rPr>
                <w:rFonts w:ascii="Arial" w:cs="Arial" w:eastAsia="Arial" w:hAnsi="Arial"/>
                <w:b/>
                <w:bCs/>
                <w:color w:val="1F4E79"/>
                <w:sz w:val="26"/>
                <w:szCs w:val="26"/>
              </w:rPr>
              <w:t xml:space="preserve">¿De qué trata este curso?</w:t>
            </w:r>
          </w:p>
          <w:p>
            <w:pPr>
              <w:spacing w:after="80" w:before="0"/>
            </w:pPr>
            <w:r>
              <w:rPr>
                <w:rFonts w:ascii="Arial" w:cs="Arial" w:eastAsia="Arial" w:hAnsi="Arial"/>
                <w:sz w:val="22"/>
                <w:szCs w:val="22"/>
              </w:rPr>
              <w:t xml:space="preserve">Los alumnos actúan como el equipo de ingeniería de sistemas de una empresa que acaba de ganar un contrato de I+D del Ministerio de Defensa de España. Su misión: diseñar la arquitectura de un vehículo terrestre no tripulado (UGV) pesado y autónomo, verificar sus requisitos técnicos mediante simulación en Simscape, e integrarlo con los subsistemas de los otros equipos.</w:t>
            </w:r>
          </w:p>
          <w:p>
            <w:pPr>
              <w:spacing w:after="0" w:before="0"/>
            </w:pPr>
            <w:r>
              <w:rPr>
                <w:rFonts w:ascii="Arial" w:cs="Arial" w:eastAsia="Arial" w:hAnsi="Arial"/>
                <w:b/>
                <w:bCs/>
                <w:sz w:val="22"/>
                <w:szCs w:val="22"/>
              </w:rPr>
              <w:t xml:space="preserve">El contrato es real: CPP 01/2026 AB del CDTI, presupuesto de 11,9 millones de euros, publicado en abril de 2026. Los requisitos del pliego son los requisitos del curso.</w:t>
            </w:r>
          </w:p>
        </w:tc>
      </w:tr>
    </w:tbl>
    <w:p>
      <w:pPr>
        <w:spacing w:after="0" w:before="600"/>
      </w:pPr>
      <w:r>
        <w:t xml:space="preserve"/>
      </w:r>
    </w:p>
    <w:p>
      <w:r>
        <w:br w:type="page"/>
      </w:r>
    </w:p>
    <w:p>
      <w:pPr>
        <w:pStyle w:val="Heading1"/>
        <w:pBdr>
          <w:bottom w:val="single" w:color="1F4E79" w:sz="8" w:space="1"/>
        </w:pBdr>
        <w:spacing w:after="180" w:before="360"/>
      </w:pPr>
      <w:r>
        <w:rPr>
          <w:rFonts w:ascii="Arial" w:cs="Arial" w:eastAsia="Arial" w:hAnsi="Arial"/>
          <w:b/>
          <w:bCs/>
          <w:color w:val="1F4E79"/>
          <w:sz w:val="32"/>
          <w:szCs w:val="32"/>
        </w:rPr>
        <w:t xml:space="preserve">1. Datos generales del curso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20"/>
                <w:szCs w:val="20"/>
              </w:rPr>
              <w:t xml:space="preserve">Titulación</w:t>
            </w:r>
          </w:p>
        </w:tc>
        <w:tc>
          <w:tcPr>
            <w:tcW w:type="dxa" w:w="60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Grado en Ingeniería Electrónica (4º curso)</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20"/>
                <w:szCs w:val="20"/>
              </w:rPr>
              <w:t xml:space="preserve">Carácter</w:t>
            </w:r>
          </w:p>
        </w:tc>
        <w:tc>
          <w:tcPr>
            <w:tcW w:type="dxa" w:w="6026"/>
            <w:tcBorders>
              <w:top w:val="single" w:color="BBBBBB" w:sz="1"/>
              <w:left w:val="single" w:color="BBBBBB" w:sz="1"/>
              <w:bottom w:val="single" w:color="BBBBBB" w:sz="1"/>
              <w:right w:val="single" w:color="BBBBBB" w:sz="1"/>
            </w:tcBorders>
            <w:shd w:fill="EBF3FB"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Optativa de especialidad o Trabajo de aplicación tecnológica</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20"/>
                <w:szCs w:val="20"/>
              </w:rPr>
              <w:t xml:space="preserve">Duración</w:t>
            </w:r>
          </w:p>
        </w:tc>
        <w:tc>
          <w:tcPr>
            <w:tcW w:type="dxa" w:w="60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14 semanas (una sesión de laboratorio semanal de 2 horas + trabajo autónomo estimado en 2-3 h/semana)</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20"/>
                <w:szCs w:val="20"/>
              </w:rPr>
              <w:t xml:space="preserve">Créditos ECTS equivalentes</w:t>
            </w:r>
          </w:p>
        </w:tc>
        <w:tc>
          <w:tcPr>
            <w:tcW w:type="dxa" w:w="6026"/>
            <w:tcBorders>
              <w:top w:val="single" w:color="BBBBBB" w:sz="1"/>
              <w:left w:val="single" w:color="BBBBBB" w:sz="1"/>
              <w:bottom w:val="single" w:color="BBBBBB" w:sz="1"/>
              <w:right w:val="single" w:color="BBBBBB" w:sz="1"/>
            </w:tcBorders>
            <w:shd w:fill="EBF3FB"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6 ECTS</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20"/>
                <w:szCs w:val="20"/>
              </w:rPr>
              <w:t xml:space="preserve">Tamaño de grupo</w:t>
            </w:r>
          </w:p>
        </w:tc>
        <w:tc>
          <w:tcPr>
            <w:tcW w:type="dxa" w:w="60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15-25 alumnos organizados en equipos de 3-4 personas (5-6 equipos en total)</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20"/>
                <w:szCs w:val="20"/>
              </w:rPr>
              <w:t xml:space="preserve">Herramientas software</w:t>
            </w:r>
          </w:p>
        </w:tc>
        <w:tc>
          <w:tcPr>
            <w:tcW w:type="dxa" w:w="6026"/>
            <w:tcBorders>
              <w:top w:val="single" w:color="BBBBBB" w:sz="1"/>
              <w:left w:val="single" w:color="BBBBBB" w:sz="1"/>
              <w:bottom w:val="single" w:color="BBBBBB" w:sz="1"/>
              <w:right w:val="single" w:color="BBBBBB" w:sz="1"/>
            </w:tcBorders>
            <w:shd w:fill="EBF3FB"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MATLAB R2023b o posterior con: System Composer, Simscape, Simscape Electrical, Simscape Driveline, Simscape Multibody, Simulink Test (licencia campus)</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20"/>
                <w:szCs w:val="20"/>
              </w:rPr>
              <w:t xml:space="preserve">Conocimientos previos requeridos</w:t>
            </w:r>
          </w:p>
        </w:tc>
        <w:tc>
          <w:tcPr>
            <w:tcW w:type="dxa" w:w="60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Teoría de control (PID, espacio de estados), circuitos eléctricos, mecánica básica, MATLAB/Simulink a nivel introductorio</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20"/>
                <w:szCs w:val="20"/>
              </w:rPr>
              <w:t xml:space="preserve">Proyecto vertebrador</w:t>
            </w:r>
          </w:p>
        </w:tc>
        <w:tc>
          <w:tcPr>
            <w:tcW w:type="dxa" w:w="6026"/>
            <w:tcBorders>
              <w:top w:val="single" w:color="BBBBBB" w:sz="1"/>
              <w:left w:val="single" w:color="BBBBBB" w:sz="1"/>
              <w:bottom w:val="single" w:color="BBBBBB" w:sz="1"/>
              <w:right w:val="single" w:color="BBBBBB" w:sz="1"/>
            </w:tcBorders>
            <w:shd w:fill="EBF3FB"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CPP 01/2026 AB: UGV pesado autónomo para misiones de seguridad y defensa (CDTI / Ministerio de Defensa de España)</w:t>
            </w:r>
          </w:p>
        </w:tc>
      </w:tr>
    </w:tbl>
    <w:p>
      <w:pPr>
        <w:spacing w:after="0" w:before="200"/>
      </w:pPr>
      <w:r>
        <w:t xml:space="preserve"/>
      </w:r>
    </w:p>
    <w:p>
      <w:pPr>
        <w:pStyle w:val="Heading1"/>
        <w:pBdr>
          <w:bottom w:val="single" w:color="1F4E79" w:sz="8" w:space="1"/>
        </w:pBdr>
        <w:spacing w:after="180" w:before="360"/>
      </w:pPr>
      <w:r>
        <w:rPr>
          <w:rFonts w:ascii="Arial" w:cs="Arial" w:eastAsia="Arial" w:hAnsi="Arial"/>
          <w:b/>
          <w:bCs/>
          <w:color w:val="1F4E79"/>
          <w:sz w:val="32"/>
          <w:szCs w:val="32"/>
        </w:rPr>
        <w:t xml:space="preserve">2. Objetivos de aprendizaje</w:t>
      </w:r>
    </w:p>
    <w:p>
      <w:pPr>
        <w:spacing w:after="60" w:before="60"/>
      </w:pPr>
      <w:r>
        <w:rPr>
          <w:rFonts w:ascii="Arial" w:cs="Arial" w:eastAsia="Arial" w:hAnsi="Arial"/>
          <w:sz w:val="22"/>
          <w:szCs w:val="22"/>
        </w:rPr>
        <w:t xml:space="preserve">Al finalizar el curso, el alumno será capaz de: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4726"/>
      </w:tblGrid>
      <w:tr>
        <w:trPr>
          <w:tblHeader/>
        </w:trPr>
        <w:tc>
          <w:tcPr>
            <w:tcW w:type="dxa" w:w="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20"/>
                <w:szCs w:val="20"/>
              </w:rPr>
              <w:t xml:space="preserve">#</w:t>
            </w:r>
          </w:p>
        </w:tc>
        <w:tc>
          <w:tcPr>
            <w:tcW w:type="dxa" w:w="3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20"/>
                <w:szCs w:val="20"/>
              </w:rPr>
              <w:t xml:space="preserve">Objetivo</w:t>
            </w:r>
          </w:p>
        </w:tc>
        <w:tc>
          <w:tcPr>
            <w:tcW w:type="dxa" w:w="47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20"/>
                <w:szCs w:val="20"/>
              </w:rPr>
              <w:t xml:space="preserve">Evidencia de evaluación</w:t>
            </w:r>
          </w:p>
        </w:tc>
      </w:tr>
      <w:tr>
        <w:tc>
          <w:tcPr>
            <w:tcW w:type="dxa" w:w="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0000"/>
                <w:sz w:val="20"/>
                <w:szCs w:val="20"/>
              </w:rPr>
              <w:t xml:space="preserve">O1</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Extraer y formalizar requisitos de sistema en formato SHALL a partir de un pliego de licitación real</w:t>
            </w:r>
          </w:p>
        </w:tc>
        <w:tc>
          <w:tcPr>
            <w:tcW w:type="dxa" w:w="4726"/>
            <w:tcBorders>
              <w:top w:val="single" w:color="BBBBBB" w:sz="1"/>
              <w:left w:val="single" w:color="BBBBBB" w:sz="1"/>
              <w:bottom w:val="single" w:color="BBBBBB" w:sz="1"/>
              <w:right w:val="single" w:color="BBBBBB" w:sz="1"/>
            </w:tcBorders>
            <w:shd w:fill="EBF3FB"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Tabla de requisitos Semana 1</w:t>
            </w:r>
          </w:p>
        </w:tc>
      </w:tr>
      <w:tr>
        <w:tc>
          <w:tcPr>
            <w:tcW w:type="dxa" w:w="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0000"/>
                <w:sz w:val="20"/>
                <w:szCs w:val="20"/>
              </w:rPr>
              <w:t xml:space="preserve">O2</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Construir un modelo de arquitectura SysML (BDD + IBD) en MATLAB System Composer con trazabilidad hacia requisitos</w:t>
            </w:r>
          </w:p>
        </w:tc>
        <w:tc>
          <w:tcPr>
            <w:tcW w:type="dxa" w:w="47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Modelo SysML Semanas 1.5 y 2</w:t>
            </w:r>
          </w:p>
        </w:tc>
      </w:tr>
      <w:tr>
        <w:tc>
          <w:tcPr>
            <w:tcW w:type="dxa" w:w="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0000"/>
                <w:sz w:val="20"/>
                <w:szCs w:val="20"/>
              </w:rPr>
              <w:t xml:space="preserve">O3</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Leer e interpretar un modelo Simscape complejo mediante ingeniería inversa</w:t>
            </w:r>
          </w:p>
        </w:tc>
        <w:tc>
          <w:tcPr>
            <w:tcW w:type="dxa" w:w="4726"/>
            <w:tcBorders>
              <w:top w:val="single" w:color="BBBBBB" w:sz="1"/>
              <w:left w:val="single" w:color="BBBBBB" w:sz="1"/>
              <w:bottom w:val="single" w:color="BBBBBB" w:sz="1"/>
              <w:right w:val="single" w:color="BBBBBB" w:sz="1"/>
            </w:tcBorders>
            <w:shd w:fill="EBF3FB"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Tabla SysML↔Simscape Semanas 4-6</w:t>
            </w:r>
          </w:p>
        </w:tc>
      </w:tr>
      <w:tr>
        <w:tc>
          <w:tcPr>
            <w:tcW w:type="dxa" w:w="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0000"/>
                <w:sz w:val="20"/>
                <w:szCs w:val="20"/>
              </w:rPr>
              <w:t xml:space="preserve">O4</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Calibrar parámetros de un modelo Simscape para que represente las especificaciones de un sistema real</w:t>
            </w:r>
          </w:p>
        </w:tc>
        <w:tc>
          <w:tcPr>
            <w:tcW w:type="dxa" w:w="47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Modelo calibrado Semana 7</w:t>
            </w:r>
          </w:p>
        </w:tc>
      </w:tr>
      <w:tr>
        <w:tc>
          <w:tcPr>
            <w:tcW w:type="dxa" w:w="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0000"/>
                <w:sz w:val="20"/>
                <w:szCs w:val="20"/>
              </w:rPr>
              <w:t xml:space="preserve">O5</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Diseñar y ejecutar tests de verificación de requisitos con criterios de aceptación cuantitativos</w:t>
            </w:r>
          </w:p>
        </w:tc>
        <w:tc>
          <w:tcPr>
            <w:tcW w:type="dxa" w:w="4726"/>
            <w:tcBorders>
              <w:top w:val="single" w:color="BBBBBB" w:sz="1"/>
              <w:left w:val="single" w:color="BBBBBB" w:sz="1"/>
              <w:bottom w:val="single" w:color="BBBBBB" w:sz="1"/>
              <w:right w:val="single" w:color="BBBBBB" w:sz="1"/>
            </w:tcBorders>
            <w:shd w:fill="EBF3FB"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Matriz de verificación Semana 8</w:t>
            </w:r>
          </w:p>
        </w:tc>
      </w:tr>
      <w:tr>
        <w:tc>
          <w:tcPr>
            <w:tcW w:type="dxa" w:w="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0000"/>
                <w:sz w:val="20"/>
                <w:szCs w:val="20"/>
              </w:rPr>
              <w:t xml:space="preserve">O6</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Analizar el comportamiento de un subsistema ante modos de fallo e integración con otros subsistemas</w:t>
            </w:r>
          </w:p>
        </w:tc>
        <w:tc>
          <w:tcPr>
            <w:tcW w:type="dxa" w:w="47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Análisis de fallos e integración Semanas 9-10</w:t>
            </w:r>
          </w:p>
        </w:tc>
      </w:tr>
      <w:tr>
        <w:tc>
          <w:tcPr>
            <w:tcW w:type="dxa" w:w="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0000"/>
                <w:sz w:val="20"/>
                <w:szCs w:val="20"/>
              </w:rPr>
              <w:t xml:space="preserve">O7</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Defender el diseño de un subsistema ante un panel técnico en formato de revisión de diseño (CDR)</w:t>
            </w:r>
          </w:p>
        </w:tc>
        <w:tc>
          <w:tcPr>
            <w:tcW w:type="dxa" w:w="4726"/>
            <w:tcBorders>
              <w:top w:val="single" w:color="BBBBBB" w:sz="1"/>
              <w:left w:val="single" w:color="BBBBBB" w:sz="1"/>
              <w:bottom w:val="single" w:color="BBBBBB" w:sz="1"/>
              <w:right w:val="single" w:color="BBBBBB" w:sz="1"/>
            </w:tcBorders>
            <w:shd w:fill="EBF3FB"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Presentación CDR Semana 13</w:t>
            </w:r>
          </w:p>
        </w:tc>
      </w:tr>
      <w:tr>
        <w:tc>
          <w:tcPr>
            <w:tcW w:type="dxa" w:w="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0000"/>
                <w:sz w:val="20"/>
                <w:szCs w:val="20"/>
              </w:rPr>
              <w:t xml:space="preserve">O8</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Identificar los límites de la verificación por simulación y las decisiones de diseño que la simulación no puede resolver</w:t>
            </w:r>
          </w:p>
        </w:tc>
        <w:tc>
          <w:tcPr>
            <w:tcW w:type="dxa" w:w="47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Reflexión final Semana 14</w:t>
            </w:r>
          </w:p>
        </w:tc>
      </w:tr>
    </w:tbl>
    <w:p>
      <w:pPr>
        <w:spacing w:after="0" w:before="200"/>
      </w:pPr>
      <w:r>
        <w:t xml:space="preserve"/>
      </w:r>
    </w:p>
    <w:p>
      <w:pPr>
        <w:pStyle w:val="Heading1"/>
        <w:pBdr>
          <w:bottom w:val="single" w:color="1F4E79" w:sz="8" w:space="1"/>
        </w:pBdr>
        <w:spacing w:after="180" w:before="360"/>
      </w:pPr>
      <w:r>
        <w:rPr>
          <w:rFonts w:ascii="Arial" w:cs="Arial" w:eastAsia="Arial" w:hAnsi="Arial"/>
          <w:b/>
          <w:bCs/>
          <w:color w:val="1F4E79"/>
          <w:sz w:val="32"/>
          <w:szCs w:val="32"/>
        </w:rPr>
        <w:t xml:space="preserve">3. Filosofía pedagógica</w:t>
      </w:r>
    </w:p>
    <w:p>
      <w:pPr>
        <w:pStyle w:val="Heading2"/>
        <w:spacing w:after="120" w:before="280"/>
      </w:pPr>
      <w:r>
        <w:rPr>
          <w:rFonts w:ascii="Arial" w:cs="Arial" w:eastAsia="Arial" w:hAnsi="Arial"/>
          <w:b/>
          <w:bCs/>
          <w:color w:val="1F4E79"/>
          <w:sz w:val="26"/>
          <w:szCs w:val="26"/>
        </w:rPr>
        <w:t xml:space="preserve">3.1 Un verbo por semana</w:t>
      </w:r>
    </w:p>
    <w:p>
      <w:pPr>
        <w:spacing w:after="60" w:before="60"/>
      </w:pPr>
      <w:r>
        <w:rPr>
          <w:rFonts w:ascii="Arial" w:cs="Arial" w:eastAsia="Arial" w:hAnsi="Arial"/>
          <w:sz w:val="22"/>
          <w:szCs w:val="22"/>
        </w:rPr>
        <w:t xml:space="preserve">Cada semana tiene un único verbo cognitivo dominante: extraer, nombrar, conectar, observar, descomponer, trazar, calibrar, demostrar, degradar, integrar, optimizar, documentar, defender, reflexionar. Esta progresión sigue la taxonomía de Bloom de abajo hacia arriba, pero anclada siempre en el mismo sistema físico concreto.</w:t>
      </w:r>
    </w:p>
    <w:p>
      <w:pPr>
        <w:spacing w:after="60" w:before="60"/>
      </w:pPr>
      <w:r>
        <w:rPr>
          <w:rFonts w:ascii="Arial" w:cs="Arial" w:eastAsia="Arial" w:hAnsi="Arial"/>
          <w:sz w:val="22"/>
          <w:szCs w:val="22"/>
        </w:rPr>
        <w:t xml:space="preserve">El beneficio es doble: los alumnos saben exactamente qué se espera de ellos cada semana, y el profesor puede evaluar con precisión si el objetivo de la semana se ha alcanzado.</w:t>
      </w:r>
    </w:p>
    <w:p>
      <w:pPr>
        <w:spacing w:after="0" w:before="120"/>
      </w:pPr>
      <w:r>
        <w:t xml:space="preserve"/>
      </w:r>
    </w:p>
    <w:p>
      <w:pPr>
        <w:pStyle w:val="Heading2"/>
        <w:spacing w:after="120" w:before="280"/>
      </w:pPr>
      <w:r>
        <w:rPr>
          <w:rFonts w:ascii="Arial" w:cs="Arial" w:eastAsia="Arial" w:hAnsi="Arial"/>
          <w:b/>
          <w:bCs/>
          <w:color w:val="1F4E79"/>
          <w:sz w:val="26"/>
          <w:szCs w:val="26"/>
        </w:rPr>
        <w:t xml:space="preserve">3.2 El modelo federado</w:t>
      </w:r>
    </w:p>
    <w:p>
      <w:pPr>
        <w:spacing w:after="60" w:before="60"/>
      </w:pPr>
      <w:r>
        <w:rPr>
          <w:rFonts w:ascii="Arial" w:cs="Arial" w:eastAsia="Arial" w:hAnsi="Arial"/>
          <w:sz w:val="22"/>
          <w:szCs w:val="22"/>
        </w:rPr>
        <w:t xml:space="preserve">La clase nunca simula el UGV completo: lo divide entre equipos. Cada equipo es responsable de un subsistema, pero todos comparten la misma arquitectura SysML de nivel 1. Las interfaces entre subsistemas son contratos técnicos negociados entre equipos, exactamente como ocurre en un programa de defensa real.</w:t>
      </w:r>
    </w:p>
    <w:p>
      <w:pPr>
        <w:spacing w:after="60" w:before="60"/>
      </w:pPr>
      <w:r>
        <w:rPr>
          <w:rFonts w:ascii="Arial" w:cs="Arial" w:eastAsia="Arial" w:hAnsi="Arial"/>
          <w:sz w:val="22"/>
          <w:szCs w:val="22"/>
        </w:rPr>
        <w:t xml:space="preserve">Esto tiene una consecuencia pedagógica importante: cuando en la Semana 10 dos equipos integran sus modelos y aparece una incompatibilidad de interfaz, la solución no la da el profesor — la negocian los equipos. Ese momento de negociación técnica es el más valioso del curso.</w:t>
      </w:r>
    </w:p>
    <w:p>
      <w:pPr>
        <w:spacing w:after="0" w:before="120"/>
      </w:pPr>
      <w:r>
        <w:t xml:space="preserve"/>
      </w:r>
    </w:p>
    <w:p>
      <w:pPr>
        <w:pStyle w:val="Heading2"/>
        <w:spacing w:after="120" w:before="280"/>
      </w:pPr>
      <w:r>
        <w:rPr>
          <w:rFonts w:ascii="Arial" w:cs="Arial" w:eastAsia="Arial" w:hAnsi="Arial"/>
          <w:b/>
          <w:bCs/>
          <w:color w:val="1F4E79"/>
          <w:sz w:val="26"/>
          <w:szCs w:val="26"/>
        </w:rPr>
        <w:t xml:space="preserve">3.3 El pliego como árbitro</w:t>
      </w:r>
    </w:p>
    <w:p>
      <w:pPr>
        <w:spacing w:after="60" w:before="60"/>
      </w:pPr>
      <w:r>
        <w:rPr>
          <w:rFonts w:ascii="Arial" w:cs="Arial" w:eastAsia="Arial" w:hAnsi="Arial"/>
          <w:sz w:val="22"/>
          <w:szCs w:val="22"/>
        </w:rPr>
        <w:t xml:space="preserve">Ante cualquier decisión de diseño, la pregunta no es '¿qué le parece al profesor?' sino '¿qué dice el pliego?'. Si el pliego lo permite, la decisión es válida. Si no lo permite, no lo es. Esta regla elimina la arbitrariedad de la evaluación y obliga a los alumnos a desarrollar la habilidad más importante de un ingeniero de sistemas: leer documentos técnicos con precisión.</w:t>
      </w:r>
    </w:p>
    <w:p>
      <w:pPr>
        <w:spacing w:after="0" w:before="120"/>
      </w:pPr>
      <w:r>
        <w:t xml:space="preserve"/>
      </w:r>
    </w:p>
    <w:p>
      <w:pPr>
        <w:pStyle w:val="Heading2"/>
        <w:spacing w:after="120" w:before="280"/>
      </w:pPr>
      <w:r>
        <w:rPr>
          <w:rFonts w:ascii="Arial" w:cs="Arial" w:eastAsia="Arial" w:hAnsi="Arial"/>
          <w:b/>
          <w:bCs/>
          <w:color w:val="1F4E79"/>
          <w:sz w:val="26"/>
          <w:szCs w:val="26"/>
        </w:rPr>
        <w:t xml:space="preserve">3.4 La simulación como evidencia, no como fin</w:t>
      </w:r>
    </w:p>
    <w:p>
      <w:pPr>
        <w:spacing w:after="60" w:before="60"/>
      </w:pPr>
      <w:r>
        <w:rPr>
          <w:rFonts w:ascii="Arial" w:cs="Arial" w:eastAsia="Arial" w:hAnsi="Arial"/>
          <w:sz w:val="22"/>
          <w:szCs w:val="22"/>
        </w:rPr>
        <w:t xml:space="preserve">Simscape no es el objetivo del curso: es el instrumento de verificación. Un alumno que construye un modelo Simscape espectacular pero no puede relacionarlo con ningún requisito del pliego ha aprendido a usar una herramienta, no a hacer ingeniería de sistemas. La evaluación penaliza modelos sin trazabilidad más de lo que penaliza modelos imperfectos con trazabilidad completa.</w:t>
      </w:r>
    </w:p>
    <w:p>
      <w:pPr>
        <w:spacing w:after="0" w:before="200"/>
      </w:pPr>
      <w:r>
        <w:t xml:space="preserve"/>
      </w:r>
    </w:p>
    <w:p>
      <w:r>
        <w:br w:type="page"/>
      </w:r>
    </w:p>
    <w:p>
      <w:pPr>
        <w:pStyle w:val="Heading1"/>
        <w:pBdr>
          <w:bottom w:val="single" w:color="1F4E79" w:sz="8" w:space="1"/>
        </w:pBdr>
        <w:spacing w:after="180" w:before="360"/>
      </w:pPr>
      <w:r>
        <w:rPr>
          <w:rFonts w:ascii="Arial" w:cs="Arial" w:eastAsia="Arial" w:hAnsi="Arial"/>
          <w:b/>
          <w:bCs/>
          <w:color w:val="1F4E79"/>
          <w:sz w:val="32"/>
          <w:szCs w:val="32"/>
        </w:rPr>
        <w:t xml:space="preserve">4. Estructura del curso — Visión de bloques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F4E79" w:val="clear"/>
            <w:tcMar>
              <w:top w:type="dxa" w:w="120"/>
              <w:left w:type="dxa" w:w="200"/>
              <w:bottom w:type="dxa" w:w="120"/>
              <w:right w:type="dxa" w:w="200"/>
            </w:tcMar>
          </w:tcPr>
          <w:p>
            <w:pPr>
              <w:spacing w:after="40" w:before="40"/>
            </w:pPr>
            <w:r>
              <w:rPr>
                <w:rFonts w:ascii="Arial" w:cs="Arial" w:eastAsia="Arial" w:hAnsi="Arial"/>
                <w:b/>
                <w:bCs/>
                <w:color w:val="FFFFFF"/>
                <w:sz w:val="22"/>
                <w:szCs w:val="22"/>
              </w:rPr>
              <w:t xml:space="preserve">BLOQUE I  ·  </w:t>
            </w:r>
            <w:r>
              <w:rPr>
                <w:rFonts w:ascii="Arial" w:cs="Arial" w:eastAsia="Arial" w:hAnsi="Arial"/>
                <w:b/>
                <w:bCs/>
                <w:color w:val="FFFFFF"/>
                <w:sz w:val="24"/>
                <w:szCs w:val="24"/>
              </w:rPr>
              <w:t xml:space="preserve">Arquitectura del sistema</w:t>
            </w:r>
            <w:r>
              <w:rPr>
                <w:rFonts w:ascii="Arial" w:cs="Arial" w:eastAsia="Arial" w:hAnsi="Arial"/>
                <w:i/>
                <w:iCs/>
                <w:color w:val="DDDDDD"/>
                <w:sz w:val="20"/>
                <w:szCs w:val="20"/>
              </w:rPr>
              <w:t xml:space="preserve">   (Semanas 1 – 3)</w:t>
            </w:r>
          </w:p>
        </w:tc>
      </w:tr>
      <w:tr>
        <w:tc>
          <w:tcPr>
            <w:tcW w:type="dxa" w:w="9026"/>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200"/>
            </w:tcMar>
          </w:tcPr>
          <w:p>
            <w:pPr>
              <w:spacing w:after="40" w:before="40"/>
            </w:pPr>
            <w:r>
              <w:rPr>
                <w:rFonts w:ascii="Arial" w:cs="Arial" w:eastAsia="Arial" w:hAnsi="Arial"/>
                <w:sz w:val="21"/>
                <w:szCs w:val="21"/>
              </w:rPr>
              <w:t xml:space="preserve">Los alumnos leen el pliego, extraen requisitos formales y construyen el modelo SysML completo del UGV: BDD con bloques y propiedades, IBD con puertos e interfaces, requisitos vinculados y esqueleto Simulink generado automáticamente. Al final del Bloque I tienen el andamio sobre el que montarán toda la simulación.</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375623" w:val="clear"/>
            <w:tcMar>
              <w:top w:type="dxa" w:w="120"/>
              <w:left w:type="dxa" w:w="200"/>
              <w:bottom w:type="dxa" w:w="120"/>
              <w:right w:type="dxa" w:w="200"/>
            </w:tcMar>
          </w:tcPr>
          <w:p>
            <w:pPr>
              <w:spacing w:after="40" w:before="40"/>
            </w:pPr>
            <w:r>
              <w:rPr>
                <w:rFonts w:ascii="Arial" w:cs="Arial" w:eastAsia="Arial" w:hAnsi="Arial"/>
                <w:b/>
                <w:bCs/>
                <w:color w:val="FFFFFF"/>
                <w:sz w:val="22"/>
                <w:szCs w:val="22"/>
              </w:rPr>
              <w:t xml:space="preserve">BLOQUE II  ·  </w:t>
            </w:r>
            <w:r>
              <w:rPr>
                <w:rFonts w:ascii="Arial" w:cs="Arial" w:eastAsia="Arial" w:hAnsi="Arial"/>
                <w:b/>
                <w:bCs/>
                <w:color w:val="FFFFFF"/>
                <w:sz w:val="24"/>
                <w:szCs w:val="24"/>
              </w:rPr>
              <w:t xml:space="preserve">Ingeniería inversa del modelo Simscape</w:t>
            </w:r>
            <w:r>
              <w:rPr>
                <w:rFonts w:ascii="Arial" w:cs="Arial" w:eastAsia="Arial" w:hAnsi="Arial"/>
                <w:i/>
                <w:iCs/>
                <w:color w:val="DDDDDD"/>
                <w:sz w:val="20"/>
                <w:szCs w:val="20"/>
              </w:rPr>
              <w:t xml:space="preserve">   (Semanas 4 – 6)</w:t>
            </w:r>
          </w:p>
        </w:tc>
      </w:tr>
      <w:tr>
        <w:tc>
          <w:tcPr>
            <w:tcW w:type="dxa" w:w="9026"/>
            <w:tcBorders>
              <w:top w:val="single" w:color="BBBBBB" w:sz="1"/>
              <w:left w:val="single" w:color="BBBBBB" w:sz="1"/>
              <w:bottom w:val="single" w:color="BBBBBB" w:sz="1"/>
              <w:right w:val="single" w:color="BBBBBB" w:sz="1"/>
            </w:tcBorders>
            <w:shd w:fill="E2EFDA" w:val="clear"/>
            <w:tcMar>
              <w:top w:type="dxa" w:w="120"/>
              <w:left w:type="dxa" w:w="200"/>
              <w:bottom w:type="dxa" w:w="120"/>
              <w:right w:type="dxa" w:w="200"/>
            </w:tcMar>
          </w:tcPr>
          <w:p>
            <w:pPr>
              <w:spacing w:after="40" w:before="40"/>
            </w:pPr>
            <w:r>
              <w:rPr>
                <w:rFonts w:ascii="Arial" w:cs="Arial" w:eastAsia="Arial" w:hAnsi="Arial"/>
                <w:sz w:val="21"/>
                <w:szCs w:val="21"/>
              </w:rPr>
              <w:t xml:space="preserve">Los alumnos reciben un modelo Simscape completo del profesor (ensamblado desde repositorios MathWorks oficiales) y lo analizan de fuera hacia adentro: primero como caja negra, luego un nivel de profundidad, finalmente hasta los parámetros hoja. El resultado es la tabla de trazabilidad inversa: parámetro Simscape → propiedad SysML → requisito del pliego.</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843C0C" w:val="clear"/>
            <w:tcMar>
              <w:top w:type="dxa" w:w="120"/>
              <w:left w:type="dxa" w:w="200"/>
              <w:bottom w:type="dxa" w:w="120"/>
              <w:right w:type="dxa" w:w="200"/>
            </w:tcMar>
          </w:tcPr>
          <w:p>
            <w:pPr>
              <w:spacing w:after="40" w:before="40"/>
            </w:pPr>
            <w:r>
              <w:rPr>
                <w:rFonts w:ascii="Arial" w:cs="Arial" w:eastAsia="Arial" w:hAnsi="Arial"/>
                <w:b/>
                <w:bCs/>
                <w:color w:val="FFFFFF"/>
                <w:sz w:val="22"/>
                <w:szCs w:val="22"/>
              </w:rPr>
              <w:t xml:space="preserve">BLOQUE III  ·  </w:t>
            </w:r>
            <w:r>
              <w:rPr>
                <w:rFonts w:ascii="Arial" w:cs="Arial" w:eastAsia="Arial" w:hAnsi="Arial"/>
                <w:b/>
                <w:bCs/>
                <w:color w:val="FFFFFF"/>
                <w:sz w:val="24"/>
                <w:szCs w:val="24"/>
              </w:rPr>
              <w:t xml:space="preserve">Adaptación y verificación</w:t>
            </w:r>
            <w:r>
              <w:rPr>
                <w:rFonts w:ascii="Arial" w:cs="Arial" w:eastAsia="Arial" w:hAnsi="Arial"/>
                <w:i/>
                <w:iCs/>
                <w:color w:val="DDDDDD"/>
                <w:sz w:val="20"/>
                <w:szCs w:val="20"/>
              </w:rPr>
              <w:t xml:space="preserve">   (Semanas 7 – 8)</w:t>
            </w:r>
          </w:p>
        </w:tc>
      </w:tr>
      <w:tr>
        <w:tc>
          <w:tcPr>
            <w:tcW w:type="dxa" w:w="9026"/>
            <w:tcBorders>
              <w:top w:val="single" w:color="BBBBBB" w:sz="1"/>
              <w:left w:val="single" w:color="BBBBBB" w:sz="1"/>
              <w:bottom w:val="single" w:color="BBBBBB" w:sz="1"/>
              <w:right w:val="single" w:color="BBBBBB" w:sz="1"/>
            </w:tcBorders>
            <w:shd w:fill="FCE4D6" w:val="clear"/>
            <w:tcMar>
              <w:top w:type="dxa" w:w="120"/>
              <w:left w:type="dxa" w:w="200"/>
              <w:bottom w:type="dxa" w:w="120"/>
              <w:right w:type="dxa" w:w="200"/>
            </w:tcMar>
          </w:tcPr>
          <w:p>
            <w:pPr>
              <w:spacing w:after="40" w:before="40"/>
            </w:pPr>
            <w:r>
              <w:rPr>
                <w:rFonts w:ascii="Arial" w:cs="Arial" w:eastAsia="Arial" w:hAnsi="Arial"/>
                <w:sz w:val="21"/>
                <w:szCs w:val="21"/>
              </w:rPr>
              <w:t xml:space="preserve">Con la trazabilidad establecida, los alumnos modifican los parámetros del modelo para que represente el UGV real del pliego, diseñan tests de verificación formales y ejecutan la matriz requisito → test → resultado. Es el núcleo técnico del curso: demostrar que un sistema cumple sus especificaciones.</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4B0082" w:val="clear"/>
            <w:tcMar>
              <w:top w:type="dxa" w:w="120"/>
              <w:left w:type="dxa" w:w="200"/>
              <w:bottom w:type="dxa" w:w="120"/>
              <w:right w:type="dxa" w:w="200"/>
            </w:tcMar>
          </w:tcPr>
          <w:p>
            <w:pPr>
              <w:spacing w:after="40" w:before="40"/>
            </w:pPr>
            <w:r>
              <w:rPr>
                <w:rFonts w:ascii="Arial" w:cs="Arial" w:eastAsia="Arial" w:hAnsi="Arial"/>
                <w:b/>
                <w:bCs/>
                <w:color w:val="FFFFFF"/>
                <w:sz w:val="22"/>
                <w:szCs w:val="22"/>
              </w:rPr>
              <w:t xml:space="preserve">BLOQUE IV  ·  </w:t>
            </w:r>
            <w:r>
              <w:rPr>
                <w:rFonts w:ascii="Arial" w:cs="Arial" w:eastAsia="Arial" w:hAnsi="Arial"/>
                <w:b/>
                <w:bCs/>
                <w:color w:val="FFFFFF"/>
                <w:sz w:val="24"/>
                <w:szCs w:val="24"/>
              </w:rPr>
              <w:t xml:space="preserve">Análisis avanzado e integración</w:t>
            </w:r>
            <w:r>
              <w:rPr>
                <w:rFonts w:ascii="Arial" w:cs="Arial" w:eastAsia="Arial" w:hAnsi="Arial"/>
                <w:i/>
                <w:iCs/>
                <w:color w:val="DDDDDD"/>
                <w:sz w:val="20"/>
                <w:szCs w:val="20"/>
              </w:rPr>
              <w:t xml:space="preserve">   (Semanas 9 – 10)</w:t>
            </w:r>
          </w:p>
        </w:tc>
      </w:tr>
      <w:tr>
        <w:tc>
          <w:tcPr>
            <w:tcW w:type="dxa" w:w="9026"/>
            <w:tcBorders>
              <w:top w:val="single" w:color="BBBBBB" w:sz="1"/>
              <w:left w:val="single" w:color="BBBBBB" w:sz="1"/>
              <w:bottom w:val="single" w:color="BBBBBB" w:sz="1"/>
              <w:right w:val="single" w:color="BBBBBB" w:sz="1"/>
            </w:tcBorders>
            <w:shd w:fill="EAD1DC" w:val="clear"/>
            <w:tcMar>
              <w:top w:type="dxa" w:w="120"/>
              <w:left w:type="dxa" w:w="200"/>
              <w:bottom w:type="dxa" w:w="120"/>
              <w:right w:type="dxa" w:w="200"/>
            </w:tcMar>
          </w:tcPr>
          <w:p>
            <w:pPr>
              <w:spacing w:after="40" w:before="40"/>
            </w:pPr>
            <w:r>
              <w:rPr>
                <w:rFonts w:ascii="Arial" w:cs="Arial" w:eastAsia="Arial" w:hAnsi="Arial"/>
                <w:sz w:val="21"/>
                <w:szCs w:val="21"/>
              </w:rPr>
              <w:t xml:space="preserve">Análisis de modos de fallo por subsistema e integración entre los modelos de los distintos equipos. La integración es la semana más caótica y más formativa del curso: las incompatibilidades de interfaz que no se detectaron en el IBD aparecen ahora, y los alumnos tienen que resolverlas técnicamente.</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806000" w:val="clear"/>
            <w:tcMar>
              <w:top w:type="dxa" w:w="120"/>
              <w:left w:type="dxa" w:w="200"/>
              <w:bottom w:type="dxa" w:w="120"/>
              <w:right w:type="dxa" w:w="200"/>
            </w:tcMar>
          </w:tcPr>
          <w:p>
            <w:pPr>
              <w:spacing w:after="40" w:before="40"/>
            </w:pPr>
            <w:r>
              <w:rPr>
                <w:rFonts w:ascii="Arial" w:cs="Arial" w:eastAsia="Arial" w:hAnsi="Arial"/>
                <w:b/>
                <w:bCs/>
                <w:color w:val="FFFFFF"/>
                <w:sz w:val="22"/>
                <w:szCs w:val="22"/>
              </w:rPr>
              <w:t xml:space="preserve">BLOQUE V  ·  </w:t>
            </w:r>
            <w:r>
              <w:rPr>
                <w:rFonts w:ascii="Arial" w:cs="Arial" w:eastAsia="Arial" w:hAnsi="Arial"/>
                <w:b/>
                <w:bCs/>
                <w:color w:val="FFFFFF"/>
                <w:sz w:val="24"/>
                <w:szCs w:val="24"/>
              </w:rPr>
              <w:t xml:space="preserve">Optimización y cierre</w:t>
            </w:r>
            <w:r>
              <w:rPr>
                <w:rFonts w:ascii="Arial" w:cs="Arial" w:eastAsia="Arial" w:hAnsi="Arial"/>
                <w:i/>
                <w:iCs/>
                <w:color w:val="DDDDDD"/>
                <w:sz w:val="20"/>
                <w:szCs w:val="20"/>
              </w:rPr>
              <w:t xml:space="preserve">   (Semanas 11 – 14)</w:t>
            </w:r>
          </w:p>
        </w:tc>
      </w:tr>
      <w:tr>
        <w:tc>
          <w:tcPr>
            <w:tcW w:type="dxa" w:w="9026"/>
            <w:tcBorders>
              <w:top w:val="single" w:color="BBBBBB" w:sz="1"/>
              <w:left w:val="single" w:color="BBBBBB" w:sz="1"/>
              <w:bottom w:val="single" w:color="BBBBBB" w:sz="1"/>
              <w:right w:val="single" w:color="BBBBBB" w:sz="1"/>
            </w:tcBorders>
            <w:shd w:fill="FFF2CC" w:val="clear"/>
            <w:tcMar>
              <w:top w:type="dxa" w:w="120"/>
              <w:left w:type="dxa" w:w="200"/>
              <w:bottom w:type="dxa" w:w="120"/>
              <w:right w:type="dxa" w:w="200"/>
            </w:tcMar>
          </w:tcPr>
          <w:p>
            <w:pPr>
              <w:spacing w:after="40" w:before="40"/>
            </w:pPr>
            <w:r>
              <w:rPr>
                <w:rFonts w:ascii="Arial" w:cs="Arial" w:eastAsia="Arial" w:hAnsi="Arial"/>
                <w:sz w:val="21"/>
                <w:szCs w:val="21"/>
              </w:rPr>
              <w:t xml:space="preserve">Optimización de parámetros, preparación y defensa del CDR (Critical Design Review) ante la clase, redacción de la memoria técnica final y sesión de reflexión sobre los límites de la verificación por simulación.</w:t>
            </w:r>
          </w:p>
        </w:tc>
      </w:tr>
    </w:tbl>
    <w:p>
      <w:pPr>
        <w:spacing w:after="0" w:before="200"/>
      </w:pPr>
      <w:r>
        <w:t xml:space="preserve"/>
      </w:r>
    </w:p>
    <w:p>
      <w:r>
        <w:br w:type="page"/>
      </w:r>
    </w:p>
    <w:p>
      <w:pPr>
        <w:pStyle w:val="Heading1"/>
        <w:pBdr>
          <w:bottom w:val="single" w:color="1F4E79" w:sz="8" w:space="1"/>
        </w:pBdr>
        <w:spacing w:after="180" w:before="360"/>
      </w:pPr>
      <w:r>
        <w:rPr>
          <w:rFonts w:ascii="Arial" w:cs="Arial" w:eastAsia="Arial" w:hAnsi="Arial"/>
          <w:b/>
          <w:bCs/>
          <w:color w:val="1F4E79"/>
          <w:sz w:val="32"/>
          <w:szCs w:val="32"/>
        </w:rPr>
        <w:t xml:space="preserve">5. Fichas semanales</w:t>
      </w:r>
    </w:p>
    <w:p>
      <w:pPr>
        <w:spacing w:after="60" w:before="60"/>
      </w:pPr>
      <w:r>
        <w:rPr>
          <w:rFonts w:ascii="Arial" w:cs="Arial" w:eastAsia="Arial" w:hAnsi="Arial"/>
          <w:sz w:val="22"/>
          <w:szCs w:val="22"/>
        </w:rPr>
        <w:t xml:space="preserve">Cada ficha describe el objetivo, la actividad, el entregable y la conexión con el resto del curso de cada semana.</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BBBBBB" w:sz="1"/>
              <w:left w:val="single" w:color="BBBBBB" w:sz="1"/>
              <w:bottom w:val="single" w:color="BBBBBB" w:sz="1"/>
              <w:right w:val="single" w:color="BBBBBB" w:sz="1"/>
            </w:tcBorders>
            <w:shd w:fill="1F4E79" w:val="clear"/>
            <w:tcMar>
              <w:top w:type="dxa" w:w="140"/>
              <w:left w:type="dxa" w:w="200"/>
              <w:bottom w:type="dxa" w:w="140"/>
              <w:right w:type="dxa" w:w="200"/>
            </w:tcMar>
            <w:vAlign w:val="center"/>
          </w:tcPr>
          <w:p>
            <w:pPr>
              <w:spacing w:after="20" w:before="0"/>
              <w:jc w:val="center"/>
            </w:pPr>
            <w:r>
              <w:rPr>
                <w:rFonts w:ascii="Arial" w:cs="Arial" w:eastAsia="Arial" w:hAnsi="Arial"/>
                <w:color w:val="FFFFFF"/>
                <w:sz w:val="18"/>
                <w:szCs w:val="18"/>
              </w:rPr>
              <w:t xml:space="preserve">Sem.</w:t>
            </w:r>
          </w:p>
          <w:p>
            <w:pPr>
              <w:spacing w:after="0" w:before="0"/>
              <w:jc w:val="center"/>
            </w:pPr>
            <w:r>
              <w:rPr>
                <w:rFonts w:ascii="Arial" w:cs="Arial" w:eastAsia="Arial" w:hAnsi="Arial"/>
                <w:b/>
                <w:bCs/>
                <w:color w:val="FFFFFF"/>
                <w:sz w:val="36"/>
                <w:szCs w:val="36"/>
              </w:rPr>
              <w:t xml:space="preserve">1</w:t>
            </w:r>
          </w:p>
        </w:tc>
        <w:tc>
          <w:tcPr>
            <w:tcW w:type="dxa" w:w="7926"/>
            <w:tcBorders>
              <w:top w:val="single" w:color="BBBBBB" w:sz="1"/>
              <w:left w:val="single" w:color="BBBBBB" w:sz="1"/>
              <w:bottom w:val="single" w:color="BBBBBB" w:sz="1"/>
              <w:right w:val="single" w:color="BBBBBB" w:sz="1"/>
            </w:tcBorders>
            <w:shd w:fill="D6E4F0" w:val="clear"/>
            <w:tcMar>
              <w:top w:type="dxa" w:w="100"/>
              <w:left w:type="dxa" w:w="160"/>
              <w:bottom w:type="dxa" w:w="100"/>
              <w:right w:type="dxa" w:w="160"/>
            </w:tcMar>
          </w:tcPr>
          <w:p>
            <w:pPr>
              <w:spacing w:after="60" w:before="0"/>
            </w:pPr>
            <w:r>
              <w:rPr>
                <w:rFonts w:ascii="Arial" w:cs="Arial" w:eastAsia="Arial" w:hAnsi="Arial"/>
                <w:b/>
                <w:bCs/>
                <w:color w:val="1F4E79"/>
                <w:sz w:val="25"/>
                <w:szCs w:val="25"/>
              </w:rPr>
              <w:t xml:space="preserve">Extracción de requisitos del pliego</w:t>
            </w:r>
          </w:p>
          <w:p>
            <w:pPr>
              <w:spacing w:after="0" w:before="0"/>
            </w:pPr>
            <w:r>
              <w:rPr>
                <w:rFonts w:ascii="Arial" w:cs="Arial" w:eastAsia="Arial" w:hAnsi="Arial"/>
                <w:b/>
                <w:bCs/>
                <w:color w:val="1F4E79"/>
                <w:sz w:val="19"/>
                <w:szCs w:val="19"/>
              </w:rPr>
              <w:t xml:space="preserve">Verbo clave: </w:t>
            </w:r>
            <w:r>
              <w:rPr>
                <w:rFonts w:ascii="Arial" w:cs="Arial" w:eastAsia="Arial" w:hAnsi="Arial"/>
                <w:i/>
                <w:iCs/>
                <w:color w:val="444444"/>
                <w:sz w:val="19"/>
                <w:szCs w:val="19"/>
              </w:rPr>
              <w:t xml:space="preserve">Extraer — transformar lenguaje natural en requisitos verificables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Objetivo de aprendizaje</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Actividad principal</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Entregable</w:t>
            </w:r>
          </w:p>
        </w:tc>
        <w:tc>
          <w:tcPr>
            <w:tcW w:type="dxa" w:w="24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Conecta con...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Leer el Anexo I del pliego CPP 01/2026 AB e identificar, clasificar y formalizar todos los requisitos técnicos numerados en formato SHALL con trazabilidad al texto original</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Lectura activa del pliego con código de colores, transformación a tabla SHALL, asignación a subsistemas, identificación de requisitos verificables con Simscape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Tabla de requisitos (Excel): ID, texto SHALL, subsistema, fuente §, columna Simscape</w:t>
            </w:r>
          </w:p>
        </w:tc>
        <w:tc>
          <w:tcPr>
            <w:tcW w:type="dxa" w:w="24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000000"/>
                <w:sz w:val="19"/>
                <w:szCs w:val="19"/>
              </w:rPr>
              <w:t xml:space="preserve">Proporciona el contrato técnico que todo el curso tendrá que cumplir. Cada semana posterior cita IDs de esta tabla.</w:t>
            </w:r>
          </w:p>
        </w:tc>
      </w:tr>
    </w:tbl>
    <w:p>
      <w:pPr>
        <w:spacing w:after="0" w:before="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BBBBBB" w:sz="1"/>
              <w:left w:val="single" w:color="BBBBBB" w:sz="1"/>
              <w:bottom w:val="single" w:color="BBBBBB" w:sz="1"/>
              <w:right w:val="single" w:color="BBBBBB" w:sz="1"/>
            </w:tcBorders>
            <w:shd w:fill="1F4E79" w:val="clear"/>
            <w:tcMar>
              <w:top w:type="dxa" w:w="140"/>
              <w:left w:type="dxa" w:w="200"/>
              <w:bottom w:type="dxa" w:w="140"/>
              <w:right w:type="dxa" w:w="200"/>
            </w:tcMar>
            <w:vAlign w:val="center"/>
          </w:tcPr>
          <w:p>
            <w:pPr>
              <w:spacing w:after="20" w:before="0"/>
              <w:jc w:val="center"/>
            </w:pPr>
            <w:r>
              <w:rPr>
                <w:rFonts w:ascii="Arial" w:cs="Arial" w:eastAsia="Arial" w:hAnsi="Arial"/>
                <w:color w:val="FFFFFF"/>
                <w:sz w:val="18"/>
                <w:szCs w:val="18"/>
              </w:rPr>
              <w:t xml:space="preserve">Sem.</w:t>
            </w:r>
          </w:p>
          <w:p>
            <w:pPr>
              <w:spacing w:after="0" w:before="0"/>
              <w:jc w:val="center"/>
            </w:pPr>
            <w:r>
              <w:rPr>
                <w:rFonts w:ascii="Arial" w:cs="Arial" w:eastAsia="Arial" w:hAnsi="Arial"/>
                <w:b/>
                <w:bCs/>
                <w:color w:val="FFFFFF"/>
                <w:sz w:val="36"/>
                <w:szCs w:val="36"/>
              </w:rPr>
              <w:t xml:space="preserve">1·5</w:t>
            </w:r>
          </w:p>
        </w:tc>
        <w:tc>
          <w:tcPr>
            <w:tcW w:type="dxa" w:w="7926"/>
            <w:tcBorders>
              <w:top w:val="single" w:color="BBBBBB" w:sz="1"/>
              <w:left w:val="single" w:color="BBBBBB" w:sz="1"/>
              <w:bottom w:val="single" w:color="BBBBBB" w:sz="1"/>
              <w:right w:val="single" w:color="BBBBBB" w:sz="1"/>
            </w:tcBorders>
            <w:shd w:fill="D6E4F0" w:val="clear"/>
            <w:tcMar>
              <w:top w:type="dxa" w:w="100"/>
              <w:left w:type="dxa" w:w="160"/>
              <w:bottom w:type="dxa" w:w="100"/>
              <w:right w:type="dxa" w:w="160"/>
            </w:tcMar>
          </w:tcPr>
          <w:p>
            <w:pPr>
              <w:spacing w:after="60" w:before="0"/>
            </w:pPr>
            <w:r>
              <w:rPr>
                <w:rFonts w:ascii="Arial" w:cs="Arial" w:eastAsia="Arial" w:hAnsi="Arial"/>
                <w:b/>
                <w:bCs/>
                <w:color w:val="1F4E79"/>
                <w:sz w:val="25"/>
                <w:szCs w:val="25"/>
              </w:rPr>
              <w:t xml:space="preserve">Introducción a SysML y System Composer</w:t>
            </w:r>
          </w:p>
          <w:p>
            <w:pPr>
              <w:spacing w:after="0" w:before="0"/>
            </w:pPr>
            <w:r>
              <w:rPr>
                <w:rFonts w:ascii="Arial" w:cs="Arial" w:eastAsia="Arial" w:hAnsi="Arial"/>
                <w:b/>
                <w:bCs/>
                <w:color w:val="1F4E79"/>
                <w:sz w:val="19"/>
                <w:szCs w:val="19"/>
              </w:rPr>
              <w:t xml:space="preserve">Verbo clave: </w:t>
            </w:r>
            <w:r>
              <w:rPr>
                <w:rFonts w:ascii="Arial" w:cs="Arial" w:eastAsia="Arial" w:hAnsi="Arial"/>
                <w:i/>
                <w:iCs/>
                <w:color w:val="444444"/>
                <w:sz w:val="19"/>
                <w:szCs w:val="19"/>
              </w:rPr>
              <w:t xml:space="preserve">Nombrar — representar la estructura del sistema en bloques y propiedades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Objetivo de aprendizaje</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Actividad principal</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Entregable</w:t>
            </w:r>
          </w:p>
        </w:tc>
        <w:tc>
          <w:tcPr>
            <w:tcW w:type="dxa" w:w="24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Conecta con...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Abrir MATLAB System Composer por primera vez y construir el BDD nivel 1 del UGV: 5 bloques de subsistema con propiedades tipadas, valoradas y trazadas al pliego</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Guía paso a paso en laboratorio: crear proyecto, añadir bloques, definir propiedades con referencias al pliego, verificar jerarquía en Model Browser</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Modelo SysML (.slx) con BDD nivel 1 + capturas anotadas del Model Browser</w:t>
            </w:r>
          </w:p>
        </w:tc>
        <w:tc>
          <w:tcPr>
            <w:tcW w:type="dxa" w:w="24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000000"/>
                <w:sz w:val="19"/>
                <w:szCs w:val="19"/>
              </w:rPr>
              <w:t xml:space="preserve">El BDD construido aquí es la estructura que el IBD de la Semana 2 conectará. Las propiedades definidas aquí son los parámetros que Simscape usará en las Semanas 5-7.</w:t>
            </w:r>
          </w:p>
        </w:tc>
      </w:tr>
    </w:tbl>
    <w:p>
      <w:pPr>
        <w:spacing w:after="0" w:before="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BBBBBB" w:sz="1"/>
              <w:left w:val="single" w:color="BBBBBB" w:sz="1"/>
              <w:bottom w:val="single" w:color="BBBBBB" w:sz="1"/>
              <w:right w:val="single" w:color="BBBBBB" w:sz="1"/>
            </w:tcBorders>
            <w:shd w:fill="1F4E79" w:val="clear"/>
            <w:tcMar>
              <w:top w:type="dxa" w:w="140"/>
              <w:left w:type="dxa" w:w="200"/>
              <w:bottom w:type="dxa" w:w="140"/>
              <w:right w:type="dxa" w:w="200"/>
            </w:tcMar>
            <w:vAlign w:val="center"/>
          </w:tcPr>
          <w:p>
            <w:pPr>
              <w:spacing w:after="20" w:before="0"/>
              <w:jc w:val="center"/>
            </w:pPr>
            <w:r>
              <w:rPr>
                <w:rFonts w:ascii="Arial" w:cs="Arial" w:eastAsia="Arial" w:hAnsi="Arial"/>
                <w:color w:val="FFFFFF"/>
                <w:sz w:val="18"/>
                <w:szCs w:val="18"/>
              </w:rPr>
              <w:t xml:space="preserve">Sem.</w:t>
            </w:r>
          </w:p>
          <w:p>
            <w:pPr>
              <w:spacing w:after="0" w:before="0"/>
              <w:jc w:val="center"/>
            </w:pPr>
            <w:r>
              <w:rPr>
                <w:rFonts w:ascii="Arial" w:cs="Arial" w:eastAsia="Arial" w:hAnsi="Arial"/>
                <w:b/>
                <w:bCs/>
                <w:color w:val="FFFFFF"/>
                <w:sz w:val="36"/>
                <w:szCs w:val="36"/>
              </w:rPr>
              <w:t xml:space="preserve">2</w:t>
            </w:r>
          </w:p>
        </w:tc>
        <w:tc>
          <w:tcPr>
            <w:tcW w:type="dxa" w:w="7926"/>
            <w:tcBorders>
              <w:top w:val="single" w:color="BBBBBB" w:sz="1"/>
              <w:left w:val="single" w:color="BBBBBB" w:sz="1"/>
              <w:bottom w:val="single" w:color="BBBBBB" w:sz="1"/>
              <w:right w:val="single" w:color="BBBBBB" w:sz="1"/>
            </w:tcBorders>
            <w:shd w:fill="D6E4F0" w:val="clear"/>
            <w:tcMar>
              <w:top w:type="dxa" w:w="100"/>
              <w:left w:type="dxa" w:w="160"/>
              <w:bottom w:type="dxa" w:w="100"/>
              <w:right w:type="dxa" w:w="160"/>
            </w:tcMar>
          </w:tcPr>
          <w:p>
            <w:pPr>
              <w:spacing w:after="60" w:before="0"/>
            </w:pPr>
            <w:r>
              <w:rPr>
                <w:rFonts w:ascii="Arial" w:cs="Arial" w:eastAsia="Arial" w:hAnsi="Arial"/>
                <w:b/>
                <w:bCs/>
                <w:color w:val="1F4E79"/>
                <w:sz w:val="25"/>
                <w:szCs w:val="25"/>
              </w:rPr>
              <w:t xml:space="preserve">IBD, interfaces y trazabilidad en System Composer</w:t>
            </w:r>
          </w:p>
          <w:p>
            <w:pPr>
              <w:spacing w:after="0" w:before="0"/>
            </w:pPr>
            <w:r>
              <w:rPr>
                <w:rFonts w:ascii="Arial" w:cs="Arial" w:eastAsia="Arial" w:hAnsi="Arial"/>
                <w:b/>
                <w:bCs/>
                <w:color w:val="1F4E79"/>
                <w:sz w:val="19"/>
                <w:szCs w:val="19"/>
              </w:rPr>
              <w:t xml:space="preserve">Verbo clave: </w:t>
            </w:r>
            <w:r>
              <w:rPr>
                <w:rFonts w:ascii="Arial" w:cs="Arial" w:eastAsia="Arial" w:hAnsi="Arial"/>
                <w:i/>
                <w:iCs/>
                <w:color w:val="444444"/>
                <w:sz w:val="19"/>
                <w:szCs w:val="19"/>
              </w:rPr>
              <w:t xml:space="preserve">Conectar — definir cómo fluye la energía y la información entre subsistemas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Objetivo de aprendizaje</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Actividad principal</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Entregable</w:t>
            </w:r>
          </w:p>
        </w:tc>
        <w:tc>
          <w:tcPr>
            <w:tcW w:type="dxa" w:w="24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Conecta con...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Añadir al modelo SysML los puertos tipados de cada bloque, las interfaces que definen qué fluye por cada conexión, y vincular los requisitos importados desde Excel a los bloques responsables de cumplirlos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Dos sesiones: (1) IBD con puertos, interfaces y conexiones; importación de requisitos desde Excel. (2) Vinculación de requisitos a bloques; generación del esqueleto Simulink desde System Composer</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Modelo SysML completo + esqueleto Simulink con puertos correctos + justificación de interfaces</w:t>
            </w:r>
          </w:p>
        </w:tc>
        <w:tc>
          <w:tcPr>
            <w:tcW w:type="dxa" w:w="24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000000"/>
                <w:sz w:val="19"/>
                <w:szCs w:val="19"/>
              </w:rPr>
              <w:t xml:space="preserve">El esqueleto Simulink generado aquí es el contenedor que los equipos rellenarán con Simscape en las Semanas 5-7. Las interfaces del IBD son los contratos entre equipos para la integración de la Semana 10.</w:t>
            </w:r>
          </w:p>
        </w:tc>
      </w:tr>
    </w:tbl>
    <w:p>
      <w:pPr>
        <w:spacing w:after="0" w:before="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BBBBBB" w:sz="1"/>
              <w:left w:val="single" w:color="BBBBBB" w:sz="1"/>
              <w:bottom w:val="single" w:color="BBBBBB" w:sz="1"/>
              <w:right w:val="single" w:color="BBBBBB" w:sz="1"/>
            </w:tcBorders>
            <w:shd w:fill="1F4E79" w:val="clear"/>
            <w:tcMar>
              <w:top w:type="dxa" w:w="140"/>
              <w:left w:type="dxa" w:w="200"/>
              <w:bottom w:type="dxa" w:w="140"/>
              <w:right w:type="dxa" w:w="200"/>
            </w:tcMar>
            <w:vAlign w:val="center"/>
          </w:tcPr>
          <w:p>
            <w:pPr>
              <w:spacing w:after="20" w:before="0"/>
              <w:jc w:val="center"/>
            </w:pPr>
            <w:r>
              <w:rPr>
                <w:rFonts w:ascii="Arial" w:cs="Arial" w:eastAsia="Arial" w:hAnsi="Arial"/>
                <w:color w:val="FFFFFF"/>
                <w:sz w:val="18"/>
                <w:szCs w:val="18"/>
              </w:rPr>
              <w:t xml:space="preserve">Sem.</w:t>
            </w:r>
          </w:p>
          <w:p>
            <w:pPr>
              <w:spacing w:after="0" w:before="0"/>
              <w:jc w:val="center"/>
            </w:pPr>
            <w:r>
              <w:rPr>
                <w:rFonts w:ascii="Arial" w:cs="Arial" w:eastAsia="Arial" w:hAnsi="Arial"/>
                <w:b/>
                <w:bCs/>
                <w:color w:val="FFFFFF"/>
                <w:sz w:val="36"/>
                <w:szCs w:val="36"/>
              </w:rPr>
              <w:t xml:space="preserve">3</w:t>
            </w:r>
          </w:p>
        </w:tc>
        <w:tc>
          <w:tcPr>
            <w:tcW w:type="dxa" w:w="7926"/>
            <w:tcBorders>
              <w:top w:val="single" w:color="BBBBBB" w:sz="1"/>
              <w:left w:val="single" w:color="BBBBBB" w:sz="1"/>
              <w:bottom w:val="single" w:color="BBBBBB" w:sz="1"/>
              <w:right w:val="single" w:color="BBBBBB" w:sz="1"/>
            </w:tcBorders>
            <w:shd w:fill="D6E4F0" w:val="clear"/>
            <w:tcMar>
              <w:top w:type="dxa" w:w="100"/>
              <w:left w:type="dxa" w:w="160"/>
              <w:bottom w:type="dxa" w:w="100"/>
              <w:right w:type="dxa" w:w="160"/>
            </w:tcMar>
          </w:tcPr>
          <w:p>
            <w:pPr>
              <w:spacing w:after="60" w:before="0"/>
            </w:pPr>
            <w:r>
              <w:rPr>
                <w:rFonts w:ascii="Arial" w:cs="Arial" w:eastAsia="Arial" w:hAnsi="Arial"/>
                <w:b/>
                <w:bCs/>
                <w:color w:val="1F4E79"/>
                <w:sz w:val="25"/>
                <w:szCs w:val="25"/>
              </w:rPr>
              <w:t xml:space="preserve">Formalización y revisión de arquitectura</w:t>
            </w:r>
          </w:p>
          <w:p>
            <w:pPr>
              <w:spacing w:after="0" w:before="0"/>
            </w:pPr>
            <w:r>
              <w:rPr>
                <w:rFonts w:ascii="Arial" w:cs="Arial" w:eastAsia="Arial" w:hAnsi="Arial"/>
                <w:b/>
                <w:bCs/>
                <w:color w:val="1F4E79"/>
                <w:sz w:val="19"/>
                <w:szCs w:val="19"/>
              </w:rPr>
              <w:t xml:space="preserve">Verbo clave: </w:t>
            </w:r>
            <w:r>
              <w:rPr>
                <w:rFonts w:ascii="Arial" w:cs="Arial" w:eastAsia="Arial" w:hAnsi="Arial"/>
                <w:i/>
                <w:iCs/>
                <w:color w:val="444444"/>
                <w:sz w:val="19"/>
                <w:szCs w:val="19"/>
              </w:rPr>
              <w:t xml:space="preserve">Formalizar — cerrar el modelo de arquitectura y prepararlo para la simulación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Objetivo de aprendizaje</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Actividad principal</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Entregable</w:t>
            </w:r>
          </w:p>
        </w:tc>
        <w:tc>
          <w:tcPr>
            <w:tcW w:type="dxa" w:w="24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Conecta con...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Completar el BDD de segundo nivel (componentes internos de cada subsistema), revisar la coherencia de toda la arquitectura, y obtener el visto bueno del profesor antes de pasar a la fase de simulación</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Revisión cruzada entre equipos: cada equipo inspecciona el IBD del equipo adyacente y comprueba que sus interfaces son mutuamente coherentes. Correcciones y cierre del modelo.</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Modelo SysML v1.0 cerrado y validado por el profesor + acta de revisión cruzada</w:t>
            </w:r>
          </w:p>
        </w:tc>
        <w:tc>
          <w:tcPr>
            <w:tcW w:type="dxa" w:w="24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000000"/>
                <w:sz w:val="19"/>
                <w:szCs w:val="19"/>
              </w:rPr>
              <w:t xml:space="preserve">Punto de congelación de la arquitectura. A partir de aquí, cualquier cambio en el modelo SysML requiere justificación técnica explícita. Los modelos Simscape de las Semanas 5-7 deben ser coherentes con esta versión.</w:t>
            </w:r>
          </w:p>
        </w:tc>
      </w:tr>
    </w:tbl>
    <w:p>
      <w:pPr>
        <w:spacing w:after="0" w:before="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BBBBBB" w:sz="1"/>
              <w:left w:val="single" w:color="BBBBBB" w:sz="1"/>
              <w:bottom w:val="single" w:color="BBBBBB" w:sz="1"/>
              <w:right w:val="single" w:color="BBBBBB" w:sz="1"/>
            </w:tcBorders>
            <w:shd w:fill="375623" w:val="clear"/>
            <w:tcMar>
              <w:top w:type="dxa" w:w="140"/>
              <w:left w:type="dxa" w:w="200"/>
              <w:bottom w:type="dxa" w:w="140"/>
              <w:right w:type="dxa" w:w="200"/>
            </w:tcMar>
            <w:vAlign w:val="center"/>
          </w:tcPr>
          <w:p>
            <w:pPr>
              <w:spacing w:after="20" w:before="0"/>
              <w:jc w:val="center"/>
            </w:pPr>
            <w:r>
              <w:rPr>
                <w:rFonts w:ascii="Arial" w:cs="Arial" w:eastAsia="Arial" w:hAnsi="Arial"/>
                <w:color w:val="FFFFFF"/>
                <w:sz w:val="18"/>
                <w:szCs w:val="18"/>
              </w:rPr>
              <w:t xml:space="preserve">Sem.</w:t>
            </w:r>
          </w:p>
          <w:p>
            <w:pPr>
              <w:spacing w:after="0" w:before="0"/>
              <w:jc w:val="center"/>
            </w:pPr>
            <w:r>
              <w:rPr>
                <w:rFonts w:ascii="Arial" w:cs="Arial" w:eastAsia="Arial" w:hAnsi="Arial"/>
                <w:b/>
                <w:bCs/>
                <w:color w:val="FFFFFF"/>
                <w:sz w:val="36"/>
                <w:szCs w:val="36"/>
              </w:rPr>
              <w:t xml:space="preserve">4</w:t>
            </w:r>
          </w:p>
        </w:tc>
        <w:tc>
          <w:tcPr>
            <w:tcW w:type="dxa" w:w="7926"/>
            <w:tcBorders>
              <w:top w:val="single" w:color="BBBBBB" w:sz="1"/>
              <w:left w:val="single" w:color="BBBBBB" w:sz="1"/>
              <w:bottom w:val="single" w:color="BBBBBB" w:sz="1"/>
              <w:right w:val="single" w:color="BBBBBB" w:sz="1"/>
            </w:tcBorders>
            <w:shd w:fill="E2EFDA" w:val="clear"/>
            <w:tcMar>
              <w:top w:type="dxa" w:w="100"/>
              <w:left w:type="dxa" w:w="160"/>
              <w:bottom w:type="dxa" w:w="100"/>
              <w:right w:type="dxa" w:w="160"/>
            </w:tcMar>
          </w:tcPr>
          <w:p>
            <w:pPr>
              <w:spacing w:after="60" w:before="0"/>
            </w:pPr>
            <w:r>
              <w:rPr>
                <w:rFonts w:ascii="Arial" w:cs="Arial" w:eastAsia="Arial" w:hAnsi="Arial"/>
                <w:b/>
                <w:bCs/>
                <w:color w:val="375623"/>
                <w:sz w:val="25"/>
                <w:szCs w:val="25"/>
              </w:rPr>
              <w:t xml:space="preserve">Caja negra: ejecutar el modelo Simscape sin entenderlo</w:t>
            </w:r>
          </w:p>
          <w:p>
            <w:pPr>
              <w:spacing w:after="0" w:before="0"/>
            </w:pPr>
            <w:r>
              <w:rPr>
                <w:rFonts w:ascii="Arial" w:cs="Arial" w:eastAsia="Arial" w:hAnsi="Arial"/>
                <w:b/>
                <w:bCs/>
                <w:color w:val="375623"/>
                <w:sz w:val="19"/>
                <w:szCs w:val="19"/>
              </w:rPr>
              <w:t xml:space="preserve">Verbo clave: </w:t>
            </w:r>
            <w:r>
              <w:rPr>
                <w:rFonts w:ascii="Arial" w:cs="Arial" w:eastAsia="Arial" w:hAnsi="Arial"/>
                <w:i/>
                <w:iCs/>
                <w:color w:val="444444"/>
                <w:sz w:val="19"/>
                <w:szCs w:val="19"/>
              </w:rPr>
              <w:t xml:space="preserve">Observar — desarrollar intuición sobre el comportamiento del sistema antes de analizarlo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Objetivo de aprendizaje</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Actividad principal</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Entregable</w:t>
            </w:r>
          </w:p>
        </w:tc>
        <w:tc>
          <w:tcPr>
            <w:tcW w:type="dxa" w:w="24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Conecta con...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Ejecutar el modelo Simscape completo del UGV proporcionado por el profesor, observar las salidas, modificar parámetros de forma exploratoria y documentar el comportamiento sin abrir ningún subsistema</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El profesor proporciona el modelo ensamblado (Simscape Vehicle Templates + BEV Model + Tracked Vehicle). Los alumnos ejecutan escenarios predefinidos, registran qué ocurre y formulan hipótesis sobre la estructura interna.</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Ficha de observación: variables de entrada/salida identificadas, unidades, comportamiento ante cambios de parámetro, 3 hipótesis sobre la estructura interna</w:t>
            </w:r>
          </w:p>
        </w:tc>
        <w:tc>
          <w:tcPr>
            <w:tcW w:type="dxa" w:w="24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000000"/>
                <w:sz w:val="19"/>
                <w:szCs w:val="19"/>
              </w:rPr>
              <w:t xml:space="preserve">La intuición desarrollada aquí acelera enormemente el trabajo de las Semanas 5-6. Un alumno que ya sabe cómo responde el modelo ante un cambio de masa no se sorprende cuando lo encuentra al analizar el código.</w:t>
            </w:r>
          </w:p>
        </w:tc>
      </w:tr>
    </w:tbl>
    <w:p>
      <w:pPr>
        <w:spacing w:after="0" w:before="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BBBBBB" w:sz="1"/>
              <w:left w:val="single" w:color="BBBBBB" w:sz="1"/>
              <w:bottom w:val="single" w:color="BBBBBB" w:sz="1"/>
              <w:right w:val="single" w:color="BBBBBB" w:sz="1"/>
            </w:tcBorders>
            <w:shd w:fill="375623" w:val="clear"/>
            <w:tcMar>
              <w:top w:type="dxa" w:w="140"/>
              <w:left w:type="dxa" w:w="200"/>
              <w:bottom w:type="dxa" w:w="140"/>
              <w:right w:type="dxa" w:w="200"/>
            </w:tcMar>
            <w:vAlign w:val="center"/>
          </w:tcPr>
          <w:p>
            <w:pPr>
              <w:spacing w:after="20" w:before="0"/>
              <w:jc w:val="center"/>
            </w:pPr>
            <w:r>
              <w:rPr>
                <w:rFonts w:ascii="Arial" w:cs="Arial" w:eastAsia="Arial" w:hAnsi="Arial"/>
                <w:color w:val="FFFFFF"/>
                <w:sz w:val="18"/>
                <w:szCs w:val="18"/>
              </w:rPr>
              <w:t xml:space="preserve">Sem.</w:t>
            </w:r>
          </w:p>
          <w:p>
            <w:pPr>
              <w:spacing w:after="0" w:before="0"/>
              <w:jc w:val="center"/>
            </w:pPr>
            <w:r>
              <w:rPr>
                <w:rFonts w:ascii="Arial" w:cs="Arial" w:eastAsia="Arial" w:hAnsi="Arial"/>
                <w:b/>
                <w:bCs/>
                <w:color w:val="FFFFFF"/>
                <w:sz w:val="36"/>
                <w:szCs w:val="36"/>
              </w:rPr>
              <w:t xml:space="preserve">5</w:t>
            </w:r>
          </w:p>
        </w:tc>
        <w:tc>
          <w:tcPr>
            <w:tcW w:type="dxa" w:w="7926"/>
            <w:tcBorders>
              <w:top w:val="single" w:color="BBBBBB" w:sz="1"/>
              <w:left w:val="single" w:color="BBBBBB" w:sz="1"/>
              <w:bottom w:val="single" w:color="BBBBBB" w:sz="1"/>
              <w:right w:val="single" w:color="BBBBBB" w:sz="1"/>
            </w:tcBorders>
            <w:shd w:fill="E2EFDA" w:val="clear"/>
            <w:tcMar>
              <w:top w:type="dxa" w:w="100"/>
              <w:left w:type="dxa" w:w="160"/>
              <w:bottom w:type="dxa" w:w="100"/>
              <w:right w:type="dxa" w:w="160"/>
            </w:tcMar>
          </w:tcPr>
          <w:p>
            <w:pPr>
              <w:spacing w:after="60" w:before="0"/>
            </w:pPr>
            <w:r>
              <w:rPr>
                <w:rFonts w:ascii="Arial" w:cs="Arial" w:eastAsia="Arial" w:hAnsi="Arial"/>
                <w:b/>
                <w:bCs/>
                <w:color w:val="375623"/>
                <w:sz w:val="25"/>
                <w:szCs w:val="25"/>
              </w:rPr>
              <w:t xml:space="preserve">Caja gris: abrir el subsistema asignado</w:t>
            </w:r>
          </w:p>
          <w:p>
            <w:pPr>
              <w:spacing w:after="0" w:before="0"/>
            </w:pPr>
            <w:r>
              <w:rPr>
                <w:rFonts w:ascii="Arial" w:cs="Arial" w:eastAsia="Arial" w:hAnsi="Arial"/>
                <w:b/>
                <w:bCs/>
                <w:color w:val="375623"/>
                <w:sz w:val="19"/>
                <w:szCs w:val="19"/>
              </w:rPr>
              <w:t xml:space="preserve">Verbo clave: </w:t>
            </w:r>
            <w:r>
              <w:rPr>
                <w:rFonts w:ascii="Arial" w:cs="Arial" w:eastAsia="Arial" w:hAnsi="Arial"/>
                <w:i/>
                <w:iCs/>
                <w:color w:val="444444"/>
                <w:sz w:val="19"/>
                <w:szCs w:val="19"/>
              </w:rPr>
              <w:t xml:space="preserve">Descomponer — identificar los bloques Simscape y trazar el flujo físico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Objetivo de aprendizaje</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Actividad principal</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Entregable</w:t>
            </w:r>
          </w:p>
        </w:tc>
        <w:tc>
          <w:tcPr>
            <w:tcW w:type="dxa" w:w="24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Conecta con...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Entrar en el subsistema asignado del modelo Simscape, identificar los bloques hoja, trazar en papel el flujo de energía o señal, y construir el IBD de segundo nivel en System Composer</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Ingeniería inversa del subsistema: abrir los subsistemas Simulink, identificar los bloques Simscape (PMSM, Battery, Driveline...), trazar el flujo físico en papel, actualizar el modelo SysML con los componentes encontrados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Tabla de correspondencia SysML↔Simscape + IBD de segundo nivel actualizado en System Composer</w:t>
            </w:r>
          </w:p>
        </w:tc>
        <w:tc>
          <w:tcPr>
            <w:tcW w:type="dxa" w:w="24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000000"/>
                <w:sz w:val="19"/>
                <w:szCs w:val="19"/>
              </w:rPr>
              <w:t xml:space="preserve">La tabla SysML↔Simscape es el documento de referencia para la calibración de la Semana 7. Cada fila de la tabla es una decisión de modelado que el equipo tendrá que justificar en el CDR.</w:t>
            </w:r>
          </w:p>
        </w:tc>
      </w:tr>
    </w:tbl>
    <w:p>
      <w:pPr>
        <w:spacing w:after="0" w:before="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BBBBBB" w:sz="1"/>
              <w:left w:val="single" w:color="BBBBBB" w:sz="1"/>
              <w:bottom w:val="single" w:color="BBBBBB" w:sz="1"/>
              <w:right w:val="single" w:color="BBBBBB" w:sz="1"/>
            </w:tcBorders>
            <w:shd w:fill="375623" w:val="clear"/>
            <w:tcMar>
              <w:top w:type="dxa" w:w="140"/>
              <w:left w:type="dxa" w:w="200"/>
              <w:bottom w:type="dxa" w:w="140"/>
              <w:right w:type="dxa" w:w="200"/>
            </w:tcMar>
            <w:vAlign w:val="center"/>
          </w:tcPr>
          <w:p>
            <w:pPr>
              <w:spacing w:after="20" w:before="0"/>
              <w:jc w:val="center"/>
            </w:pPr>
            <w:r>
              <w:rPr>
                <w:rFonts w:ascii="Arial" w:cs="Arial" w:eastAsia="Arial" w:hAnsi="Arial"/>
                <w:color w:val="FFFFFF"/>
                <w:sz w:val="18"/>
                <w:szCs w:val="18"/>
              </w:rPr>
              <w:t xml:space="preserve">Sem.</w:t>
            </w:r>
          </w:p>
          <w:p>
            <w:pPr>
              <w:spacing w:after="0" w:before="0"/>
              <w:jc w:val="center"/>
            </w:pPr>
            <w:r>
              <w:rPr>
                <w:rFonts w:ascii="Arial" w:cs="Arial" w:eastAsia="Arial" w:hAnsi="Arial"/>
                <w:b/>
                <w:bCs/>
                <w:color w:val="FFFFFF"/>
                <w:sz w:val="36"/>
                <w:szCs w:val="36"/>
              </w:rPr>
              <w:t xml:space="preserve">6</w:t>
            </w:r>
          </w:p>
        </w:tc>
        <w:tc>
          <w:tcPr>
            <w:tcW w:type="dxa" w:w="7926"/>
            <w:tcBorders>
              <w:top w:val="single" w:color="BBBBBB" w:sz="1"/>
              <w:left w:val="single" w:color="BBBBBB" w:sz="1"/>
              <w:bottom w:val="single" w:color="BBBBBB" w:sz="1"/>
              <w:right w:val="single" w:color="BBBBBB" w:sz="1"/>
            </w:tcBorders>
            <w:shd w:fill="E2EFDA" w:val="clear"/>
            <w:tcMar>
              <w:top w:type="dxa" w:w="100"/>
              <w:left w:type="dxa" w:w="160"/>
              <w:bottom w:type="dxa" w:w="100"/>
              <w:right w:type="dxa" w:w="160"/>
            </w:tcMar>
          </w:tcPr>
          <w:p>
            <w:pPr>
              <w:spacing w:after="60" w:before="0"/>
            </w:pPr>
            <w:r>
              <w:rPr>
                <w:rFonts w:ascii="Arial" w:cs="Arial" w:eastAsia="Arial" w:hAnsi="Arial"/>
                <w:b/>
                <w:bCs/>
                <w:color w:val="375623"/>
                <w:sz w:val="25"/>
                <w:szCs w:val="25"/>
              </w:rPr>
              <w:t xml:space="preserve">Caja blanca: parámetros críticos y trazabilidad inversa</w:t>
            </w:r>
          </w:p>
          <w:p>
            <w:pPr>
              <w:spacing w:after="0" w:before="0"/>
            </w:pPr>
            <w:r>
              <w:rPr>
                <w:rFonts w:ascii="Arial" w:cs="Arial" w:eastAsia="Arial" w:hAnsi="Arial"/>
                <w:b/>
                <w:bCs/>
                <w:color w:val="375623"/>
                <w:sz w:val="19"/>
                <w:szCs w:val="19"/>
              </w:rPr>
              <w:t xml:space="preserve">Verbo clave: </w:t>
            </w:r>
            <w:r>
              <w:rPr>
                <w:rFonts w:ascii="Arial" w:cs="Arial" w:eastAsia="Arial" w:hAnsi="Arial"/>
                <w:i/>
                <w:iCs/>
                <w:color w:val="444444"/>
                <w:sz w:val="19"/>
                <w:szCs w:val="19"/>
              </w:rPr>
              <w:t xml:space="preserve">Trazar — conectar cada parámetro Simscape con el requisito del pliego que lo justifica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Objetivo de aprendizaje</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Actividad principal</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Entregable</w:t>
            </w:r>
          </w:p>
        </w:tc>
        <w:tc>
          <w:tcPr>
            <w:tcW w:type="dxa" w:w="24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Conecta con...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Identificar los parámetros críticos de cada bloque Simscape del subsistema asignado y construir la tabla de trazabilidad inversa completa: parámetro → propiedad SysML → requisito SHALL</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Análisis de sensibilidad manual: modificar cada parámetro clave ±20% y observar el efecto en las salidas. Completar la tabla de trazabilidad inversa. Identificar parámetros sin requisito asociado (señal de alerta).</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Tabla de trazabilidad inversa: parámetro Simscape | propiedad SysML | ID requisito | valor del pliego | valor actual del modelo | delta</w:t>
            </w:r>
          </w:p>
        </w:tc>
        <w:tc>
          <w:tcPr>
            <w:tcW w:type="dxa" w:w="24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000000"/>
                <w:sz w:val="19"/>
                <w:szCs w:val="19"/>
              </w:rPr>
              <w:t xml:space="preserve">Esta tabla es la columna vertebral de la verificación de la Semana 8. Un requisito sin parámetro asociado en esta tabla no puede verificarse con simulación — debe documentarse como limitación del modelo.</w:t>
            </w:r>
          </w:p>
        </w:tc>
      </w:tr>
    </w:tbl>
    <w:p>
      <w:pPr>
        <w:spacing w:after="0" w:before="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BBBBBB" w:sz="1"/>
              <w:left w:val="single" w:color="BBBBBB" w:sz="1"/>
              <w:bottom w:val="single" w:color="BBBBBB" w:sz="1"/>
              <w:right w:val="single" w:color="BBBBBB" w:sz="1"/>
            </w:tcBorders>
            <w:shd w:fill="843C0C" w:val="clear"/>
            <w:tcMar>
              <w:top w:type="dxa" w:w="140"/>
              <w:left w:type="dxa" w:w="200"/>
              <w:bottom w:type="dxa" w:w="140"/>
              <w:right w:type="dxa" w:w="200"/>
            </w:tcMar>
            <w:vAlign w:val="center"/>
          </w:tcPr>
          <w:p>
            <w:pPr>
              <w:spacing w:after="20" w:before="0"/>
              <w:jc w:val="center"/>
            </w:pPr>
            <w:r>
              <w:rPr>
                <w:rFonts w:ascii="Arial" w:cs="Arial" w:eastAsia="Arial" w:hAnsi="Arial"/>
                <w:color w:val="FFFFFF"/>
                <w:sz w:val="18"/>
                <w:szCs w:val="18"/>
              </w:rPr>
              <w:t xml:space="preserve">Sem.</w:t>
            </w:r>
          </w:p>
          <w:p>
            <w:pPr>
              <w:spacing w:after="0" w:before="0"/>
              <w:jc w:val="center"/>
            </w:pPr>
            <w:r>
              <w:rPr>
                <w:rFonts w:ascii="Arial" w:cs="Arial" w:eastAsia="Arial" w:hAnsi="Arial"/>
                <w:b/>
                <w:bCs/>
                <w:color w:val="FFFFFF"/>
                <w:sz w:val="36"/>
                <w:szCs w:val="36"/>
              </w:rPr>
              <w:t xml:space="preserve">7</w:t>
            </w:r>
          </w:p>
        </w:tc>
        <w:tc>
          <w:tcPr>
            <w:tcW w:type="dxa" w:w="7926"/>
            <w:tcBorders>
              <w:top w:val="single" w:color="BBBBBB" w:sz="1"/>
              <w:left w:val="single" w:color="BBBBBB" w:sz="1"/>
              <w:bottom w:val="single" w:color="BBBBBB" w:sz="1"/>
              <w:right w:val="single" w:color="BBBBBB" w:sz="1"/>
            </w:tcBorders>
            <w:shd w:fill="FCE4D6" w:val="clear"/>
            <w:tcMar>
              <w:top w:type="dxa" w:w="100"/>
              <w:left w:type="dxa" w:w="160"/>
              <w:bottom w:type="dxa" w:w="100"/>
              <w:right w:type="dxa" w:w="160"/>
            </w:tcMar>
          </w:tcPr>
          <w:p>
            <w:pPr>
              <w:spacing w:after="60" w:before="0"/>
            </w:pPr>
            <w:r>
              <w:rPr>
                <w:rFonts w:ascii="Arial" w:cs="Arial" w:eastAsia="Arial" w:hAnsi="Arial"/>
                <w:b/>
                <w:bCs/>
                <w:color w:val="843C0C"/>
                <w:sz w:val="25"/>
                <w:szCs w:val="25"/>
              </w:rPr>
              <w:t xml:space="preserve">Calibración: adaptar el modelo al UGV real</w:t>
            </w:r>
          </w:p>
          <w:p>
            <w:pPr>
              <w:spacing w:after="0" w:before="0"/>
            </w:pPr>
            <w:r>
              <w:rPr>
                <w:rFonts w:ascii="Arial" w:cs="Arial" w:eastAsia="Arial" w:hAnsi="Arial"/>
                <w:b/>
                <w:bCs/>
                <w:color w:val="843C0C"/>
                <w:sz w:val="19"/>
                <w:szCs w:val="19"/>
              </w:rPr>
              <w:t xml:space="preserve">Verbo clave: </w:t>
            </w:r>
            <w:r>
              <w:rPr>
                <w:rFonts w:ascii="Arial" w:cs="Arial" w:eastAsia="Arial" w:hAnsi="Arial"/>
                <w:i/>
                <w:iCs/>
                <w:color w:val="444444"/>
                <w:sz w:val="19"/>
                <w:szCs w:val="19"/>
              </w:rPr>
              <w:t xml:space="preserve">Calibrar — hacer que el modelo represente el sistema del pliego, no el sistema genérico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Objetivo de aprendizaje</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Actividad principal</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Entregable</w:t>
            </w:r>
          </w:p>
        </w:tc>
        <w:tc>
          <w:tcPr>
            <w:tcW w:type="dxa" w:w="24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Conecta con...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Modificar los parámetros del modelo Simscape para que los valores correspondan exactamente a las especificaciones del pliego (masa, potencia, autonomía, velocidad), ejecutar el modelo modificado y verificar coherencia física</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Modificación sistemática de parámetros usando la tabla de trazabilidad inversa de la Semana 6 como guía. Validación física: si el modelo calibrado se comporta de forma inverosímil, hay un error de modelado que corregir.</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Modelo Simscape calibrado v1.0 + tabla de parámetros con valores del pliego vs. valores originales + gráficas de validación física</w:t>
            </w:r>
          </w:p>
        </w:tc>
        <w:tc>
          <w:tcPr>
            <w:tcW w:type="dxa" w:w="24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000000"/>
                <w:sz w:val="19"/>
                <w:szCs w:val="19"/>
              </w:rPr>
              <w:t xml:space="preserve">El modelo calibrado es la entrada directa de la Semana 8. Sin calibración correcta, los tests de verificación no tienen sentido. La diferencia entre los valores originales y los del pliego es la primera evidencia de por qué MBSE importa.</w:t>
            </w:r>
          </w:p>
        </w:tc>
      </w:tr>
    </w:tbl>
    <w:p>
      <w:pPr>
        <w:spacing w:after="0" w:before="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BBBBBB" w:sz="1"/>
              <w:left w:val="single" w:color="BBBBBB" w:sz="1"/>
              <w:bottom w:val="single" w:color="BBBBBB" w:sz="1"/>
              <w:right w:val="single" w:color="BBBBBB" w:sz="1"/>
            </w:tcBorders>
            <w:shd w:fill="843C0C" w:val="clear"/>
            <w:tcMar>
              <w:top w:type="dxa" w:w="140"/>
              <w:left w:type="dxa" w:w="200"/>
              <w:bottom w:type="dxa" w:w="140"/>
              <w:right w:type="dxa" w:w="200"/>
            </w:tcMar>
            <w:vAlign w:val="center"/>
          </w:tcPr>
          <w:p>
            <w:pPr>
              <w:spacing w:after="20" w:before="0"/>
              <w:jc w:val="center"/>
            </w:pPr>
            <w:r>
              <w:rPr>
                <w:rFonts w:ascii="Arial" w:cs="Arial" w:eastAsia="Arial" w:hAnsi="Arial"/>
                <w:color w:val="FFFFFF"/>
                <w:sz w:val="18"/>
                <w:szCs w:val="18"/>
              </w:rPr>
              <w:t xml:space="preserve">Sem.</w:t>
            </w:r>
          </w:p>
          <w:p>
            <w:pPr>
              <w:spacing w:after="0" w:before="0"/>
              <w:jc w:val="center"/>
            </w:pPr>
            <w:r>
              <w:rPr>
                <w:rFonts w:ascii="Arial" w:cs="Arial" w:eastAsia="Arial" w:hAnsi="Arial"/>
                <w:b/>
                <w:bCs/>
                <w:color w:val="FFFFFF"/>
                <w:sz w:val="36"/>
                <w:szCs w:val="36"/>
              </w:rPr>
              <w:t xml:space="preserve">8</w:t>
            </w:r>
          </w:p>
        </w:tc>
        <w:tc>
          <w:tcPr>
            <w:tcW w:type="dxa" w:w="7926"/>
            <w:tcBorders>
              <w:top w:val="single" w:color="BBBBBB" w:sz="1"/>
              <w:left w:val="single" w:color="BBBBBB" w:sz="1"/>
              <w:bottom w:val="single" w:color="BBBBBB" w:sz="1"/>
              <w:right w:val="single" w:color="BBBBBB" w:sz="1"/>
            </w:tcBorders>
            <w:shd w:fill="FCE4D6" w:val="clear"/>
            <w:tcMar>
              <w:top w:type="dxa" w:w="100"/>
              <w:left w:type="dxa" w:w="160"/>
              <w:bottom w:type="dxa" w:w="100"/>
              <w:right w:type="dxa" w:w="160"/>
            </w:tcMar>
          </w:tcPr>
          <w:p>
            <w:pPr>
              <w:spacing w:after="60" w:before="0"/>
            </w:pPr>
            <w:r>
              <w:rPr>
                <w:rFonts w:ascii="Arial" w:cs="Arial" w:eastAsia="Arial" w:hAnsi="Arial"/>
                <w:b/>
                <w:bCs/>
                <w:color w:val="843C0C"/>
                <w:sz w:val="25"/>
                <w:szCs w:val="25"/>
              </w:rPr>
              <w:t xml:space="preserve">Verificación formal de requisitos</w:t>
            </w:r>
          </w:p>
          <w:p>
            <w:pPr>
              <w:spacing w:after="0" w:before="0"/>
            </w:pPr>
            <w:r>
              <w:rPr>
                <w:rFonts w:ascii="Arial" w:cs="Arial" w:eastAsia="Arial" w:hAnsi="Arial"/>
                <w:b/>
                <w:bCs/>
                <w:color w:val="843C0C"/>
                <w:sz w:val="19"/>
                <w:szCs w:val="19"/>
              </w:rPr>
              <w:t xml:space="preserve">Verbo clave: </w:t>
            </w:r>
            <w:r>
              <w:rPr>
                <w:rFonts w:ascii="Arial" w:cs="Arial" w:eastAsia="Arial" w:hAnsi="Arial"/>
                <w:i/>
                <w:iCs/>
                <w:color w:val="444444"/>
                <w:sz w:val="19"/>
                <w:szCs w:val="19"/>
              </w:rPr>
              <w:t xml:space="preserve">Demostrar — producir evidencia de que cada requisito SHALL se cumple o no se cumple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Objetivo de aprendizaje</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Actividad principal</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Entregable</w:t>
            </w:r>
          </w:p>
        </w:tc>
        <w:tc>
          <w:tcPr>
            <w:tcW w:type="dxa" w:w="24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Conecta con...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Diseñar y ejecutar un test de verificación por cada requisito marcado como 'Sí-Simscape' en la tabla de la Semana 1, con criterio de aceptación cuantitativo derivado del pliego</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Para cada requisito: definir el escenario de simulación, el criterio de aceptación (umbral del pliego), ejecutar la simulación, registrar el resultado (pass/fail) y capturar la gráfica de evidencia. Usar Simulink Test si el tiempo lo permite.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Matriz de verificación completa: ID requisito | test | criterio | resultado | gráfica de evidencia. Al menos el 80% de los requisitos 'Sí-Simscape' deben tener test ejecutado.</w:t>
            </w:r>
          </w:p>
        </w:tc>
        <w:tc>
          <w:tcPr>
            <w:tcW w:type="dxa" w:w="24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000000"/>
                <w:sz w:val="19"/>
                <w:szCs w:val="19"/>
              </w:rPr>
              <w:t xml:space="preserve">Este entregable es el corazón del curso. En el CDR de la Semana 13 cada equipo defenderá esta matriz ante la clase. Un requisito sin test es una deuda técnica que el CDR pondrá de manifiesto.</w:t>
            </w:r>
          </w:p>
        </w:tc>
      </w:tr>
    </w:tbl>
    <w:p>
      <w:pPr>
        <w:spacing w:after="0" w:before="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BBBBBB" w:sz="1"/>
              <w:left w:val="single" w:color="BBBBBB" w:sz="1"/>
              <w:bottom w:val="single" w:color="BBBBBB" w:sz="1"/>
              <w:right w:val="single" w:color="BBBBBB" w:sz="1"/>
            </w:tcBorders>
            <w:shd w:fill="4B0082" w:val="clear"/>
            <w:tcMar>
              <w:top w:type="dxa" w:w="140"/>
              <w:left w:type="dxa" w:w="200"/>
              <w:bottom w:type="dxa" w:w="140"/>
              <w:right w:type="dxa" w:w="200"/>
            </w:tcMar>
            <w:vAlign w:val="center"/>
          </w:tcPr>
          <w:p>
            <w:pPr>
              <w:spacing w:after="20" w:before="0"/>
              <w:jc w:val="center"/>
            </w:pPr>
            <w:r>
              <w:rPr>
                <w:rFonts w:ascii="Arial" w:cs="Arial" w:eastAsia="Arial" w:hAnsi="Arial"/>
                <w:color w:val="FFFFFF"/>
                <w:sz w:val="18"/>
                <w:szCs w:val="18"/>
              </w:rPr>
              <w:t xml:space="preserve">Sem.</w:t>
            </w:r>
          </w:p>
          <w:p>
            <w:pPr>
              <w:spacing w:after="0" w:before="0"/>
              <w:jc w:val="center"/>
            </w:pPr>
            <w:r>
              <w:rPr>
                <w:rFonts w:ascii="Arial" w:cs="Arial" w:eastAsia="Arial" w:hAnsi="Arial"/>
                <w:b/>
                <w:bCs/>
                <w:color w:val="FFFFFF"/>
                <w:sz w:val="36"/>
                <w:szCs w:val="36"/>
              </w:rPr>
              <w:t xml:space="preserve">9</w:t>
            </w:r>
          </w:p>
        </w:tc>
        <w:tc>
          <w:tcPr>
            <w:tcW w:type="dxa" w:w="7926"/>
            <w:tcBorders>
              <w:top w:val="single" w:color="BBBBBB" w:sz="1"/>
              <w:left w:val="single" w:color="BBBBBB" w:sz="1"/>
              <w:bottom w:val="single" w:color="BBBBBB" w:sz="1"/>
              <w:right w:val="single" w:color="BBBBBB" w:sz="1"/>
            </w:tcBorders>
            <w:shd w:fill="EAD1DC" w:val="clear"/>
            <w:tcMar>
              <w:top w:type="dxa" w:w="100"/>
              <w:left w:type="dxa" w:w="160"/>
              <w:bottom w:type="dxa" w:w="100"/>
              <w:right w:type="dxa" w:w="160"/>
            </w:tcMar>
          </w:tcPr>
          <w:p>
            <w:pPr>
              <w:spacing w:after="60" w:before="0"/>
            </w:pPr>
            <w:r>
              <w:rPr>
                <w:rFonts w:ascii="Arial" w:cs="Arial" w:eastAsia="Arial" w:hAnsi="Arial"/>
                <w:b/>
                <w:bCs/>
                <w:color w:val="4B0082"/>
                <w:sz w:val="25"/>
                <w:szCs w:val="25"/>
              </w:rPr>
              <w:t xml:space="preserve">Análisis de modos de fallo</w:t>
            </w:r>
          </w:p>
          <w:p>
            <w:pPr>
              <w:spacing w:after="0" w:before="0"/>
            </w:pPr>
            <w:r>
              <w:rPr>
                <w:rFonts w:ascii="Arial" w:cs="Arial" w:eastAsia="Arial" w:hAnsi="Arial"/>
                <w:b/>
                <w:bCs/>
                <w:color w:val="4B0082"/>
                <w:sz w:val="19"/>
                <w:szCs w:val="19"/>
              </w:rPr>
              <w:t xml:space="preserve">Verbo clave: </w:t>
            </w:r>
            <w:r>
              <w:rPr>
                <w:rFonts w:ascii="Arial" w:cs="Arial" w:eastAsia="Arial" w:hAnsi="Arial"/>
                <w:i/>
                <w:iCs/>
                <w:color w:val="444444"/>
                <w:sz w:val="19"/>
                <w:szCs w:val="19"/>
              </w:rPr>
              <w:t xml:space="preserve">Degradar — entender cómo falla el sistema y si falla con gracia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Objetivo de aprendizaje</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Actividad principal</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Entregable</w:t>
            </w:r>
          </w:p>
        </w:tc>
        <w:tc>
          <w:tcPr>
            <w:tcW w:type="dxa" w:w="24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Conecta con...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Simular fallos en el subsistema asignado, verificar que los requisitos de seguridad del pliego (RGEN-17, ROPE-06) se cumplen en modo degradado, y documentar el comportamiento del sistema ante cada fallo</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Inyección de fallos en el modelo Simscape: desconectar una celda de batería, saturar un actuador, perder la señal de control. Verificar que el sistema activa los modos de seguridad del pliego. Registrar el comportamiento.</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Tabla FMEA ligera: modo de fallo | efecto observado en simulación | requisito de seguridad aplicable | resultado pass/fail | acción correctora si falla</w:t>
            </w:r>
          </w:p>
        </w:tc>
        <w:tc>
          <w:tcPr>
            <w:tcW w:type="dxa" w:w="24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000000"/>
                <w:sz w:val="19"/>
                <w:szCs w:val="19"/>
              </w:rPr>
              <w:t xml:space="preserve">Introduce la mentalidad de fiabilidad que completa la verificación funcional de la Semana 8. Un sistema que pasa todos los tests nominales pero falla catastróficamente ante el primer fallo no es un sistema de defensa.</w:t>
            </w:r>
          </w:p>
        </w:tc>
      </w:tr>
    </w:tbl>
    <w:p>
      <w:pPr>
        <w:spacing w:after="0" w:before="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BBBBBB" w:sz="1"/>
              <w:left w:val="single" w:color="BBBBBB" w:sz="1"/>
              <w:bottom w:val="single" w:color="BBBBBB" w:sz="1"/>
              <w:right w:val="single" w:color="BBBBBB" w:sz="1"/>
            </w:tcBorders>
            <w:shd w:fill="4B0082" w:val="clear"/>
            <w:tcMar>
              <w:top w:type="dxa" w:w="140"/>
              <w:left w:type="dxa" w:w="200"/>
              <w:bottom w:type="dxa" w:w="140"/>
              <w:right w:type="dxa" w:w="200"/>
            </w:tcMar>
            <w:vAlign w:val="center"/>
          </w:tcPr>
          <w:p>
            <w:pPr>
              <w:spacing w:after="20" w:before="0"/>
              <w:jc w:val="center"/>
            </w:pPr>
            <w:r>
              <w:rPr>
                <w:rFonts w:ascii="Arial" w:cs="Arial" w:eastAsia="Arial" w:hAnsi="Arial"/>
                <w:color w:val="FFFFFF"/>
                <w:sz w:val="18"/>
                <w:szCs w:val="18"/>
              </w:rPr>
              <w:t xml:space="preserve">Sem.</w:t>
            </w:r>
          </w:p>
          <w:p>
            <w:pPr>
              <w:spacing w:after="0" w:before="0"/>
              <w:jc w:val="center"/>
            </w:pPr>
            <w:r>
              <w:rPr>
                <w:rFonts w:ascii="Arial" w:cs="Arial" w:eastAsia="Arial" w:hAnsi="Arial"/>
                <w:b/>
                <w:bCs/>
                <w:color w:val="FFFFFF"/>
                <w:sz w:val="36"/>
                <w:szCs w:val="36"/>
              </w:rPr>
              <w:t xml:space="preserve">10</w:t>
            </w:r>
          </w:p>
        </w:tc>
        <w:tc>
          <w:tcPr>
            <w:tcW w:type="dxa" w:w="7926"/>
            <w:tcBorders>
              <w:top w:val="single" w:color="BBBBBB" w:sz="1"/>
              <w:left w:val="single" w:color="BBBBBB" w:sz="1"/>
              <w:bottom w:val="single" w:color="BBBBBB" w:sz="1"/>
              <w:right w:val="single" w:color="BBBBBB" w:sz="1"/>
            </w:tcBorders>
            <w:shd w:fill="EAD1DC" w:val="clear"/>
            <w:tcMar>
              <w:top w:type="dxa" w:w="100"/>
              <w:left w:type="dxa" w:w="160"/>
              <w:bottom w:type="dxa" w:w="100"/>
              <w:right w:type="dxa" w:w="160"/>
            </w:tcMar>
          </w:tcPr>
          <w:p>
            <w:pPr>
              <w:spacing w:after="60" w:before="0"/>
            </w:pPr>
            <w:r>
              <w:rPr>
                <w:rFonts w:ascii="Arial" w:cs="Arial" w:eastAsia="Arial" w:hAnsi="Arial"/>
                <w:b/>
                <w:bCs/>
                <w:color w:val="4B0082"/>
                <w:sz w:val="25"/>
                <w:szCs w:val="25"/>
              </w:rPr>
              <w:t xml:space="preserve">Integración entre subsistemas</w:t>
            </w:r>
          </w:p>
          <w:p>
            <w:pPr>
              <w:spacing w:after="0" w:before="0"/>
            </w:pPr>
            <w:r>
              <w:rPr>
                <w:rFonts w:ascii="Arial" w:cs="Arial" w:eastAsia="Arial" w:hAnsi="Arial"/>
                <w:b/>
                <w:bCs/>
                <w:color w:val="4B0082"/>
                <w:sz w:val="19"/>
                <w:szCs w:val="19"/>
              </w:rPr>
              <w:t xml:space="preserve">Verbo clave: </w:t>
            </w:r>
            <w:r>
              <w:rPr>
                <w:rFonts w:ascii="Arial" w:cs="Arial" w:eastAsia="Arial" w:hAnsi="Arial"/>
                <w:i/>
                <w:iCs/>
                <w:color w:val="444444"/>
                <w:sz w:val="19"/>
                <w:szCs w:val="19"/>
              </w:rPr>
              <w:t xml:space="preserve">Integrar — conectar los modelos de distintos equipos y resolver incompatibilidades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Objetivo de aprendizaje</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Actividad principal</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Entregable</w:t>
            </w:r>
          </w:p>
        </w:tc>
        <w:tc>
          <w:tcPr>
            <w:tcW w:type="dxa" w:w="24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Conecta con...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Conectar el modelo Simscape del subsistema asignado con los modelos de los subsistemas adyacentes (según el IBD de nivel 1), resolver las incompatibilidades de interfaz que aparezcan y verificar el comportamiento del sistema integrado</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Sesión de integración: cada equipo conecta su modelo con el del equipo adyacente. Las interfaces del IBD de la Semana 2 son el contrato. Si los tipos, unidades o rangos no coinciden, los equipos negocian la solución técnica.</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Modelo integrado (al menos 2 subsistemas conectados) + registro de incompatibilidades detectadas y soluciones adoptadas + verificación de al menos 1 requisito de sistema en el modelo integrado</w:t>
            </w:r>
          </w:p>
        </w:tc>
        <w:tc>
          <w:tcPr>
            <w:tcW w:type="dxa" w:w="24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000000"/>
                <w:sz w:val="19"/>
                <w:szCs w:val="19"/>
              </w:rPr>
              <w:t xml:space="preserve">La semana más formativa del curso. Las incompatibilidades que aparecen aquí son exactamente lo que MBSE intenta prevenir. Documentarlas es tan valioso como resolverlas.</w:t>
            </w:r>
          </w:p>
        </w:tc>
      </w:tr>
    </w:tbl>
    <w:p>
      <w:pPr>
        <w:spacing w:after="0" w:before="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BBBBBB" w:sz="1"/>
              <w:left w:val="single" w:color="BBBBBB" w:sz="1"/>
              <w:bottom w:val="single" w:color="BBBBBB" w:sz="1"/>
              <w:right w:val="single" w:color="BBBBBB" w:sz="1"/>
            </w:tcBorders>
            <w:shd w:fill="806000" w:val="clear"/>
            <w:tcMar>
              <w:top w:type="dxa" w:w="140"/>
              <w:left w:type="dxa" w:w="200"/>
              <w:bottom w:type="dxa" w:w="140"/>
              <w:right w:type="dxa" w:w="200"/>
            </w:tcMar>
            <w:vAlign w:val="center"/>
          </w:tcPr>
          <w:p>
            <w:pPr>
              <w:spacing w:after="20" w:before="0"/>
              <w:jc w:val="center"/>
            </w:pPr>
            <w:r>
              <w:rPr>
                <w:rFonts w:ascii="Arial" w:cs="Arial" w:eastAsia="Arial" w:hAnsi="Arial"/>
                <w:color w:val="FFFFFF"/>
                <w:sz w:val="18"/>
                <w:szCs w:val="18"/>
              </w:rPr>
              <w:t xml:space="preserve">Sem.</w:t>
            </w:r>
          </w:p>
          <w:p>
            <w:pPr>
              <w:spacing w:after="0" w:before="0"/>
              <w:jc w:val="center"/>
            </w:pPr>
            <w:r>
              <w:rPr>
                <w:rFonts w:ascii="Arial" w:cs="Arial" w:eastAsia="Arial" w:hAnsi="Arial"/>
                <w:b/>
                <w:bCs/>
                <w:color w:val="FFFFFF"/>
                <w:sz w:val="36"/>
                <w:szCs w:val="36"/>
              </w:rPr>
              <w:t xml:space="preserve">11</w:t>
            </w:r>
          </w:p>
        </w:tc>
        <w:tc>
          <w:tcPr>
            <w:tcW w:type="dxa" w:w="7926"/>
            <w:tcBorders>
              <w:top w:val="single" w:color="BBBBBB" w:sz="1"/>
              <w:left w:val="single" w:color="BBBBBB" w:sz="1"/>
              <w:bottom w:val="single" w:color="BBBBBB" w:sz="1"/>
              <w:right w:val="single" w:color="BBBBBB" w:sz="1"/>
            </w:tcBorders>
            <w:shd w:fill="FFF2CC" w:val="clear"/>
            <w:tcMar>
              <w:top w:type="dxa" w:w="100"/>
              <w:left w:type="dxa" w:w="160"/>
              <w:bottom w:type="dxa" w:w="100"/>
              <w:right w:type="dxa" w:w="160"/>
            </w:tcMar>
          </w:tcPr>
          <w:p>
            <w:pPr>
              <w:spacing w:after="60" w:before="0"/>
            </w:pPr>
            <w:r>
              <w:rPr>
                <w:rFonts w:ascii="Arial" w:cs="Arial" w:eastAsia="Arial" w:hAnsi="Arial"/>
                <w:b/>
                <w:bCs/>
                <w:color w:val="806000"/>
                <w:sz w:val="25"/>
                <w:szCs w:val="25"/>
              </w:rPr>
              <w:t xml:space="preserve">Optimización de parámetros</w:t>
            </w:r>
          </w:p>
          <w:p>
            <w:pPr>
              <w:spacing w:after="0" w:before="0"/>
            </w:pPr>
            <w:r>
              <w:rPr>
                <w:rFonts w:ascii="Arial" w:cs="Arial" w:eastAsia="Arial" w:hAnsi="Arial"/>
                <w:b/>
                <w:bCs/>
                <w:color w:val="806000"/>
                <w:sz w:val="19"/>
                <w:szCs w:val="19"/>
              </w:rPr>
              <w:t xml:space="preserve">Verbo clave: </w:t>
            </w:r>
            <w:r>
              <w:rPr>
                <w:rFonts w:ascii="Arial" w:cs="Arial" w:eastAsia="Arial" w:hAnsi="Arial"/>
                <w:i/>
                <w:iCs/>
                <w:color w:val="444444"/>
                <w:sz w:val="19"/>
                <w:szCs w:val="19"/>
              </w:rPr>
              <w:t xml:space="preserve">Optimizar — encontrar el mejor valor de diseño dentro de las restricciones del pliego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Objetivo de aprendizaje</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Actividad principal</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Entregable</w:t>
            </w:r>
          </w:p>
        </w:tc>
        <w:tc>
          <w:tcPr>
            <w:tcW w:type="dxa" w:w="24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Conecta con...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Usar Simulink Design Optimization o análisis de barrido paramétrico para encontrar el punto de operación óptimo del subsistema dentro de las restricciones del pliego, y justificar técnicamente el resultado</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Definición de función objetivo y restricciones a partir del pliego. Barrido paramétrico o uso de Simulink Design Optimization. Interpretación de resultados: ¿el óptimo viola algún requisito? ¿Hay trade-offs entre requisitos?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Informe de optimización: parámetro optimizado | función objetivo | restricciones | valor óptimo encontrado | comparación con valor del pliego | interpretación técnica</w:t>
            </w:r>
          </w:p>
        </w:tc>
        <w:tc>
          <w:tcPr>
            <w:tcW w:type="dxa" w:w="24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000000"/>
                <w:sz w:val="19"/>
                <w:szCs w:val="19"/>
              </w:rPr>
              <w:t xml:space="preserve">Los parámetros optimizados actualizan el modelo calibrado de la Semana 7 y refuerzan la argumentación del CDR. Un equipo que puede decir 'este valor no es el del pliego sino el óptimo que cumple el pliego' está haciendo ingeniería de verdad.</w:t>
            </w:r>
          </w:p>
        </w:tc>
      </w:tr>
    </w:tbl>
    <w:p>
      <w:pPr>
        <w:spacing w:after="0" w:before="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BBBBBB" w:sz="1"/>
              <w:left w:val="single" w:color="BBBBBB" w:sz="1"/>
              <w:bottom w:val="single" w:color="BBBBBB" w:sz="1"/>
              <w:right w:val="single" w:color="BBBBBB" w:sz="1"/>
            </w:tcBorders>
            <w:shd w:fill="806000" w:val="clear"/>
            <w:tcMar>
              <w:top w:type="dxa" w:w="140"/>
              <w:left w:type="dxa" w:w="200"/>
              <w:bottom w:type="dxa" w:w="140"/>
              <w:right w:type="dxa" w:w="200"/>
            </w:tcMar>
            <w:vAlign w:val="center"/>
          </w:tcPr>
          <w:p>
            <w:pPr>
              <w:spacing w:after="20" w:before="0"/>
              <w:jc w:val="center"/>
            </w:pPr>
            <w:r>
              <w:rPr>
                <w:rFonts w:ascii="Arial" w:cs="Arial" w:eastAsia="Arial" w:hAnsi="Arial"/>
                <w:color w:val="FFFFFF"/>
                <w:sz w:val="18"/>
                <w:szCs w:val="18"/>
              </w:rPr>
              <w:t xml:space="preserve">Sem.</w:t>
            </w:r>
          </w:p>
          <w:p>
            <w:pPr>
              <w:spacing w:after="0" w:before="0"/>
              <w:jc w:val="center"/>
            </w:pPr>
            <w:r>
              <w:rPr>
                <w:rFonts w:ascii="Arial" w:cs="Arial" w:eastAsia="Arial" w:hAnsi="Arial"/>
                <w:b/>
                <w:bCs/>
                <w:color w:val="FFFFFF"/>
                <w:sz w:val="36"/>
                <w:szCs w:val="36"/>
              </w:rPr>
              <w:t xml:space="preserve">12</w:t>
            </w:r>
          </w:p>
        </w:tc>
        <w:tc>
          <w:tcPr>
            <w:tcW w:type="dxa" w:w="7926"/>
            <w:tcBorders>
              <w:top w:val="single" w:color="BBBBBB" w:sz="1"/>
              <w:left w:val="single" w:color="BBBBBB" w:sz="1"/>
              <w:bottom w:val="single" w:color="BBBBBB" w:sz="1"/>
              <w:right w:val="single" w:color="BBBBBB" w:sz="1"/>
            </w:tcBorders>
            <w:shd w:fill="FFF2CC" w:val="clear"/>
            <w:tcMar>
              <w:top w:type="dxa" w:w="100"/>
              <w:left w:type="dxa" w:w="160"/>
              <w:bottom w:type="dxa" w:w="100"/>
              <w:right w:type="dxa" w:w="160"/>
            </w:tcMar>
          </w:tcPr>
          <w:p>
            <w:pPr>
              <w:spacing w:after="60" w:before="0"/>
            </w:pPr>
            <w:r>
              <w:rPr>
                <w:rFonts w:ascii="Arial" w:cs="Arial" w:eastAsia="Arial" w:hAnsi="Arial"/>
                <w:b/>
                <w:bCs/>
                <w:color w:val="806000"/>
                <w:sz w:val="25"/>
                <w:szCs w:val="25"/>
              </w:rPr>
              <w:t xml:space="preserve">Preparación del CDR</w:t>
            </w:r>
          </w:p>
          <w:p>
            <w:pPr>
              <w:spacing w:after="0" w:before="0"/>
            </w:pPr>
            <w:r>
              <w:rPr>
                <w:rFonts w:ascii="Arial" w:cs="Arial" w:eastAsia="Arial" w:hAnsi="Arial"/>
                <w:b/>
                <w:bCs/>
                <w:color w:val="806000"/>
                <w:sz w:val="19"/>
                <w:szCs w:val="19"/>
              </w:rPr>
              <w:t xml:space="preserve">Verbo clave: </w:t>
            </w:r>
            <w:r>
              <w:rPr>
                <w:rFonts w:ascii="Arial" w:cs="Arial" w:eastAsia="Arial" w:hAnsi="Arial"/>
                <w:i/>
                <w:iCs/>
                <w:color w:val="444444"/>
                <w:sz w:val="19"/>
                <w:szCs w:val="19"/>
              </w:rPr>
              <w:t xml:space="preserve">Documentar — consolidar todos los resultados en una memoria técnica coherente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Objetivo de aprendizaje</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Actividad principal</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Entregable</w:t>
            </w:r>
          </w:p>
        </w:tc>
        <w:tc>
          <w:tcPr>
            <w:tcW w:type="dxa" w:w="24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Conecta con...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Redactar la memoria técnica del subsistema asignado siguiendo la estructura de RDOC-13 del pliego, actualizar el modelo SysML con todos los resultados acumulados, y preparar la presentación del CDR</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Semana de trabajo autónomo con tutorías disponibles. La memoria sigue la estructura exacta que exige RDOC-13: vista general, vista operacional, vista de subsistemas con interfaces, evidencias de verificación.</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Borrador de memoria técnica + presentación CDR (máx. 15 diapositivas) + modelo SysML actualizado a la versión final</w:t>
            </w:r>
          </w:p>
        </w:tc>
        <w:tc>
          <w:tcPr>
            <w:tcW w:type="dxa" w:w="24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000000"/>
                <w:sz w:val="19"/>
                <w:szCs w:val="19"/>
              </w:rPr>
              <w:t xml:space="preserve">La memoria es el entregable que demuestra que el alumno entiende la conexión entre todos los elementos del curso: pliego → requisitos → arquitectura → simulación → verificación. Sin esa conexión visible, la memoria es un collage, no un documento de ingeniería.</w:t>
            </w:r>
          </w:p>
        </w:tc>
      </w:tr>
    </w:tbl>
    <w:p>
      <w:pPr>
        <w:spacing w:after="0" w:before="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BBBBBB" w:sz="1"/>
              <w:left w:val="single" w:color="BBBBBB" w:sz="1"/>
              <w:bottom w:val="single" w:color="BBBBBB" w:sz="1"/>
              <w:right w:val="single" w:color="BBBBBB" w:sz="1"/>
            </w:tcBorders>
            <w:shd w:fill="806000" w:val="clear"/>
            <w:tcMar>
              <w:top w:type="dxa" w:w="140"/>
              <w:left w:type="dxa" w:w="200"/>
              <w:bottom w:type="dxa" w:w="140"/>
              <w:right w:type="dxa" w:w="200"/>
            </w:tcMar>
            <w:vAlign w:val="center"/>
          </w:tcPr>
          <w:p>
            <w:pPr>
              <w:spacing w:after="20" w:before="0"/>
              <w:jc w:val="center"/>
            </w:pPr>
            <w:r>
              <w:rPr>
                <w:rFonts w:ascii="Arial" w:cs="Arial" w:eastAsia="Arial" w:hAnsi="Arial"/>
                <w:color w:val="FFFFFF"/>
                <w:sz w:val="18"/>
                <w:szCs w:val="18"/>
              </w:rPr>
              <w:t xml:space="preserve">Sem.</w:t>
            </w:r>
          </w:p>
          <w:p>
            <w:pPr>
              <w:spacing w:after="0" w:before="0"/>
              <w:jc w:val="center"/>
            </w:pPr>
            <w:r>
              <w:rPr>
                <w:rFonts w:ascii="Arial" w:cs="Arial" w:eastAsia="Arial" w:hAnsi="Arial"/>
                <w:b/>
                <w:bCs/>
                <w:color w:val="FFFFFF"/>
                <w:sz w:val="36"/>
                <w:szCs w:val="36"/>
              </w:rPr>
              <w:t xml:space="preserve">13</w:t>
            </w:r>
          </w:p>
        </w:tc>
        <w:tc>
          <w:tcPr>
            <w:tcW w:type="dxa" w:w="7926"/>
            <w:tcBorders>
              <w:top w:val="single" w:color="BBBBBB" w:sz="1"/>
              <w:left w:val="single" w:color="BBBBBB" w:sz="1"/>
              <w:bottom w:val="single" w:color="BBBBBB" w:sz="1"/>
              <w:right w:val="single" w:color="BBBBBB" w:sz="1"/>
            </w:tcBorders>
            <w:shd w:fill="FFF2CC" w:val="clear"/>
            <w:tcMar>
              <w:top w:type="dxa" w:w="100"/>
              <w:left w:type="dxa" w:w="160"/>
              <w:bottom w:type="dxa" w:w="100"/>
              <w:right w:type="dxa" w:w="160"/>
            </w:tcMar>
          </w:tcPr>
          <w:p>
            <w:pPr>
              <w:spacing w:after="60" w:before="0"/>
            </w:pPr>
            <w:r>
              <w:rPr>
                <w:rFonts w:ascii="Arial" w:cs="Arial" w:eastAsia="Arial" w:hAnsi="Arial"/>
                <w:b/>
                <w:bCs/>
                <w:color w:val="806000"/>
                <w:sz w:val="25"/>
                <w:szCs w:val="25"/>
              </w:rPr>
              <w:t xml:space="preserve">CDR — Critical Design Review</w:t>
            </w:r>
          </w:p>
          <w:p>
            <w:pPr>
              <w:spacing w:after="0" w:before="0"/>
            </w:pPr>
            <w:r>
              <w:rPr>
                <w:rFonts w:ascii="Arial" w:cs="Arial" w:eastAsia="Arial" w:hAnsi="Arial"/>
                <w:b/>
                <w:bCs/>
                <w:color w:val="806000"/>
                <w:sz w:val="19"/>
                <w:szCs w:val="19"/>
              </w:rPr>
              <w:t xml:space="preserve">Verbo clave: </w:t>
            </w:r>
            <w:r>
              <w:rPr>
                <w:rFonts w:ascii="Arial" w:cs="Arial" w:eastAsia="Arial" w:hAnsi="Arial"/>
                <w:i/>
                <w:iCs/>
                <w:color w:val="444444"/>
                <w:sz w:val="19"/>
                <w:szCs w:val="19"/>
              </w:rPr>
              <w:t xml:space="preserve">Defender — justificar las decisiones de diseño ante un panel técnico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Objetivo de aprendizaje</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Actividad principal</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Entregable</w:t>
            </w:r>
          </w:p>
        </w:tc>
        <w:tc>
          <w:tcPr>
            <w:tcW w:type="dxa" w:w="24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Conecta con...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Presentar el diseño del subsistema en formato de revisión de diseño real: 15 minutos de presentación + 10 minutos de preguntas técnicas de los otros equipos y del profesor actuando como representante del CDTI</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Presentación estructurada: arquitectura SysML → requisitos verificados → modelo Simscape → resultados de verificación → análisis de fallos → parámetros optimizados. Los otros equipos actúan como revisores técnicos y deben formular al menos 2 preguntas técnicas.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Presentación CDR (evaluada en directo) + respuestas a las preguntas del panel + versión final de la memoria técnica</w:t>
            </w:r>
          </w:p>
        </w:tc>
        <w:tc>
          <w:tcPr>
            <w:tcW w:type="dxa" w:w="24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000000"/>
                <w:sz w:val="19"/>
                <w:szCs w:val="19"/>
              </w:rPr>
              <w:t xml:space="preserve">El CDR es el momento en que los alumnos comprueban si su modelo resiste el escrutinio técnico externo. Las preguntas de los otros equipos suelen ser más incisivas que las del profesor, porque atacan exactamente las interfaces que ellos tuvieron que negociar.</w:t>
            </w:r>
          </w:p>
        </w:tc>
      </w:tr>
    </w:tbl>
    <w:p>
      <w:pPr>
        <w:spacing w:after="0" w:before="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BBBBBB" w:sz="1"/>
              <w:left w:val="single" w:color="BBBBBB" w:sz="1"/>
              <w:bottom w:val="single" w:color="BBBBBB" w:sz="1"/>
              <w:right w:val="single" w:color="BBBBBB" w:sz="1"/>
            </w:tcBorders>
            <w:shd w:fill="806000" w:val="clear"/>
            <w:tcMar>
              <w:top w:type="dxa" w:w="140"/>
              <w:left w:type="dxa" w:w="200"/>
              <w:bottom w:type="dxa" w:w="140"/>
              <w:right w:type="dxa" w:w="200"/>
            </w:tcMar>
            <w:vAlign w:val="center"/>
          </w:tcPr>
          <w:p>
            <w:pPr>
              <w:spacing w:after="20" w:before="0"/>
              <w:jc w:val="center"/>
            </w:pPr>
            <w:r>
              <w:rPr>
                <w:rFonts w:ascii="Arial" w:cs="Arial" w:eastAsia="Arial" w:hAnsi="Arial"/>
                <w:color w:val="FFFFFF"/>
                <w:sz w:val="18"/>
                <w:szCs w:val="18"/>
              </w:rPr>
              <w:t xml:space="preserve">Sem.</w:t>
            </w:r>
          </w:p>
          <w:p>
            <w:pPr>
              <w:spacing w:after="0" w:before="0"/>
              <w:jc w:val="center"/>
            </w:pPr>
            <w:r>
              <w:rPr>
                <w:rFonts w:ascii="Arial" w:cs="Arial" w:eastAsia="Arial" w:hAnsi="Arial"/>
                <w:b/>
                <w:bCs/>
                <w:color w:val="FFFFFF"/>
                <w:sz w:val="36"/>
                <w:szCs w:val="36"/>
              </w:rPr>
              <w:t xml:space="preserve">14</w:t>
            </w:r>
          </w:p>
        </w:tc>
        <w:tc>
          <w:tcPr>
            <w:tcW w:type="dxa" w:w="7926"/>
            <w:tcBorders>
              <w:top w:val="single" w:color="BBBBBB" w:sz="1"/>
              <w:left w:val="single" w:color="BBBBBB" w:sz="1"/>
              <w:bottom w:val="single" w:color="BBBBBB" w:sz="1"/>
              <w:right w:val="single" w:color="BBBBBB" w:sz="1"/>
            </w:tcBorders>
            <w:shd w:fill="FFF2CC" w:val="clear"/>
            <w:tcMar>
              <w:top w:type="dxa" w:w="100"/>
              <w:left w:type="dxa" w:w="160"/>
              <w:bottom w:type="dxa" w:w="100"/>
              <w:right w:type="dxa" w:w="160"/>
            </w:tcMar>
          </w:tcPr>
          <w:p>
            <w:pPr>
              <w:spacing w:after="60" w:before="0"/>
            </w:pPr>
            <w:r>
              <w:rPr>
                <w:rFonts w:ascii="Arial" w:cs="Arial" w:eastAsia="Arial" w:hAnsi="Arial"/>
                <w:b/>
                <w:bCs/>
                <w:color w:val="806000"/>
                <w:sz w:val="25"/>
                <w:szCs w:val="25"/>
              </w:rPr>
              <w:t xml:space="preserve">Cierre y reflexión</w:t>
            </w:r>
          </w:p>
          <w:p>
            <w:pPr>
              <w:spacing w:after="0" w:before="0"/>
            </w:pPr>
            <w:r>
              <w:rPr>
                <w:rFonts w:ascii="Arial" w:cs="Arial" w:eastAsia="Arial" w:hAnsi="Arial"/>
                <w:b/>
                <w:bCs/>
                <w:color w:val="806000"/>
                <w:sz w:val="19"/>
                <w:szCs w:val="19"/>
              </w:rPr>
              <w:t xml:space="preserve">Verbo clave: </w:t>
            </w:r>
            <w:r>
              <w:rPr>
                <w:rFonts w:ascii="Arial" w:cs="Arial" w:eastAsia="Arial" w:hAnsi="Arial"/>
                <w:i/>
                <w:iCs/>
                <w:color w:val="444444"/>
                <w:sz w:val="19"/>
                <w:szCs w:val="19"/>
              </w:rPr>
              <w:t xml:space="preserve">Reflexionar — identificar los límites de lo que la simulación puede y no puede demostrar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Objetivo de aprendizaje</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Actividad principal</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Entregable</w:t>
            </w:r>
          </w:p>
        </w:tc>
        <w:tc>
          <w:tcPr>
            <w:tcW w:type="dxa" w:w="24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Conecta con...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Debate estructurado sobre tres preguntas sin respuesta correcta: ¿qué requisitos del pliego resultaron imposibles de verificar con simulación y por qué? ¿Qué habrían diseñado diferente? ¿Qué reveló el modelo que el pliego no anticipaba?</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Debate en clase organizado como sesión de lecciones aprendidas al estilo de los After Action Review militares. Cada equipo presenta una lección aprendida de cada bloque del curso.</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9"/>
                <w:szCs w:val="19"/>
              </w:rPr>
              <w:t xml:space="preserve">Entrega final de la memoria técnica corregida tras el CDR + contribución al documento colectivo de lecciones aprendidas del curso</w:t>
            </w:r>
          </w:p>
        </w:tc>
        <w:tc>
          <w:tcPr>
            <w:tcW w:type="dxa" w:w="24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000000"/>
                <w:sz w:val="19"/>
                <w:szCs w:val="19"/>
              </w:rPr>
              <w:t xml:space="preserve">La semana 14 cierra el ciclo cognitivo: los alumnos que en la Semana 1 no sabían leer un pliego ahora son capaces de identificar sus limitaciones técnicas. Esa capacidad metacognitiva es el objetivo más profundo del curso.</w:t>
            </w:r>
          </w:p>
        </w:tc>
      </w:tr>
    </w:tbl>
    <w:p>
      <w:pPr>
        <w:spacing w:after="0" w:before="180"/>
      </w:pPr>
      <w:r>
        <w:t xml:space="preserve"/>
      </w:r>
    </w:p>
    <w:p>
      <w:pPr>
        <w:spacing w:after="0" w:before="200"/>
      </w:pPr>
      <w:r>
        <w:t xml:space="preserve"/>
      </w:r>
    </w:p>
    <w:p>
      <w:r>
        <w:br w:type="page"/>
      </w:r>
    </w:p>
    <w:p>
      <w:pPr>
        <w:pStyle w:val="Heading1"/>
        <w:pBdr>
          <w:bottom w:val="single" w:color="1F4E79" w:sz="8" w:space="1"/>
        </w:pBdr>
        <w:spacing w:after="180" w:before="360"/>
      </w:pPr>
      <w:r>
        <w:rPr>
          <w:rFonts w:ascii="Arial" w:cs="Arial" w:eastAsia="Arial" w:hAnsi="Arial"/>
          <w:b/>
          <w:bCs/>
          <w:color w:val="1F4E79"/>
          <w:sz w:val="32"/>
          <w:szCs w:val="32"/>
        </w:rPr>
        <w:t xml:space="preserve">6. Sistema de evaluación</w:t>
      </w:r>
    </w:p>
    <w:p>
      <w:pPr>
        <w:pStyle w:val="Heading2"/>
        <w:spacing w:after="120" w:before="280"/>
      </w:pPr>
      <w:r>
        <w:rPr>
          <w:rFonts w:ascii="Arial" w:cs="Arial" w:eastAsia="Arial" w:hAnsi="Arial"/>
          <w:b/>
          <w:bCs/>
          <w:color w:val="1F4E79"/>
          <w:sz w:val="26"/>
          <w:szCs w:val="26"/>
        </w:rPr>
        <w:t xml:space="preserve">6.1 Pesos por bloque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200"/>
        <w:gridCol w:w="1513"/>
        <w:gridCol w:w="1513"/>
      </w:tblGrid>
      <w:tr>
        <w:trPr>
          <w:tblHeader/>
        </w:trPr>
        <w:tc>
          <w:tcPr>
            <w:tcW w:type="dxa" w:w="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20"/>
                <w:szCs w:val="20"/>
              </w:rPr>
              <w:t xml:space="preserve">Bloque</w:t>
            </w:r>
          </w:p>
        </w:tc>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20"/>
                <w:szCs w:val="20"/>
              </w:rPr>
              <w:t xml:space="preserve">Entregables principales</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20"/>
                <w:szCs w:val="20"/>
              </w:rPr>
              <w:t xml:space="preserve">Criterio clave</w:t>
            </w:r>
          </w:p>
        </w:tc>
        <w:tc>
          <w:tcPr>
            <w:tcW w:type="dxa" w:w="151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20"/>
                <w:szCs w:val="20"/>
              </w:rPr>
              <w:t xml:space="preserve">Peso individual</w:t>
            </w:r>
          </w:p>
        </w:tc>
        <w:tc>
          <w:tcPr>
            <w:tcW w:type="dxa" w:w="151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20"/>
                <w:szCs w:val="20"/>
              </w:rPr>
              <w:t xml:space="preserve">Peso grupal</w:t>
            </w:r>
          </w:p>
        </w:tc>
      </w:tr>
      <w:tr>
        <w:tc>
          <w:tcPr>
            <w:tcW w:type="dxa" w:w="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0000"/>
                <w:sz w:val="20"/>
                <w:szCs w:val="20"/>
              </w:rPr>
              <w:t xml:space="preserve">I</w:t>
            </w:r>
          </w:p>
        </w:tc>
        <w:tc>
          <w:tcPr>
            <w:tcW w:type="dxa" w:w="3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Tabla de requisitos + modelo SysML completo + esqueleto Simulink</w:t>
            </w:r>
          </w:p>
        </w:tc>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Trazabilidad requisito↔bloque↔interfaz</w:t>
            </w:r>
          </w:p>
        </w:tc>
        <w:tc>
          <w:tcPr>
            <w:tcW w:type="dxa" w:w="1513"/>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20"/>
                <w:szCs w:val="20"/>
              </w:rPr>
              <w:t xml:space="preserve">5%</w:t>
            </w:r>
          </w:p>
        </w:tc>
        <w:tc>
          <w:tcPr>
            <w:tcW w:type="dxa" w:w="1513"/>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20"/>
                <w:szCs w:val="20"/>
              </w:rPr>
              <w:t xml:space="preserve">15%</w:t>
            </w:r>
          </w:p>
        </w:tc>
      </w:tr>
      <w:tr>
        <w:tc>
          <w:tcPr>
            <w:tcW w:type="dxa" w:w="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0000"/>
                <w:sz w:val="20"/>
                <w:szCs w:val="20"/>
              </w:rPr>
              <w:t xml:space="preserve">II</w:t>
            </w:r>
          </w:p>
        </w:tc>
        <w:tc>
          <w:tcPr>
            <w:tcW w:type="dxa" w:w="30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Tabla SysML↔Simscape + tabla trazabilidad inversa</w:t>
            </w:r>
          </w:p>
        </w:tc>
        <w:tc>
          <w:tcPr>
            <w:tcW w:type="dxa" w:w="22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Cobertura de parámetros críticos identificados</w:t>
            </w:r>
          </w:p>
        </w:tc>
        <w:tc>
          <w:tcPr>
            <w:tcW w:type="dxa" w:w="1513"/>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20"/>
                <w:szCs w:val="20"/>
              </w:rPr>
              <w:t xml:space="preserve">5%</w:t>
            </w:r>
          </w:p>
        </w:tc>
        <w:tc>
          <w:tcPr>
            <w:tcW w:type="dxa" w:w="1513"/>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20"/>
                <w:szCs w:val="20"/>
              </w:rPr>
              <w:t xml:space="preserve">10%</w:t>
            </w:r>
          </w:p>
        </w:tc>
      </w:tr>
      <w:tr>
        <w:tc>
          <w:tcPr>
            <w:tcW w:type="dxa" w:w="800"/>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0000"/>
                <w:sz w:val="20"/>
                <w:szCs w:val="20"/>
              </w:rPr>
              <w:t xml:space="preserve">III</w:t>
            </w:r>
          </w:p>
        </w:tc>
        <w:tc>
          <w:tcPr>
            <w:tcW w:type="dxa" w:w="3000"/>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Modelo calibrado + matriz de verificación completa</w:t>
            </w:r>
          </w:p>
        </w:tc>
        <w:tc>
          <w:tcPr>
            <w:tcW w:type="dxa" w:w="2200"/>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 80% de requisitos Sí-Simscape con test pass/fail</w:t>
            </w:r>
          </w:p>
        </w:tc>
        <w:tc>
          <w:tcPr>
            <w:tcW w:type="dxa" w:w="1513"/>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20"/>
                <w:szCs w:val="20"/>
              </w:rPr>
              <w:t xml:space="preserve">5%</w:t>
            </w:r>
          </w:p>
        </w:tc>
        <w:tc>
          <w:tcPr>
            <w:tcW w:type="dxa" w:w="1513"/>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20"/>
                <w:szCs w:val="20"/>
              </w:rPr>
              <w:t xml:space="preserve">20%</w:t>
            </w:r>
          </w:p>
        </w:tc>
      </w:tr>
      <w:tr>
        <w:tc>
          <w:tcPr>
            <w:tcW w:type="dxa" w:w="800"/>
            <w:tcBorders>
              <w:top w:val="single" w:color="BBBBBB" w:sz="1"/>
              <w:left w:val="single" w:color="BBBBBB" w:sz="1"/>
              <w:bottom w:val="single" w:color="BBBBBB" w:sz="1"/>
              <w:right w:val="single" w:color="BBBBBB" w:sz="1"/>
            </w:tcBorders>
            <w:shd w:fill="EAD1DC"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0000"/>
                <w:sz w:val="20"/>
                <w:szCs w:val="20"/>
              </w:rPr>
              <w:t xml:space="preserve">IV</w:t>
            </w:r>
          </w:p>
        </w:tc>
        <w:tc>
          <w:tcPr>
            <w:tcW w:type="dxa" w:w="3000"/>
            <w:tcBorders>
              <w:top w:val="single" w:color="BBBBBB" w:sz="1"/>
              <w:left w:val="single" w:color="BBBBBB" w:sz="1"/>
              <w:bottom w:val="single" w:color="BBBBBB" w:sz="1"/>
              <w:right w:val="single" w:color="BBBBBB" w:sz="1"/>
            </w:tcBorders>
            <w:shd w:fill="EAD1DC"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Tabla FMEA ligera + modelo integrado con subsistema adyacente</w:t>
            </w:r>
          </w:p>
        </w:tc>
        <w:tc>
          <w:tcPr>
            <w:tcW w:type="dxa" w:w="2200"/>
            <w:tcBorders>
              <w:top w:val="single" w:color="BBBBBB" w:sz="1"/>
              <w:left w:val="single" w:color="BBBBBB" w:sz="1"/>
              <w:bottom w:val="single" w:color="BBBBBB" w:sz="1"/>
              <w:right w:val="single" w:color="BBBBBB" w:sz="1"/>
            </w:tcBorders>
            <w:shd w:fill="EAD1DC"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Al menos 2 subsistemas integrados y 1 requisito de sistema verificado</w:t>
            </w:r>
          </w:p>
        </w:tc>
        <w:tc>
          <w:tcPr>
            <w:tcW w:type="dxa" w:w="1513"/>
            <w:tcBorders>
              <w:top w:val="single" w:color="BBBBBB" w:sz="1"/>
              <w:left w:val="single" w:color="BBBBBB" w:sz="1"/>
              <w:bottom w:val="single" w:color="BBBBBB" w:sz="1"/>
              <w:right w:val="single" w:color="BBBBBB" w:sz="1"/>
            </w:tcBorders>
            <w:shd w:fill="EAD1DC"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20"/>
                <w:szCs w:val="20"/>
              </w:rPr>
              <w:t xml:space="preserve">5%</w:t>
            </w:r>
          </w:p>
        </w:tc>
        <w:tc>
          <w:tcPr>
            <w:tcW w:type="dxa" w:w="1513"/>
            <w:tcBorders>
              <w:top w:val="single" w:color="BBBBBB" w:sz="1"/>
              <w:left w:val="single" w:color="BBBBBB" w:sz="1"/>
              <w:bottom w:val="single" w:color="BBBBBB" w:sz="1"/>
              <w:right w:val="single" w:color="BBBBBB" w:sz="1"/>
            </w:tcBorders>
            <w:shd w:fill="EAD1DC"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20"/>
                <w:szCs w:val="20"/>
              </w:rPr>
              <w:t xml:space="preserve">10%</w:t>
            </w:r>
          </w:p>
        </w:tc>
      </w:tr>
      <w:tr>
        <w:tc>
          <w:tcPr>
            <w:tcW w:type="dxa" w:w="8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0000"/>
                <w:sz w:val="20"/>
                <w:szCs w:val="20"/>
              </w:rPr>
              <w:t xml:space="preserve">V</w:t>
            </w:r>
          </w:p>
        </w:tc>
        <w:tc>
          <w:tcPr>
            <w:tcW w:type="dxa" w:w="30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CDR (presentación + preguntas) + memoria técnica final</w:t>
            </w:r>
          </w:p>
        </w:tc>
        <w:tc>
          <w:tcPr>
            <w:tcW w:type="dxa" w:w="22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Coherencia entre pliego, arquitectura, simulación y evidencias</w:t>
            </w:r>
          </w:p>
        </w:tc>
        <w:tc>
          <w:tcPr>
            <w:tcW w:type="dxa" w:w="1513"/>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20"/>
                <w:szCs w:val="20"/>
              </w:rPr>
              <w:t xml:space="preserve">15%</w:t>
            </w:r>
          </w:p>
        </w:tc>
        <w:tc>
          <w:tcPr>
            <w:tcW w:type="dxa" w:w="1513"/>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20"/>
                <w:szCs w:val="20"/>
              </w:rPr>
              <w:t xml:space="preserve">10%</w:t>
            </w:r>
          </w:p>
        </w:tc>
      </w:tr>
      <w:tr>
        <w:tc>
          <w:tcPr>
            <w:tcW w:type="dxa" w:w="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20"/>
                <w:szCs w:val="20"/>
              </w:rPr>
              <w:t xml:space="preserve">TOTAL</w:t>
            </w:r>
          </w:p>
        </w:tc>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
            </w:r>
          </w:p>
        </w:tc>
        <w:tc>
          <w:tcPr>
            <w:tcW w:type="dxa" w:w="151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20"/>
                <w:szCs w:val="20"/>
              </w:rPr>
              <w:t xml:space="preserve">35%</w:t>
            </w:r>
          </w:p>
        </w:tc>
        <w:tc>
          <w:tcPr>
            <w:tcW w:type="dxa" w:w="151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20"/>
                <w:szCs w:val="20"/>
              </w:rPr>
              <w:t xml:space="preserve">65%</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2E75B6" w:sz="16"/>
              <w:bottom w:val="single" w:color="BBBBBB" w:sz="1"/>
              <w:right w:val="single" w:color="BBBBBB" w:sz="1"/>
            </w:tcBorders>
            <w:shd w:fill="D6E4F0" w:val="clear"/>
            <w:tcMar>
              <w:top w:type="dxa" w:w="140"/>
              <w:left w:type="dxa" w:w="200"/>
              <w:bottom w:type="dxa" w:w="140"/>
              <w:right w:type="dxa" w:w="200"/>
            </w:tcMar>
          </w:tcPr>
          <w:p>
            <w:pPr>
              <w:spacing w:after="40" w:before="40"/>
            </w:pPr>
            <w:r>
              <w:rPr>
                <w:rFonts w:ascii="Arial" w:cs="Arial" w:eastAsia="Arial" w:hAnsi="Arial"/>
                <w:i/>
                <w:iCs/>
                <w:sz w:val="20"/>
                <w:szCs w:val="20"/>
              </w:rPr>
              <w:t xml:space="preserve">El peso grupal es mayor que el individual porque el curso entrena trabajo en equipo de ingeniería, no habilidades individuales aisladas. Sin embargo, el 35% individual garantiza que cada alumno puede ser evaluado independientemente de la calidad del grupo.</w:t>
            </w:r>
          </w:p>
        </w:tc>
      </w:tr>
    </w:tbl>
    <w:p>
      <w:pPr>
        <w:spacing w:after="0" w:before="160"/>
      </w:pPr>
      <w:r>
        <w:t xml:space="preserve"/>
      </w:r>
    </w:p>
    <w:p>
      <w:pPr>
        <w:pStyle w:val="Heading2"/>
        <w:spacing w:after="120" w:before="280"/>
      </w:pPr>
      <w:r>
        <w:rPr>
          <w:rFonts w:ascii="Arial" w:cs="Arial" w:eastAsia="Arial" w:hAnsi="Arial"/>
          <w:b/>
          <w:bCs/>
          <w:color w:val="1F4E79"/>
          <w:sz w:val="26"/>
          <w:szCs w:val="26"/>
        </w:rPr>
        <w:t xml:space="preserve">6.2 Criterio transversal: la trazabilidad</w:t>
      </w:r>
    </w:p>
    <w:p>
      <w:pPr>
        <w:spacing w:after="60" w:before="60"/>
      </w:pPr>
      <w:r>
        <w:rPr>
          <w:rFonts w:ascii="Arial" w:cs="Arial" w:eastAsia="Arial" w:hAnsi="Arial"/>
          <w:sz w:val="22"/>
          <w:szCs w:val="22"/>
        </w:rPr>
        <w:t xml:space="preserve">Independientemente del bloque, todo entregable que contenga un valor numérico sin referencia al pliego que lo justifica se penaliza con la reducción de un nivel en la rúbrica correspondiente. Este criterio es no negociable y se aplica desde la Semana 1.</w:t>
      </w:r>
    </w:p>
    <w:p>
      <w:pPr>
        <w:spacing w:after="60" w:before="60"/>
      </w:pPr>
      <w:r>
        <w:rPr>
          <w:rFonts w:ascii="Arial" w:cs="Arial" w:eastAsia="Arial" w:hAnsi="Arial"/>
          <w:sz w:val="22"/>
          <w:szCs w:val="22"/>
        </w:rPr>
        <w:t xml:space="preserve">La razón es simple: en ingeniería de sistemas, un parámetro sin justificación es un riesgo de diseño. Un alumno que aprende a citar sus fuentes desde el primer día desarrolla un hábito que en la industria vale más que cualquier habilidad técnica concreta.</w:t>
      </w:r>
    </w:p>
    <w:p>
      <w:pPr>
        <w:spacing w:after="0" w:before="200"/>
      </w:pPr>
      <w:r>
        <w:t xml:space="preserve"/>
      </w:r>
    </w:p>
    <w:p>
      <w:pPr>
        <w:pStyle w:val="Heading1"/>
        <w:pBdr>
          <w:bottom w:val="single" w:color="1F4E79" w:sz="8" w:space="1"/>
        </w:pBdr>
        <w:spacing w:after="180" w:before="360"/>
      </w:pPr>
      <w:r>
        <w:rPr>
          <w:rFonts w:ascii="Arial" w:cs="Arial" w:eastAsia="Arial" w:hAnsi="Arial"/>
          <w:b/>
          <w:bCs/>
          <w:color w:val="1F4E79"/>
          <w:sz w:val="32"/>
          <w:szCs w:val="32"/>
        </w:rPr>
        <w:t xml:space="preserve">7. Modelo Simscape base — Repositorios de referencia</w:t>
      </w:r>
    </w:p>
    <w:p>
      <w:pPr>
        <w:spacing w:after="60" w:before="60"/>
      </w:pPr>
      <w:r>
        <w:rPr>
          <w:rFonts w:ascii="Arial" w:cs="Arial" w:eastAsia="Arial" w:hAnsi="Arial"/>
          <w:sz w:val="22"/>
          <w:szCs w:val="22"/>
        </w:rPr>
        <w:t xml:space="preserve">El profesor ensamblará el modelo base del UGV combinando los siguientes repositorios oficiales de MathWorks, todos de acceso público y mantenidos activamente: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20"/>
                <w:szCs w:val="20"/>
              </w:rPr>
              <w:t xml:space="preserve">Repositorio</w:t>
            </w:r>
          </w:p>
        </w:tc>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20"/>
                <w:szCs w:val="20"/>
              </w:rPr>
              <w:t xml:space="preserve">Subsistema UGV cubierto</w:t>
            </w:r>
          </w:p>
        </w:tc>
        <w:tc>
          <w:tcPr>
            <w:tcW w:type="dxa" w:w="42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20"/>
                <w:szCs w:val="20"/>
              </w:rPr>
              <w:t xml:space="preserve">URL (GitHub / File Exchange)</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Simscape Vehicle Templates</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Modelo federador completo: chasis, powertrain, suspensión</w:t>
            </w:r>
          </w:p>
        </w:tc>
        <w:tc>
          <w:tcPr>
            <w:tcW w:type="dxa" w:w="4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000000"/>
                <w:sz w:val="20"/>
                <w:szCs w:val="20"/>
              </w:rPr>
              <w:t xml:space="preserve">github.com/mathworks/Simscape-Vehicle-Templates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BEV Model in Simscape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Propulsión eléctrica (PMSM) + pack de baterías multi-fidelidad</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000000"/>
                <w:sz w:val="20"/>
                <w:szCs w:val="20"/>
              </w:rPr>
              <w:t xml:space="preserve">github.com/mathworks/Simscape-Battery-Electric-Vehicle-Model</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Electric Vehicle Design with Simscape</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Gestión de energía, BMS, análisis térmico, autonomía</w:t>
            </w:r>
          </w:p>
        </w:tc>
        <w:tc>
          <w:tcPr>
            <w:tcW w:type="dxa" w:w="4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000000"/>
                <w:sz w:val="20"/>
                <w:szCs w:val="20"/>
              </w:rPr>
              <w:t xml:space="preserve">github.com/simscape/Electric-Vehicle-Simscape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Tracked Vehicle Model with Simscape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Tren de orugas (Lote 2): segmentos, piñón, rodillos, tensores</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000000"/>
                <w:sz w:val="20"/>
                <w:szCs w:val="20"/>
              </w:rPr>
              <w:t xml:space="preserve">github.com/simscape/Tracked-Vehicles-Simscape</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Vehicle Dynamics 14 DOF</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Dinámica de chasis y suspensión, modelo de neumático</w:t>
            </w:r>
          </w:p>
        </w:tc>
        <w:tc>
          <w:tcPr>
            <w:tcW w:type="dxa" w:w="4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000000"/>
                <w:sz w:val="20"/>
                <w:szCs w:val="20"/>
              </w:rPr>
              <w:t xml:space="preserve">github.com/mathworks/Vehicle-Dynamics-14DOF-Simscape-Multibody</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375623" w:sz="16"/>
              <w:bottom w:val="single" w:color="BBBBBB" w:sz="1"/>
              <w:right w:val="single" w:color="BBBBBB" w:sz="1"/>
            </w:tcBorders>
            <w:shd w:fill="E2EFDA" w:val="clear"/>
            <w:tcMar>
              <w:top w:type="dxa" w:w="140"/>
              <w:left w:type="dxa" w:w="200"/>
              <w:bottom w:type="dxa" w:w="140"/>
              <w:right w:type="dxa" w:w="200"/>
            </w:tcMar>
          </w:tcPr>
          <w:p>
            <w:pPr>
              <w:spacing w:after="40" w:before="40"/>
            </w:pPr>
            <w:r>
              <w:rPr>
                <w:rFonts w:ascii="Arial" w:cs="Arial" w:eastAsia="Arial" w:hAnsi="Arial"/>
                <w:i/>
                <w:iCs/>
                <w:sz w:val="20"/>
                <w:szCs w:val="20"/>
              </w:rPr>
              <w:t xml:space="preserve">El modelo base se entrega a los alumnos en la Semana 4. El profesor debe haberlo probado previamente con parámetros coherentes con el Lote 1 y el Lote 2 del pliego. Se recomienda crear dos versiones del modelo (una por lote) y asignar cada una a los equipos correspondientes.</w:t>
            </w:r>
          </w:p>
        </w:tc>
      </w:tr>
    </w:tbl>
    <w:p>
      <w:pPr>
        <w:spacing w:after="0" w:before="200"/>
      </w:pPr>
      <w:r>
        <w:t xml:space="preserve"/>
      </w:r>
    </w:p>
    <w:p>
      <w:pPr>
        <w:pStyle w:val="Heading1"/>
        <w:pBdr>
          <w:bottom w:val="single" w:color="1F4E79" w:sz="8" w:space="1"/>
        </w:pBdr>
        <w:spacing w:after="180" w:before="360"/>
      </w:pPr>
      <w:r>
        <w:rPr>
          <w:rFonts w:ascii="Arial" w:cs="Arial" w:eastAsia="Arial" w:hAnsi="Arial"/>
          <w:b/>
          <w:bCs/>
          <w:color w:val="1F4E79"/>
          <w:sz w:val="32"/>
          <w:szCs w:val="32"/>
        </w:rPr>
        <w:t xml:space="preserve">8. Asignación de subsistemas por equipo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2000"/>
        <w:gridCol w:w="2000"/>
        <w:gridCol w:w="2526"/>
      </w:tblGrid>
      <w:tr>
        <w:trPr>
          <w:tblHeader/>
        </w:trPr>
        <w:tc>
          <w:tcPr>
            <w:tcW w:type="dxa" w:w="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20"/>
                <w:szCs w:val="20"/>
              </w:rPr>
              <w:t xml:space="preserve">Eq.</w:t>
            </w:r>
          </w:p>
        </w:tc>
        <w:tc>
          <w:tcPr>
            <w:tcW w:type="dxa" w:w="1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20"/>
                <w:szCs w:val="20"/>
              </w:rPr>
              <w:t xml:space="preserve">Subsistema SysML</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20"/>
                <w:szCs w:val="20"/>
              </w:rPr>
              <w:t xml:space="preserve">Dominio Simscape principal</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20"/>
                <w:szCs w:val="20"/>
              </w:rPr>
              <w:t xml:space="preserve">Requisitos clave del pliego</w:t>
            </w:r>
          </w:p>
        </w:tc>
        <w:tc>
          <w:tcPr>
            <w:tcW w:type="dxa" w:w="25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20"/>
                <w:szCs w:val="20"/>
              </w:rPr>
              <w:t xml:space="preserve">Subsistema adyacente para integración (Sem. 10)</w:t>
            </w:r>
          </w:p>
        </w:tc>
      </w:tr>
      <w:tr>
        <w:tc>
          <w:tcPr>
            <w:tcW w:type="dxa" w:w="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0000"/>
                <w:sz w:val="20"/>
                <w:szCs w:val="20"/>
              </w:rPr>
              <w:t xml:space="preserve">A</w:t>
            </w:r>
          </w:p>
        </w:tc>
        <w:tc>
          <w:tcPr>
            <w:tcW w:type="dxa" w:w="19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Propulsion</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Simscape Electrical + Driveline</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RLT1-03, RLT1-04, RLT1-09, RGEN-11</w:t>
            </w:r>
          </w:p>
        </w:tc>
        <w:tc>
          <w:tcPr>
            <w:tcW w:type="dxa" w:w="2526"/>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Equipo B (Energia)</w:t>
            </w:r>
          </w:p>
        </w:tc>
      </w:tr>
      <w:tr>
        <w:tc>
          <w:tcPr>
            <w:tcW w:type="dxa" w:w="6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0000"/>
                <w:sz w:val="20"/>
                <w:szCs w:val="20"/>
              </w:rPr>
              <w:t xml:space="preserve">B</w:t>
            </w:r>
          </w:p>
        </w:tc>
        <w:tc>
          <w:tcPr>
            <w:tcW w:type="dxa" w:w="19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Energia</w:t>
            </w:r>
          </w:p>
        </w:tc>
        <w:tc>
          <w:tcPr>
            <w:tcW w:type="dxa" w:w="20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Simscape Electrical (Battery, Generator)</w:t>
            </w:r>
          </w:p>
        </w:tc>
        <w:tc>
          <w:tcPr>
            <w:tcW w:type="dxa" w:w="20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RGEN-12, RGEN-14, RGEN-15, RGEN-19</w:t>
            </w:r>
          </w:p>
        </w:tc>
        <w:tc>
          <w:tcPr>
            <w:tcW w:type="dxa" w:w="2526"/>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Equipos A y C</w:t>
            </w:r>
          </w:p>
        </w:tc>
      </w:tr>
      <w:tr>
        <w:tc>
          <w:tcPr>
            <w:tcW w:type="dxa" w:w="600"/>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0000"/>
                <w:sz w:val="20"/>
                <w:szCs w:val="20"/>
              </w:rPr>
              <w:t xml:space="preserve">C</w:t>
            </w:r>
          </w:p>
        </w:tc>
        <w:tc>
          <w:tcPr>
            <w:tcW w:type="dxa" w:w="1900"/>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Suspension</w:t>
            </w:r>
          </w:p>
        </w:tc>
        <w:tc>
          <w:tcPr>
            <w:tcW w:type="dxa" w:w="2000"/>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Simscape Multibody + Driveline</w:t>
            </w:r>
          </w:p>
        </w:tc>
        <w:tc>
          <w:tcPr>
            <w:tcW w:type="dxa" w:w="2000"/>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RLT1-05, RLT1-06, RLT1-07, RLT1-10</w:t>
            </w:r>
          </w:p>
        </w:tc>
        <w:tc>
          <w:tcPr>
            <w:tcW w:type="dxa" w:w="2526"/>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Equipo A (Propulsion)</w:t>
            </w:r>
          </w:p>
        </w:tc>
      </w:tr>
      <w:tr>
        <w:tc>
          <w:tcPr>
            <w:tcW w:type="dxa" w:w="600"/>
            <w:tcBorders>
              <w:top w:val="single" w:color="BBBBBB" w:sz="1"/>
              <w:left w:val="single" w:color="BBBBBB" w:sz="1"/>
              <w:bottom w:val="single" w:color="BBBBBB" w:sz="1"/>
              <w:right w:val="single" w:color="BBBBBB" w:sz="1"/>
            </w:tcBorders>
            <w:shd w:fill="EAD1DC"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0000"/>
                <w:sz w:val="20"/>
                <w:szCs w:val="20"/>
              </w:rPr>
              <w:t xml:space="preserve">D</w:t>
            </w:r>
          </w:p>
        </w:tc>
        <w:tc>
          <w:tcPr>
            <w:tcW w:type="dxa" w:w="1900"/>
            <w:tcBorders>
              <w:top w:val="single" w:color="BBBBBB" w:sz="1"/>
              <w:left w:val="single" w:color="BBBBBB" w:sz="1"/>
              <w:bottom w:val="single" w:color="BBBBBB" w:sz="1"/>
              <w:right w:val="single" w:color="BBBBBB" w:sz="1"/>
            </w:tcBorders>
            <w:shd w:fill="EAD1DC"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ControlAutonomia</w:t>
            </w:r>
          </w:p>
        </w:tc>
        <w:tc>
          <w:tcPr>
            <w:tcW w:type="dxa" w:w="2000"/>
            <w:tcBorders>
              <w:top w:val="single" w:color="BBBBBB" w:sz="1"/>
              <w:left w:val="single" w:color="BBBBBB" w:sz="1"/>
              <w:bottom w:val="single" w:color="BBBBBB" w:sz="1"/>
              <w:right w:val="single" w:color="BBBBBB" w:sz="1"/>
            </w:tcBorders>
            <w:shd w:fill="EAD1DC"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Stateflow + Simulink Control</w:t>
            </w:r>
          </w:p>
        </w:tc>
        <w:tc>
          <w:tcPr>
            <w:tcW w:type="dxa" w:w="2000"/>
            <w:tcBorders>
              <w:top w:val="single" w:color="BBBBBB" w:sz="1"/>
              <w:left w:val="single" w:color="BBBBBB" w:sz="1"/>
              <w:bottom w:val="single" w:color="BBBBBB" w:sz="1"/>
              <w:right w:val="single" w:color="BBBBBB" w:sz="1"/>
            </w:tcBorders>
            <w:shd w:fill="EAD1DC"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ROPE-01 a ROPE-06, RNAV-01</w:t>
            </w:r>
          </w:p>
        </w:tc>
        <w:tc>
          <w:tcPr>
            <w:tcW w:type="dxa" w:w="2526"/>
            <w:tcBorders>
              <w:top w:val="single" w:color="BBBBBB" w:sz="1"/>
              <w:left w:val="single" w:color="BBBBBB" w:sz="1"/>
              <w:bottom w:val="single" w:color="BBBBBB" w:sz="1"/>
              <w:right w:val="single" w:color="BBBBBB" w:sz="1"/>
            </w:tcBorders>
            <w:shd w:fill="EAD1DC"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Equipo E (SensoresCom)</w:t>
            </w:r>
          </w:p>
        </w:tc>
      </w:tr>
      <w:tr>
        <w:tc>
          <w:tcPr>
            <w:tcW w:type="dxa" w:w="6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0000"/>
                <w:sz w:val="20"/>
                <w:szCs w:val="20"/>
              </w:rPr>
              <w:t xml:space="preserve">E</w:t>
            </w:r>
          </w:p>
        </w:tc>
        <w:tc>
          <w:tcPr>
            <w:tcW w:type="dxa" w:w="19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SensoresComunicaciones</w:t>
            </w:r>
          </w:p>
        </w:tc>
        <w:tc>
          <w:tcPr>
            <w:tcW w:type="dxa" w:w="20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Simulink + Stateflow (señales y ruido)</w:t>
            </w:r>
          </w:p>
        </w:tc>
        <w:tc>
          <w:tcPr>
            <w:tcW w:type="dxa" w:w="20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RGEN-09, RGEN-22, RNAV-01, RCOM-01, RCOM-02</w:t>
            </w:r>
          </w:p>
        </w:tc>
        <w:tc>
          <w:tcPr>
            <w:tcW w:type="dxa" w:w="2526"/>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Equipo D (ControlAutonomia)</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C09000" w:sz="16"/>
              <w:bottom w:val="single" w:color="BBBBBB" w:sz="1"/>
              <w:right w:val="single" w:color="BBBBBB" w:sz="1"/>
            </w:tcBorders>
            <w:shd w:fill="FFF2CC" w:val="clear"/>
            <w:tcMar>
              <w:top w:type="dxa" w:w="140"/>
              <w:left w:type="dxa" w:w="200"/>
              <w:bottom w:type="dxa" w:w="140"/>
              <w:right w:type="dxa" w:w="200"/>
            </w:tcMar>
          </w:tcPr>
          <w:p>
            <w:pPr>
              <w:spacing w:after="40" w:before="40"/>
            </w:pPr>
            <w:r>
              <w:rPr>
                <w:rFonts w:ascii="Arial" w:cs="Arial" w:eastAsia="Arial" w:hAnsi="Arial"/>
                <w:i/>
                <w:iCs/>
                <w:sz w:val="20"/>
                <w:szCs w:val="20"/>
              </w:rPr>
              <w:t xml:space="preserve">Si el grupo de clase tiene 6 equipos en lugar de 5, el Equipo F puede especializarse en el Lote 2 (UGV de cadenas) asumiendo el subsistema de Propulsión del Tracked Vehicle Model, trabajando en paralelo con el Equipo A pero con parámetros del Lote 2.</w:t>
            </w:r>
          </w:p>
        </w:tc>
      </w:tr>
    </w:tbl>
    <w:p>
      <w:pPr>
        <w:spacing w:after="0" w:before="200"/>
      </w:pPr>
      <w:r>
        <w:t xml:space="preserve"/>
      </w:r>
    </w:p>
    <w:p>
      <w:r>
        <w:br w:type="page"/>
      </w:r>
    </w:p>
    <w:p>
      <w:pPr>
        <w:pStyle w:val="Heading1"/>
        <w:pBdr>
          <w:bottom w:val="single" w:color="1F4E79" w:sz="8" w:space="1"/>
        </w:pBdr>
        <w:spacing w:after="180" w:before="360"/>
      </w:pPr>
      <w:r>
        <w:rPr>
          <w:rFonts w:ascii="Arial" w:cs="Arial" w:eastAsia="Arial" w:hAnsi="Arial"/>
          <w:b/>
          <w:bCs/>
          <w:color w:val="1F4E79"/>
          <w:sz w:val="32"/>
          <w:szCs w:val="32"/>
        </w:rPr>
        <w:t xml:space="preserve">9. Calendario de entregables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400"/>
        <w:gridCol w:w="2726"/>
      </w:tblGrid>
      <w:tr>
        <w:trPr>
          <w:tblHeader/>
        </w:trPr>
        <w:tc>
          <w:tcPr>
            <w:tcW w:type="dxa" w:w="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20"/>
                <w:szCs w:val="20"/>
              </w:rPr>
              <w:t xml:space="preserve">Sem.</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20"/>
                <w:szCs w:val="20"/>
              </w:rPr>
              <w:t xml:space="preserve">Bloque</w:t>
            </w:r>
          </w:p>
        </w:tc>
        <w:tc>
          <w:tcPr>
            <w:tcW w:type="dxa" w:w="3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20"/>
                <w:szCs w:val="20"/>
              </w:rPr>
              <w:t xml:space="preserve">Entregable</w:t>
            </w:r>
          </w:p>
        </w:tc>
        <w:tc>
          <w:tcPr>
            <w:tcW w:type="dxa" w:w="27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20"/>
                <w:szCs w:val="20"/>
              </w:rPr>
              <w:t xml:space="preserve">Tipo</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20"/>
                <w:szCs w:val="20"/>
              </w:rPr>
              <w:t xml:space="preserve">1</w:t>
            </w:r>
          </w:p>
        </w:tc>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I — Requisitos</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Tabla de requisitos SHALL (Excel)</w:t>
            </w:r>
          </w:p>
        </w:tc>
        <w:tc>
          <w:tcPr>
            <w:tcW w:type="dxa" w:w="27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Grupal</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20"/>
                <w:szCs w:val="20"/>
              </w:rPr>
              <w:t xml:space="preserve">1·5</w:t>
            </w:r>
          </w:p>
        </w:tc>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I — Arquitectura</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Modelo SysML BDD nivel 1 (.slx)</w:t>
            </w:r>
          </w:p>
        </w:tc>
        <w:tc>
          <w:tcPr>
            <w:tcW w:type="dxa" w:w="27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Grupal</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20"/>
                <w:szCs w:val="20"/>
              </w:rPr>
              <w:t xml:space="preserve">2</w:t>
            </w:r>
          </w:p>
        </w:tc>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I — Arquitectura</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Modelo SysML completo + esqueleto Simulink</w:t>
            </w:r>
          </w:p>
        </w:tc>
        <w:tc>
          <w:tcPr>
            <w:tcW w:type="dxa" w:w="27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Grupal</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20"/>
                <w:szCs w:val="20"/>
              </w:rPr>
              <w:t xml:space="preserve">3</w:t>
            </w:r>
          </w:p>
        </w:tc>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I — Arquitectura</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Modelo SysML v1.0 cerrado + acta revisión cruzada</w:t>
            </w:r>
          </w:p>
        </w:tc>
        <w:tc>
          <w:tcPr>
            <w:tcW w:type="dxa" w:w="27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Grupal</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20"/>
                <w:szCs w:val="20"/>
              </w:rPr>
              <w:t xml:space="preserve">4</w:t>
            </w:r>
          </w:p>
        </w:tc>
        <w:tc>
          <w:tcPr>
            <w:tcW w:type="dxa" w:w="22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II — Simscape</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Ficha de observación del modelo base</w:t>
            </w:r>
          </w:p>
        </w:tc>
        <w:tc>
          <w:tcPr>
            <w:tcW w:type="dxa" w:w="27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Individual</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20"/>
                <w:szCs w:val="20"/>
              </w:rPr>
              <w:t xml:space="preserve">5</w:t>
            </w:r>
          </w:p>
        </w:tc>
        <w:tc>
          <w:tcPr>
            <w:tcW w:type="dxa" w:w="22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II — Simscape</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Tabla SysML↔Simscape + IBD nivel 2 actualizado</w:t>
            </w:r>
          </w:p>
        </w:tc>
        <w:tc>
          <w:tcPr>
            <w:tcW w:type="dxa" w:w="27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Grupal</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20"/>
                <w:szCs w:val="20"/>
              </w:rPr>
              <w:t xml:space="preserve">6</w:t>
            </w:r>
          </w:p>
        </w:tc>
        <w:tc>
          <w:tcPr>
            <w:tcW w:type="dxa" w:w="22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II — Simscape</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Tabla de trazabilidad inversa completa</w:t>
            </w:r>
          </w:p>
        </w:tc>
        <w:tc>
          <w:tcPr>
            <w:tcW w:type="dxa" w:w="27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Grupal</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20"/>
                <w:szCs w:val="20"/>
              </w:rPr>
              <w:t xml:space="preserve">7</w:t>
            </w:r>
          </w:p>
        </w:tc>
        <w:tc>
          <w:tcPr>
            <w:tcW w:type="dxa" w:w="2200"/>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III — Verificación</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Modelo Simscape calibrado v1.0</w:t>
            </w:r>
          </w:p>
        </w:tc>
        <w:tc>
          <w:tcPr>
            <w:tcW w:type="dxa" w:w="27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Grupal</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20"/>
                <w:szCs w:val="20"/>
              </w:rPr>
              <w:t xml:space="preserve">8</w:t>
            </w:r>
          </w:p>
        </w:tc>
        <w:tc>
          <w:tcPr>
            <w:tcW w:type="dxa" w:w="2200"/>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III — Verificación</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Matriz de verificación (requisito→test→resultado)</w:t>
            </w:r>
          </w:p>
        </w:tc>
        <w:tc>
          <w:tcPr>
            <w:tcW w:type="dxa" w:w="27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Grupal</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20"/>
                <w:szCs w:val="20"/>
              </w:rPr>
              <w:t xml:space="preserve">9</w:t>
            </w:r>
          </w:p>
        </w:tc>
        <w:tc>
          <w:tcPr>
            <w:tcW w:type="dxa" w:w="2200"/>
            <w:tcBorders>
              <w:top w:val="single" w:color="BBBBBB" w:sz="1"/>
              <w:left w:val="single" w:color="BBBBBB" w:sz="1"/>
              <w:bottom w:val="single" w:color="BBBBBB" w:sz="1"/>
              <w:right w:val="single" w:color="BBBBBB" w:sz="1"/>
            </w:tcBorders>
            <w:shd w:fill="EAD1DC"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IV — Análisis</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Tabla FMEA ligera del subsistema</w:t>
            </w:r>
          </w:p>
        </w:tc>
        <w:tc>
          <w:tcPr>
            <w:tcW w:type="dxa" w:w="27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Grupal</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20"/>
                <w:szCs w:val="20"/>
              </w:rPr>
              <w:t xml:space="preserve">10</w:t>
            </w:r>
          </w:p>
        </w:tc>
        <w:tc>
          <w:tcPr>
            <w:tcW w:type="dxa" w:w="2200"/>
            <w:tcBorders>
              <w:top w:val="single" w:color="BBBBBB" w:sz="1"/>
              <w:left w:val="single" w:color="BBBBBB" w:sz="1"/>
              <w:bottom w:val="single" w:color="BBBBBB" w:sz="1"/>
              <w:right w:val="single" w:color="BBBBBB" w:sz="1"/>
            </w:tcBorders>
            <w:shd w:fill="EAD1DC"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IV — Integración</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Modelo integrado + registro de incompatibilidades</w:t>
            </w:r>
          </w:p>
        </w:tc>
        <w:tc>
          <w:tcPr>
            <w:tcW w:type="dxa" w:w="27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Grupal</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20"/>
                <w:szCs w:val="20"/>
              </w:rPr>
              <w:t xml:space="preserve">11</w:t>
            </w:r>
          </w:p>
        </w:tc>
        <w:tc>
          <w:tcPr>
            <w:tcW w:type="dxa" w:w="22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V — Optimización</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Informe de optimización de parámetros</w:t>
            </w:r>
          </w:p>
        </w:tc>
        <w:tc>
          <w:tcPr>
            <w:tcW w:type="dxa" w:w="27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Grupal</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20"/>
                <w:szCs w:val="20"/>
              </w:rPr>
              <w:t xml:space="preserve">12</w:t>
            </w:r>
          </w:p>
        </w:tc>
        <w:tc>
          <w:tcPr>
            <w:tcW w:type="dxa" w:w="22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V — Cierre</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Borrador memoria técnica + presentación CDR</w:t>
            </w:r>
          </w:p>
        </w:tc>
        <w:tc>
          <w:tcPr>
            <w:tcW w:type="dxa" w:w="27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Grupal</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20"/>
                <w:szCs w:val="20"/>
              </w:rPr>
              <w:t xml:space="preserve">13</w:t>
            </w:r>
          </w:p>
        </w:tc>
        <w:tc>
          <w:tcPr>
            <w:tcW w:type="dxa" w:w="22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V — CDR</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Presentación CDR (evaluación en directo)</w:t>
            </w:r>
          </w:p>
        </w:tc>
        <w:tc>
          <w:tcPr>
            <w:tcW w:type="dxa" w:w="27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Individual</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20"/>
                <w:szCs w:val="20"/>
              </w:rPr>
              <w:t xml:space="preserve">14</w:t>
            </w:r>
          </w:p>
        </w:tc>
        <w:tc>
          <w:tcPr>
            <w:tcW w:type="dxa" w:w="22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V — Cierre</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Memoria técnica final + lecciones aprendidas</w:t>
            </w:r>
          </w:p>
        </w:tc>
        <w:tc>
          <w:tcPr>
            <w:tcW w:type="dxa" w:w="27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20"/>
                <w:szCs w:val="20"/>
              </w:rPr>
              <w:t xml:space="preserve">Grupal</w:t>
            </w:r>
          </w:p>
        </w:tc>
      </w:tr>
    </w:tbl>
    <w:p>
      <w:pPr>
        <w:spacing w:after="0" w:before="200"/>
      </w:pPr>
      <w:r>
        <w:t xml:space="preserve"/>
      </w:r>
    </w:p>
    <w:p>
      <w:pPr>
        <w:pStyle w:val="Heading1"/>
        <w:pBdr>
          <w:bottom w:val="single" w:color="1F4E79" w:sz="8" w:space="1"/>
        </w:pBdr>
        <w:spacing w:after="180" w:before="360"/>
      </w:pPr>
      <w:r>
        <w:rPr>
          <w:rFonts w:ascii="Arial" w:cs="Arial" w:eastAsia="Arial" w:hAnsi="Arial"/>
          <w:b/>
          <w:bCs/>
          <w:color w:val="1F4E79"/>
          <w:sz w:val="32"/>
          <w:szCs w:val="32"/>
        </w:rPr>
        <w:t xml:space="preserve">10. Referencias y recursos</w:t>
      </w:r>
    </w:p>
    <w:p>
      <w:pPr>
        <w:pStyle w:val="Heading2"/>
        <w:spacing w:after="120" w:before="280"/>
      </w:pPr>
      <w:r>
        <w:rPr>
          <w:rFonts w:ascii="Arial" w:cs="Arial" w:eastAsia="Arial" w:hAnsi="Arial"/>
          <w:b/>
          <w:bCs/>
          <w:color w:val="1F4E79"/>
          <w:sz w:val="26"/>
          <w:szCs w:val="26"/>
        </w:rPr>
        <w:t xml:space="preserve">10.1 Documento base del proyecto</w:t>
      </w:r>
    </w:p>
    <w:p>
      <w:pPr>
        <w:pStyle w:val="ListParagraph"/>
        <w:numPr>
          <w:ilvl w:val="0"/>
          <w:numId w:val="2"/>
        </w:numPr>
        <w:spacing w:after="40" w:before="40"/>
      </w:pPr>
      <w:r>
        <w:rPr>
          <w:rFonts w:ascii="Arial" w:cs="Arial" w:eastAsia="Arial" w:hAnsi="Arial"/>
          <w:b/>
          <w:bCs/>
          <w:sz w:val="22"/>
          <w:szCs w:val="22"/>
        </w:rPr>
        <w:t xml:space="preserve">CPP 01/2026 AB (DCCPI/OCPI) — Pliego de Prescripciones Técnicas. CDTI / Ministerio de Defensa de España, abril 2026. Disponible en la Plataforma de Contratación del Sector Público.</w:t>
      </w:r>
    </w:p>
    <w:p>
      <w:pPr>
        <w:spacing w:after="0" w:before="120"/>
      </w:pPr>
      <w:r>
        <w:t xml:space="preserve"/>
      </w:r>
    </w:p>
    <w:p>
      <w:pPr>
        <w:pStyle w:val="Heading2"/>
        <w:spacing w:after="120" w:before="280"/>
      </w:pPr>
      <w:r>
        <w:rPr>
          <w:rFonts w:ascii="Arial" w:cs="Arial" w:eastAsia="Arial" w:hAnsi="Arial"/>
          <w:b/>
          <w:bCs/>
          <w:color w:val="1F4E79"/>
          <w:sz w:val="26"/>
          <w:szCs w:val="26"/>
        </w:rPr>
        <w:t xml:space="preserve">10.2 Estándares de referencia</w:t>
      </w:r>
    </w:p>
    <w:p>
      <w:pPr>
        <w:pStyle w:val="ListParagraph"/>
        <w:numPr>
          <w:ilvl w:val="0"/>
          <w:numId w:val="2"/>
        </w:numPr>
        <w:spacing w:after="40" w:before="40"/>
      </w:pPr>
      <w:r>
        <w:rPr>
          <w:rFonts w:ascii="Arial" w:cs="Arial" w:eastAsia="Arial" w:hAnsi="Arial"/>
          <w:b w:val="false"/>
          <w:bCs w:val="false"/>
          <w:sz w:val="22"/>
          <w:szCs w:val="22"/>
        </w:rPr>
        <w:t xml:space="preserve">ISO/IEC/IEEE 15288:2023 — Systems and software engineering: System life cycle processes</w:t>
      </w:r>
    </w:p>
    <w:p>
      <w:pPr>
        <w:pStyle w:val="ListParagraph"/>
        <w:numPr>
          <w:ilvl w:val="0"/>
          <w:numId w:val="2"/>
        </w:numPr>
        <w:spacing w:after="40" w:before="40"/>
      </w:pPr>
      <w:r>
        <w:rPr>
          <w:rFonts w:ascii="Arial" w:cs="Arial" w:eastAsia="Arial" w:hAnsi="Arial"/>
          <w:b w:val="false"/>
          <w:bCs w:val="false"/>
          <w:sz w:val="22"/>
          <w:szCs w:val="22"/>
        </w:rPr>
        <w:t xml:space="preserve">ISO/IEC/IEEE 29148:2018 — Systems and software engineering: Requirements engineering</w:t>
      </w:r>
    </w:p>
    <w:p>
      <w:pPr>
        <w:pStyle w:val="ListParagraph"/>
        <w:numPr>
          <w:ilvl w:val="0"/>
          <w:numId w:val="2"/>
        </w:numPr>
        <w:spacing w:after="40" w:before="40"/>
      </w:pPr>
      <w:r>
        <w:rPr>
          <w:rFonts w:ascii="Arial" w:cs="Arial" w:eastAsia="Arial" w:hAnsi="Arial"/>
          <w:b w:val="false"/>
          <w:bCs w:val="false"/>
          <w:sz w:val="22"/>
          <w:szCs w:val="22"/>
        </w:rPr>
        <w:t xml:space="preserve">OMG SysML v1.6 — Systems Modeling Language specification</w:t>
      </w:r>
    </w:p>
    <w:p>
      <w:pPr>
        <w:pStyle w:val="ListParagraph"/>
        <w:numPr>
          <w:ilvl w:val="0"/>
          <w:numId w:val="2"/>
        </w:numPr>
        <w:spacing w:after="40" w:before="40"/>
      </w:pPr>
      <w:r>
        <w:rPr>
          <w:rFonts w:ascii="Arial" w:cs="Arial" w:eastAsia="Arial" w:hAnsi="Arial"/>
          <w:b w:val="false"/>
          <w:bCs w:val="false"/>
          <w:sz w:val="22"/>
          <w:szCs w:val="22"/>
        </w:rPr>
        <w:t xml:space="preserve">INCOSE Systems Engineering Handbook v4 (2015)</w:t>
      </w:r>
    </w:p>
    <w:p>
      <w:pPr>
        <w:spacing w:after="0" w:before="120"/>
      </w:pPr>
      <w:r>
        <w:t xml:space="preserve"/>
      </w:r>
    </w:p>
    <w:p>
      <w:pPr>
        <w:pStyle w:val="Heading2"/>
        <w:spacing w:after="120" w:before="280"/>
      </w:pPr>
      <w:r>
        <w:rPr>
          <w:rFonts w:ascii="Arial" w:cs="Arial" w:eastAsia="Arial" w:hAnsi="Arial"/>
          <w:b/>
          <w:bCs/>
          <w:color w:val="1F4E79"/>
          <w:sz w:val="26"/>
          <w:szCs w:val="26"/>
        </w:rPr>
        <w:t xml:space="preserve">10.3 Bibliografía de apoyo</w:t>
      </w:r>
    </w:p>
    <w:p>
      <w:pPr>
        <w:pStyle w:val="ListParagraph"/>
        <w:numPr>
          <w:ilvl w:val="0"/>
          <w:numId w:val="2"/>
        </w:numPr>
        <w:spacing w:after="40" w:before="40"/>
      </w:pPr>
      <w:r>
        <w:rPr>
          <w:rFonts w:ascii="Arial" w:cs="Arial" w:eastAsia="Arial" w:hAnsi="Arial"/>
          <w:b w:val="false"/>
          <w:bCs w:val="false"/>
          <w:sz w:val="22"/>
          <w:szCs w:val="22"/>
        </w:rPr>
        <w:t xml:space="preserve">Sterman, J.D. (2000). Business Dynamics. McGraw-Hill. [Referencia canónica de dinámica de sistemas]</w:t>
      </w:r>
    </w:p>
    <w:p>
      <w:pPr>
        <w:pStyle w:val="ListParagraph"/>
        <w:numPr>
          <w:ilvl w:val="0"/>
          <w:numId w:val="2"/>
        </w:numPr>
        <w:spacing w:after="40" w:before="40"/>
      </w:pPr>
      <w:r>
        <w:rPr>
          <w:rFonts w:ascii="Arial" w:cs="Arial" w:eastAsia="Arial" w:hAnsi="Arial"/>
          <w:b w:val="false"/>
          <w:bCs w:val="false"/>
          <w:sz w:val="22"/>
          <w:szCs w:val="22"/>
        </w:rPr>
        <w:t xml:space="preserve">Morecroft, J.D.W. (2015). Strategic Modelling and Business Dynamics, 2ª ed. Wiley. [Actualización orientada a gestión]</w:t>
      </w:r>
    </w:p>
    <w:p>
      <w:pPr>
        <w:pStyle w:val="ListParagraph"/>
        <w:numPr>
          <w:ilvl w:val="0"/>
          <w:numId w:val="2"/>
        </w:numPr>
        <w:spacing w:after="40" w:before="40"/>
      </w:pPr>
      <w:r>
        <w:rPr>
          <w:rFonts w:ascii="Arial" w:cs="Arial" w:eastAsia="Arial" w:hAnsi="Arial"/>
          <w:b w:val="false"/>
          <w:bCs w:val="false"/>
          <w:sz w:val="22"/>
          <w:szCs w:val="22"/>
        </w:rPr>
        <w:t xml:space="preserve">Friedenthal, S., Moore, A., Steiner, R. (2014). A Practical Guide to SysML, 3ª ed. Morgan Kaufmann. [Manual SysML de referencia]</w:t>
      </w:r>
    </w:p>
    <w:p>
      <w:pPr>
        <w:pStyle w:val="ListParagraph"/>
        <w:numPr>
          <w:ilvl w:val="0"/>
          <w:numId w:val="2"/>
        </w:numPr>
        <w:spacing w:after="40" w:before="40"/>
      </w:pPr>
      <w:r>
        <w:rPr>
          <w:rFonts w:ascii="Arial" w:cs="Arial" w:eastAsia="Arial" w:hAnsi="Arial"/>
          <w:b w:val="false"/>
          <w:bCs w:val="false"/>
          <w:sz w:val="22"/>
          <w:szCs w:val="22"/>
        </w:rPr>
        <w:t xml:space="preserve">MathWorks Documentation: System Composer — docs.mathworks.com/system-composer</w:t>
      </w:r>
    </w:p>
    <w:p>
      <w:pPr>
        <w:pStyle w:val="ListParagraph"/>
        <w:numPr>
          <w:ilvl w:val="0"/>
          <w:numId w:val="2"/>
        </w:numPr>
        <w:spacing w:after="40" w:before="40"/>
      </w:pPr>
      <w:r>
        <w:rPr>
          <w:rFonts w:ascii="Arial" w:cs="Arial" w:eastAsia="Arial" w:hAnsi="Arial"/>
          <w:b w:val="false"/>
          <w:bCs w:val="false"/>
          <w:sz w:val="22"/>
          <w:szCs w:val="22"/>
        </w:rPr>
        <w:t xml:space="preserve">MathWorks Documentation: Simscape — docs.mathworks.com/simscape</w:t>
      </w:r>
    </w:p>
    <w:p>
      <w:pPr>
        <w:spacing w:after="0" w:before="120"/>
      </w:pPr>
      <w:r>
        <w:t xml:space="preserve"/>
      </w:r>
    </w:p>
    <w:p>
      <w:pPr>
        <w:pStyle w:val="Heading2"/>
        <w:spacing w:after="120" w:before="280"/>
      </w:pPr>
      <w:r>
        <w:rPr>
          <w:rFonts w:ascii="Arial" w:cs="Arial" w:eastAsia="Arial" w:hAnsi="Arial"/>
          <w:b/>
          <w:bCs/>
          <w:color w:val="1F4E79"/>
          <w:sz w:val="26"/>
          <w:szCs w:val="26"/>
        </w:rPr>
        <w:t xml:space="preserve">10.4 Repositorios Simscape (acceso libre)</w:t>
      </w:r>
    </w:p>
    <w:p>
      <w:pPr>
        <w:pStyle w:val="ListParagraph"/>
        <w:numPr>
          <w:ilvl w:val="0"/>
          <w:numId w:val="2"/>
        </w:numPr>
        <w:spacing w:after="40" w:before="40"/>
      </w:pPr>
      <w:r>
        <w:rPr>
          <w:rFonts w:ascii="Arial" w:cs="Arial" w:eastAsia="Arial" w:hAnsi="Arial"/>
          <w:b w:val="false"/>
          <w:bCs w:val="false"/>
          <w:sz w:val="22"/>
          <w:szCs w:val="22"/>
        </w:rPr>
        <w:t xml:space="preserve">Simscape Vehicle Templates: github.com/mathworks/Simscape-Vehicle-Templates</w:t>
      </w:r>
    </w:p>
    <w:p>
      <w:pPr>
        <w:pStyle w:val="ListParagraph"/>
        <w:numPr>
          <w:ilvl w:val="0"/>
          <w:numId w:val="2"/>
        </w:numPr>
        <w:spacing w:after="40" w:before="40"/>
      </w:pPr>
      <w:r>
        <w:rPr>
          <w:rFonts w:ascii="Arial" w:cs="Arial" w:eastAsia="Arial" w:hAnsi="Arial"/>
          <w:b w:val="false"/>
          <w:bCs w:val="false"/>
          <w:sz w:val="22"/>
          <w:szCs w:val="22"/>
        </w:rPr>
        <w:t xml:space="preserve">BEV Model in Simscape: github.com/mathworks/Simscape-Battery-Electric-Vehicle-Model</w:t>
      </w:r>
    </w:p>
    <w:p>
      <w:pPr>
        <w:pStyle w:val="ListParagraph"/>
        <w:numPr>
          <w:ilvl w:val="0"/>
          <w:numId w:val="2"/>
        </w:numPr>
        <w:spacing w:after="40" w:before="40"/>
      </w:pPr>
      <w:r>
        <w:rPr>
          <w:rFonts w:ascii="Arial" w:cs="Arial" w:eastAsia="Arial" w:hAnsi="Arial"/>
          <w:b w:val="false"/>
          <w:bCs w:val="false"/>
          <w:sz w:val="22"/>
          <w:szCs w:val="22"/>
        </w:rPr>
        <w:t xml:space="preserve">Electric Vehicle Design with Simscape: github.com/simscape/Electric-Vehicle-Simscape</w:t>
      </w:r>
    </w:p>
    <w:p>
      <w:pPr>
        <w:pStyle w:val="ListParagraph"/>
        <w:numPr>
          <w:ilvl w:val="0"/>
          <w:numId w:val="2"/>
        </w:numPr>
        <w:spacing w:after="40" w:before="40"/>
      </w:pPr>
      <w:r>
        <w:rPr>
          <w:rFonts w:ascii="Arial" w:cs="Arial" w:eastAsia="Arial" w:hAnsi="Arial"/>
          <w:b w:val="false"/>
          <w:bCs w:val="false"/>
          <w:sz w:val="22"/>
          <w:szCs w:val="22"/>
        </w:rPr>
        <w:t xml:space="preserve">Tracked Vehicle Model with Simscape: github.com/simscape/Tracked-Vehicles-Simscape</w:t>
      </w:r>
    </w:p>
    <w:p>
      <w:pPr>
        <w:pStyle w:val="ListParagraph"/>
        <w:numPr>
          <w:ilvl w:val="0"/>
          <w:numId w:val="2"/>
        </w:numPr>
        <w:spacing w:after="40" w:before="40"/>
      </w:pPr>
      <w:r>
        <w:rPr>
          <w:rFonts w:ascii="Arial" w:cs="Arial" w:eastAsia="Arial" w:hAnsi="Arial"/>
          <w:b w:val="false"/>
          <w:bCs w:val="false"/>
          <w:sz w:val="22"/>
          <w:szCs w:val="22"/>
        </w:rPr>
        <w:t xml:space="preserve">Vehicle Dynamics 14 DOF: github.com/mathworks/Vehicle-Dynamics-14DOF-Simscape-Multibody</w:t>
      </w:r>
    </w:p>
    <w:p>
      <w:pPr>
        <w:spacing w:after="0" w:before="200"/>
      </w:pPr>
      <w:r>
        <w:t xml:space="preserve"/>
      </w:r>
    </w:p>
    <w:p>
      <w:pPr>
        <w:spacing w:after="0" w:before="200"/>
        <w:jc w:val="center"/>
      </w:pPr>
      <w:r>
        <w:rPr>
          <w:rFonts w:ascii="Arial" w:cs="Arial" w:eastAsia="Arial" w:hAnsi="Arial"/>
          <w:i/>
          <w:iCs/>
          <w:color w:val="888888"/>
          <w:sz w:val="20"/>
          <w:szCs w:val="20"/>
        </w:rPr>
        <w:t xml:space="preserve">— Fin de la Guía Docente —</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pPr>
    <w:r>
      <w:rPr>
        <w:rFonts w:ascii="Arial" w:cs="Arial" w:eastAsia="Arial" w:hAnsi="Arial"/>
        <w:color w:val="888888"/>
        <w:sz w:val="18"/>
        <w:szCs w:val="18"/>
      </w:rPr>
      <w:t xml:space="preserve">Basado en CPP 01/2026 AB · CDTI / Ministerio de Defensa de España  |  Pág.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pPr>
    <w:r>
      <w:rPr>
        <w:rFonts w:ascii="Arial" w:cs="Arial" w:eastAsia="Arial" w:hAnsi="Arial"/>
        <w:color w:val="888888"/>
        <w:sz w:val="18"/>
        <w:szCs w:val="18"/>
      </w:rPr>
      <w:t xml:space="preserve">Guía Docente  |  Ingeniería de Sistemas con MBSE y Simscape  |  4º Grado Ingeniería Electrónica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2026-06-04T17:16:33.728Z</dcterms:created>
  <dcterms:modified xsi:type="dcterms:W3CDTF">2026-06-04T17:16:33.740Z</dcterms:modified>
</cp:coreProperties>
</file>

<file path=docProps/custom.xml><?xml version="1.0" encoding="utf-8"?>
<Properties xmlns="http://schemas.openxmlformats.org/officeDocument/2006/custom-properties" xmlns:vt="http://schemas.openxmlformats.org/officeDocument/2006/docPropsVTypes"/>
</file>