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6FE3" w14:textId="77777777" w:rsidR="00854C95" w:rsidRDefault="00854C95">
      <w:pPr>
        <w:spacing w:before="240" w:after="240"/>
        <w:jc w:val="center"/>
        <w:rPr>
          <w:rFonts w:ascii="Times New Roman" w:eastAsia="Times New Roman" w:hAnsi="Times New Roman" w:cs="Times New Roman"/>
          <w:b/>
          <w:bCs/>
          <w:sz w:val="30"/>
          <w:szCs w:val="30"/>
        </w:rPr>
      </w:pPr>
    </w:p>
    <w:p w14:paraId="020625D8"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SEGUNDO AVANCE PROYECTO</w:t>
      </w:r>
    </w:p>
    <w:p w14:paraId="40E682CB"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66348FD8" w14:textId="77777777" w:rsidR="00854C95" w:rsidRDefault="00854C95">
      <w:pPr>
        <w:spacing w:before="240" w:after="240"/>
        <w:jc w:val="center"/>
        <w:rPr>
          <w:rFonts w:ascii="Times New Roman" w:eastAsia="Times New Roman" w:hAnsi="Times New Roman" w:cs="Times New Roman"/>
          <w:b/>
          <w:bCs/>
          <w:sz w:val="30"/>
          <w:szCs w:val="30"/>
        </w:rPr>
      </w:pPr>
    </w:p>
    <w:p w14:paraId="097F4A1B" w14:textId="77777777" w:rsidR="00854C95" w:rsidRDefault="00854C95">
      <w:pPr>
        <w:spacing w:before="240" w:after="240"/>
        <w:jc w:val="center"/>
        <w:rPr>
          <w:rFonts w:ascii="Times New Roman" w:eastAsia="Times New Roman" w:hAnsi="Times New Roman" w:cs="Times New Roman"/>
          <w:b/>
          <w:bCs/>
          <w:sz w:val="30"/>
          <w:szCs w:val="30"/>
        </w:rPr>
      </w:pPr>
    </w:p>
    <w:p w14:paraId="734AB237" w14:textId="77777777" w:rsidR="00854C95" w:rsidRDefault="00000000">
      <w:pPr>
        <w:spacing w:before="120" w:after="30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Brechas de Desempeño en las Pruebas Saber 11 año 2024 entre Zonas Rurales y Urbanas de Colombia: Identificación de Factores Explicativos mediante Aprendizaje Automático</w:t>
      </w:r>
    </w:p>
    <w:p w14:paraId="13A3E1F7"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 xml:space="preserve"> </w:t>
      </w:r>
    </w:p>
    <w:p w14:paraId="11208F7C" w14:textId="77777777" w:rsidR="00854C95" w:rsidRDefault="00000000">
      <w:pPr>
        <w:spacing w:line="360" w:lineRule="auto"/>
        <w:jc w:val="center"/>
        <w:rPr>
          <w:rFonts w:ascii="Times New Roman" w:eastAsia="Times New Roman" w:hAnsi="Times New Roman" w:cs="Times New Roman"/>
          <w:b/>
          <w:bCs/>
          <w:sz w:val="30"/>
          <w:szCs w:val="30"/>
        </w:rPr>
      </w:pPr>
      <w:r>
        <w:br/>
      </w:r>
      <w:r>
        <w:br/>
      </w:r>
      <w:r>
        <w:rPr>
          <w:rFonts w:ascii="Times New Roman" w:eastAsia="Times New Roman" w:hAnsi="Times New Roman" w:cs="Times New Roman"/>
          <w:b/>
          <w:bCs/>
          <w:sz w:val="30"/>
          <w:szCs w:val="30"/>
        </w:rPr>
        <w:t xml:space="preserve"> Juan Manuel Vellaizan</w:t>
      </w:r>
      <w:r>
        <w:rPr>
          <w:rFonts w:ascii="Times New Roman" w:eastAsia="Times New Roman" w:hAnsi="Times New Roman" w:cs="Times New Roman"/>
          <w:b/>
          <w:bCs/>
          <w:sz w:val="30"/>
          <w:szCs w:val="30"/>
        </w:rPr>
        <w:br/>
        <w:t xml:space="preserve"> María Paula Orozco</w:t>
      </w:r>
    </w:p>
    <w:p w14:paraId="292D37DA" w14:textId="77777777" w:rsidR="00854C95"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Valery Nayuni Ccaulla</w:t>
      </w:r>
      <w:r>
        <w:rPr>
          <w:rFonts w:ascii="Times New Roman" w:eastAsia="Times New Roman" w:hAnsi="Times New Roman" w:cs="Times New Roman"/>
          <w:b/>
          <w:bCs/>
          <w:sz w:val="30"/>
          <w:szCs w:val="30"/>
        </w:rPr>
        <w:br/>
        <w:t xml:space="preserve"> Nicolas Orduña</w:t>
      </w:r>
    </w:p>
    <w:p w14:paraId="46C47BB0" w14:textId="77777777" w:rsidR="00854C95" w:rsidRDefault="00854C95">
      <w:pPr>
        <w:spacing w:after="240"/>
        <w:jc w:val="center"/>
        <w:rPr>
          <w:rFonts w:ascii="Times New Roman" w:eastAsia="Times New Roman" w:hAnsi="Times New Roman" w:cs="Times New Roman"/>
          <w:b/>
          <w:bCs/>
          <w:sz w:val="30"/>
          <w:szCs w:val="30"/>
        </w:rPr>
      </w:pPr>
    </w:p>
    <w:p w14:paraId="7AC9F270" w14:textId="77777777" w:rsidR="00854C95" w:rsidRDefault="00854C95">
      <w:pPr>
        <w:spacing w:before="240" w:after="240"/>
        <w:jc w:val="center"/>
        <w:rPr>
          <w:rFonts w:ascii="Times New Roman" w:eastAsia="Times New Roman" w:hAnsi="Times New Roman" w:cs="Times New Roman"/>
          <w:b/>
          <w:bCs/>
          <w:sz w:val="30"/>
          <w:szCs w:val="30"/>
        </w:rPr>
      </w:pPr>
    </w:p>
    <w:p w14:paraId="3066BB48" w14:textId="77777777" w:rsidR="00854C95" w:rsidRDefault="00854C95">
      <w:pPr>
        <w:spacing w:before="240" w:after="240"/>
        <w:rPr>
          <w:rFonts w:ascii="Times New Roman" w:eastAsia="Times New Roman" w:hAnsi="Times New Roman" w:cs="Times New Roman"/>
          <w:b/>
          <w:bCs/>
          <w:sz w:val="30"/>
          <w:szCs w:val="30"/>
        </w:rPr>
      </w:pPr>
    </w:p>
    <w:p w14:paraId="702B9816"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Universidad Externado de Colombia</w:t>
      </w:r>
    </w:p>
    <w:p w14:paraId="53768983"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05865ACF"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0E56601D"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Inteligencia Artificial 1</w:t>
      </w:r>
    </w:p>
    <w:p w14:paraId="22B1F2C2" w14:textId="77777777" w:rsidR="00854C95"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sz w:val="30"/>
          <w:szCs w:val="30"/>
        </w:rPr>
        <w:t>18/08/2026</w:t>
      </w:r>
    </w:p>
    <w:p w14:paraId="1FBAB52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comparación de los resultados entre los estudiantes rurales y los urbanos en la prueba de Saber 11 es un insumo central que discute la equidad educativa en Colombia, En la primera entrega, planteamos identificar y cuantificar los factores asociados a esa diferencia.</w:t>
      </w:r>
    </w:p>
    <w:p w14:paraId="58C34C63"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nuestro segundo avance planteamos la construcción y la limpieza de la base de datos, la integramos con información del Departamento Administrativo de Estadística (DANE), donde exploramos la brecha. Nos planteamos la interrogativa: ¿Qué parte de la brecha rural y urbana en Saber 11 se explica por diferencias en las características de los estudiantes, de sus hogares, de sus colegios y de sus territorios?</w:t>
      </w:r>
    </w:p>
    <w:p w14:paraId="575661E8" w14:textId="17095ACB"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Planteamos el principal cambio respecto a la primera entrega en es el periodo donde trabajamos con los microdatos de las variables se mantienen, pero los resultados deben leerse en su contexto donde el examen se </w:t>
      </w:r>
      <w:r w:rsidR="001A76CD">
        <w:rPr>
          <w:rFonts w:ascii="Times New Roman" w:eastAsia="Times New Roman" w:hAnsi="Times New Roman" w:cs="Times New Roman"/>
          <w:sz w:val="24"/>
          <w:szCs w:val="24"/>
        </w:rPr>
        <w:t>aplicó</w:t>
      </w:r>
      <w:r>
        <w:rPr>
          <w:rFonts w:ascii="Times New Roman" w:eastAsia="Times New Roman" w:hAnsi="Times New Roman" w:cs="Times New Roman"/>
          <w:sz w:val="24"/>
          <w:szCs w:val="24"/>
        </w:rPr>
        <w:t xml:space="preserve"> en noviembre de 2020, tres meses de clases remotas por la pandemia, un periodo donde la evidencia internacional documenta perdida de aprendizaje (Engezell.et al.,2021).</w:t>
      </w:r>
    </w:p>
    <w:p w14:paraId="27F6E95C"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Datos: Fuentes e importaciones</w:t>
      </w:r>
    </w:p>
    <w:p w14:paraId="46632D5D"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Usamos las fuentes oficiales, donde la primera base fueron los microdatos del Instituto Colombiano para la Evaluación de la Educación (ICFES) para 2020-2 (ICFES, 2020), con 504.872 estudiantes y 81 variables, donde los puntajes por área, puntaje global, características del colegio y el cuestionario socioeconómico del hogar. La segunda es el anexo departamental de pobreza multidimensional del DANE (2026), BASADO en la Encuesta Nacional de Caribe de Vida, que reporta el Índice </w:t>
      </w:r>
      <w:proofErr w:type="spellStart"/>
      <w:r>
        <w:rPr>
          <w:rFonts w:ascii="Times New Roman" w:eastAsia="Times New Roman" w:hAnsi="Times New Roman" w:cs="Times New Roman"/>
          <w:sz w:val="24"/>
          <w:szCs w:val="24"/>
        </w:rPr>
        <w:t>e</w:t>
      </w:r>
      <w:proofErr w:type="spellEnd"/>
      <w:r>
        <w:rPr>
          <w:rFonts w:ascii="Times New Roman" w:eastAsia="Times New Roman" w:hAnsi="Times New Roman" w:cs="Times New Roman"/>
          <w:sz w:val="24"/>
          <w:szCs w:val="24"/>
        </w:rPr>
        <w:t xml:space="preserve"> Pobreza Multidimensional (IPM) de 2020 por separado para las cabeceras y para los centros poblados y rural disperso. El IPM se construye con la lógica de conteo de privaciones propuestas por Alkire y Foster (2011). El Excel de ICFES contiene 212MB, por lo tanto, lo leímos fila por fila, guardando la columna como texto para no perder los ceros a la izquierda de los códigos DANE. Como control, el promedio del puntaje global de 248,35 coincide con la cifra oficial publicada por el ministerio de Educación Nacional (MEN, 2020), que es de 248.</w:t>
      </w:r>
    </w:p>
    <w:p w14:paraId="65D01270"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3.Limpieza y preparación de los datos</w:t>
      </w:r>
    </w:p>
    <w:p w14:paraId="7A6041BA"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paso realizado de la limpieza respondió a un problema concreto, el efecto de cada filtro se resume en la Tabla 1. No hubo registros duplicados. Eliminamos los resultados en revisión jurídica, los estudiantes privados de la libertad y los puntajes globales iguales a cero, que indican ausencia o anulación. También separamos las jornadas sabatinas y nocturnas, que </w:t>
      </w:r>
      <w:r>
        <w:rPr>
          <w:rFonts w:ascii="Times New Roman" w:eastAsia="Times New Roman" w:hAnsi="Times New Roman" w:cs="Times New Roman"/>
          <w:sz w:val="24"/>
          <w:szCs w:val="24"/>
        </w:rPr>
        <w:lastRenderedPageBreak/>
        <w:t>corresponden a educación de adultos donde cerca del 59% presento con cedula y si siguen otro currículo.</w:t>
      </w:r>
    </w:p>
    <w:p w14:paraId="59C6841D" w14:textId="77777777" w:rsidR="00854C95"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w:t>
      </w:r>
    </w:p>
    <w:p w14:paraId="2FC73D01" w14:textId="77777777" w:rsidR="00854C95" w:rsidRDefault="00000000">
      <w:pPr>
        <w:spacing w:after="12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Flujo de limpieza de la base Saber 11 2020-2</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41"/>
        <w:gridCol w:w="1949"/>
        <w:gridCol w:w="1935"/>
      </w:tblGrid>
      <w:tr w:rsidR="00854C95" w14:paraId="101954AA" w14:textId="77777777">
        <w:trPr>
          <w:trHeight w:val="555"/>
        </w:trPr>
        <w:tc>
          <w:tcPr>
            <w:tcW w:w="5140" w:type="dxa"/>
            <w:tcBorders>
              <w:top w:val="single" w:sz="6" w:space="0" w:color="000000"/>
              <w:left w:val="nil"/>
              <w:bottom w:val="single" w:sz="6" w:space="0" w:color="000000"/>
              <w:right w:val="nil"/>
            </w:tcBorders>
            <w:tcMar>
              <w:top w:w="60" w:type="dxa"/>
              <w:left w:w="100" w:type="dxa"/>
              <w:bottom w:w="60" w:type="dxa"/>
              <w:right w:w="100" w:type="dxa"/>
            </w:tcMar>
          </w:tcPr>
          <w:p w14:paraId="097C1B7E" w14:textId="77777777" w:rsidR="00854C95"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Paso</w:t>
            </w:r>
          </w:p>
        </w:tc>
        <w:tc>
          <w:tcPr>
            <w:tcW w:w="1949" w:type="dxa"/>
            <w:tcBorders>
              <w:top w:val="single" w:sz="6" w:space="0" w:color="000000"/>
              <w:left w:val="nil"/>
              <w:bottom w:val="single" w:sz="6" w:space="0" w:color="000000"/>
              <w:right w:val="nil"/>
            </w:tcBorders>
            <w:tcMar>
              <w:top w:w="60" w:type="dxa"/>
              <w:left w:w="100" w:type="dxa"/>
              <w:bottom w:w="60" w:type="dxa"/>
              <w:right w:w="100" w:type="dxa"/>
            </w:tcMar>
          </w:tcPr>
          <w:p w14:paraId="7937793A" w14:textId="77777777" w:rsidR="00854C95"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Eliminados</w:t>
            </w:r>
          </w:p>
        </w:tc>
        <w:tc>
          <w:tcPr>
            <w:tcW w:w="1935" w:type="dxa"/>
            <w:tcBorders>
              <w:top w:val="single" w:sz="6" w:space="0" w:color="000000"/>
              <w:left w:val="nil"/>
              <w:bottom w:val="single" w:sz="6" w:space="0" w:color="000000"/>
              <w:right w:val="nil"/>
            </w:tcBorders>
            <w:tcMar>
              <w:top w:w="60" w:type="dxa"/>
              <w:left w:w="100" w:type="dxa"/>
              <w:bottom w:w="60" w:type="dxa"/>
              <w:right w:w="100" w:type="dxa"/>
            </w:tcMar>
          </w:tcPr>
          <w:p w14:paraId="603298B5" w14:textId="77777777" w:rsidR="00854C95"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Restantes</w:t>
            </w:r>
          </w:p>
        </w:tc>
      </w:tr>
      <w:tr w:rsidR="00854C95" w14:paraId="44E3AC7B" w14:textId="77777777">
        <w:trPr>
          <w:trHeight w:val="540"/>
        </w:trPr>
        <w:tc>
          <w:tcPr>
            <w:tcW w:w="5140" w:type="dxa"/>
            <w:tcBorders>
              <w:top w:val="nil"/>
              <w:left w:val="nil"/>
              <w:bottom w:val="nil"/>
              <w:right w:val="nil"/>
            </w:tcBorders>
            <w:tcMar>
              <w:top w:w="60" w:type="dxa"/>
              <w:left w:w="100" w:type="dxa"/>
              <w:bottom w:w="60" w:type="dxa"/>
              <w:right w:w="100" w:type="dxa"/>
            </w:tcMar>
          </w:tcPr>
          <w:p w14:paraId="36D1A95E"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Base original</w:t>
            </w:r>
          </w:p>
        </w:tc>
        <w:tc>
          <w:tcPr>
            <w:tcW w:w="1949" w:type="dxa"/>
            <w:tcBorders>
              <w:top w:val="nil"/>
              <w:left w:val="nil"/>
              <w:bottom w:val="nil"/>
              <w:right w:val="nil"/>
            </w:tcBorders>
            <w:tcMar>
              <w:top w:w="60" w:type="dxa"/>
              <w:left w:w="100" w:type="dxa"/>
              <w:bottom w:w="60" w:type="dxa"/>
              <w:right w:w="100" w:type="dxa"/>
            </w:tcMar>
          </w:tcPr>
          <w:p w14:paraId="245B4A0D"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w:t>
            </w:r>
          </w:p>
        </w:tc>
        <w:tc>
          <w:tcPr>
            <w:tcW w:w="1935" w:type="dxa"/>
            <w:tcBorders>
              <w:top w:val="nil"/>
              <w:left w:val="nil"/>
              <w:bottom w:val="nil"/>
              <w:right w:val="nil"/>
            </w:tcBorders>
            <w:tcMar>
              <w:top w:w="60" w:type="dxa"/>
              <w:left w:w="100" w:type="dxa"/>
              <w:bottom w:w="60" w:type="dxa"/>
              <w:right w:w="100" w:type="dxa"/>
            </w:tcMar>
          </w:tcPr>
          <w:p w14:paraId="5D349276"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504.872</w:t>
            </w:r>
          </w:p>
        </w:tc>
      </w:tr>
      <w:tr w:rsidR="00854C95" w14:paraId="7F6A2E45" w14:textId="77777777">
        <w:trPr>
          <w:trHeight w:val="540"/>
        </w:trPr>
        <w:tc>
          <w:tcPr>
            <w:tcW w:w="5140" w:type="dxa"/>
            <w:tcBorders>
              <w:top w:val="nil"/>
              <w:left w:val="nil"/>
              <w:bottom w:val="nil"/>
              <w:right w:val="nil"/>
            </w:tcBorders>
            <w:tcMar>
              <w:top w:w="60" w:type="dxa"/>
              <w:left w:w="100" w:type="dxa"/>
              <w:bottom w:w="60" w:type="dxa"/>
              <w:right w:w="100" w:type="dxa"/>
            </w:tcMar>
          </w:tcPr>
          <w:p w14:paraId="6D5CCEEF"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Resultados no publicados (revisión jurídica)</w:t>
            </w:r>
          </w:p>
        </w:tc>
        <w:tc>
          <w:tcPr>
            <w:tcW w:w="1949" w:type="dxa"/>
            <w:tcBorders>
              <w:top w:val="nil"/>
              <w:left w:val="nil"/>
              <w:bottom w:val="nil"/>
              <w:right w:val="nil"/>
            </w:tcBorders>
            <w:tcMar>
              <w:top w:w="60" w:type="dxa"/>
              <w:left w:w="100" w:type="dxa"/>
              <w:bottom w:w="60" w:type="dxa"/>
              <w:right w:w="100" w:type="dxa"/>
            </w:tcMar>
          </w:tcPr>
          <w:p w14:paraId="1C7BA861"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44</w:t>
            </w:r>
          </w:p>
        </w:tc>
        <w:tc>
          <w:tcPr>
            <w:tcW w:w="1935" w:type="dxa"/>
            <w:tcBorders>
              <w:top w:val="nil"/>
              <w:left w:val="nil"/>
              <w:bottom w:val="nil"/>
              <w:right w:val="nil"/>
            </w:tcBorders>
            <w:tcMar>
              <w:top w:w="60" w:type="dxa"/>
              <w:left w:w="100" w:type="dxa"/>
              <w:bottom w:w="60" w:type="dxa"/>
              <w:right w:w="100" w:type="dxa"/>
            </w:tcMar>
          </w:tcPr>
          <w:p w14:paraId="4EF746F6"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504.828</w:t>
            </w:r>
          </w:p>
        </w:tc>
      </w:tr>
      <w:tr w:rsidR="00854C95" w14:paraId="24613782" w14:textId="77777777">
        <w:trPr>
          <w:trHeight w:val="540"/>
        </w:trPr>
        <w:tc>
          <w:tcPr>
            <w:tcW w:w="5140" w:type="dxa"/>
            <w:tcBorders>
              <w:top w:val="nil"/>
              <w:left w:val="nil"/>
              <w:bottom w:val="nil"/>
              <w:right w:val="nil"/>
            </w:tcBorders>
            <w:tcMar>
              <w:top w:w="60" w:type="dxa"/>
              <w:left w:w="100" w:type="dxa"/>
              <w:bottom w:w="60" w:type="dxa"/>
              <w:right w:w="100" w:type="dxa"/>
            </w:tcMar>
          </w:tcPr>
          <w:p w14:paraId="277E0447"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Estudiantes privados de la libertad</w:t>
            </w:r>
          </w:p>
        </w:tc>
        <w:tc>
          <w:tcPr>
            <w:tcW w:w="1949" w:type="dxa"/>
            <w:tcBorders>
              <w:top w:val="nil"/>
              <w:left w:val="nil"/>
              <w:bottom w:val="nil"/>
              <w:right w:val="nil"/>
            </w:tcBorders>
            <w:tcMar>
              <w:top w:w="60" w:type="dxa"/>
              <w:left w:w="100" w:type="dxa"/>
              <w:bottom w:w="60" w:type="dxa"/>
              <w:right w:w="100" w:type="dxa"/>
            </w:tcMar>
          </w:tcPr>
          <w:p w14:paraId="2876F156"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152</w:t>
            </w:r>
          </w:p>
        </w:tc>
        <w:tc>
          <w:tcPr>
            <w:tcW w:w="1935" w:type="dxa"/>
            <w:tcBorders>
              <w:top w:val="nil"/>
              <w:left w:val="nil"/>
              <w:bottom w:val="nil"/>
              <w:right w:val="nil"/>
            </w:tcBorders>
            <w:tcMar>
              <w:top w:w="60" w:type="dxa"/>
              <w:left w:w="100" w:type="dxa"/>
              <w:bottom w:w="60" w:type="dxa"/>
              <w:right w:w="100" w:type="dxa"/>
            </w:tcMar>
          </w:tcPr>
          <w:p w14:paraId="7615260A"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504.676</w:t>
            </w:r>
          </w:p>
        </w:tc>
      </w:tr>
      <w:tr w:rsidR="00854C95" w14:paraId="7BE790A6" w14:textId="77777777">
        <w:trPr>
          <w:trHeight w:val="540"/>
        </w:trPr>
        <w:tc>
          <w:tcPr>
            <w:tcW w:w="5140" w:type="dxa"/>
            <w:tcBorders>
              <w:top w:val="nil"/>
              <w:left w:val="nil"/>
              <w:bottom w:val="nil"/>
              <w:right w:val="nil"/>
            </w:tcBorders>
            <w:tcMar>
              <w:top w:w="60" w:type="dxa"/>
              <w:left w:w="100" w:type="dxa"/>
              <w:bottom w:w="60" w:type="dxa"/>
              <w:right w:w="100" w:type="dxa"/>
            </w:tcMar>
          </w:tcPr>
          <w:p w14:paraId="409B4307"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Puntaje global igual a cero</w:t>
            </w:r>
          </w:p>
        </w:tc>
        <w:tc>
          <w:tcPr>
            <w:tcW w:w="1949" w:type="dxa"/>
            <w:tcBorders>
              <w:top w:val="nil"/>
              <w:left w:val="nil"/>
              <w:bottom w:val="nil"/>
              <w:right w:val="nil"/>
            </w:tcBorders>
            <w:tcMar>
              <w:top w:w="60" w:type="dxa"/>
              <w:left w:w="100" w:type="dxa"/>
              <w:bottom w:w="60" w:type="dxa"/>
              <w:right w:w="100" w:type="dxa"/>
            </w:tcMar>
          </w:tcPr>
          <w:p w14:paraId="1F67445A"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80</w:t>
            </w:r>
          </w:p>
        </w:tc>
        <w:tc>
          <w:tcPr>
            <w:tcW w:w="1935" w:type="dxa"/>
            <w:tcBorders>
              <w:top w:val="nil"/>
              <w:left w:val="nil"/>
              <w:bottom w:val="nil"/>
              <w:right w:val="nil"/>
            </w:tcBorders>
            <w:tcMar>
              <w:top w:w="60" w:type="dxa"/>
              <w:left w:w="100" w:type="dxa"/>
              <w:bottom w:w="60" w:type="dxa"/>
              <w:right w:w="100" w:type="dxa"/>
            </w:tcMar>
          </w:tcPr>
          <w:p w14:paraId="57B5FE3F"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504.596</w:t>
            </w:r>
          </w:p>
        </w:tc>
      </w:tr>
      <w:tr w:rsidR="00854C95" w14:paraId="3F84BEF1" w14:textId="77777777">
        <w:trPr>
          <w:trHeight w:val="540"/>
        </w:trPr>
        <w:tc>
          <w:tcPr>
            <w:tcW w:w="5140" w:type="dxa"/>
            <w:tcBorders>
              <w:top w:val="nil"/>
              <w:left w:val="nil"/>
              <w:bottom w:val="single" w:sz="6" w:space="0" w:color="000000"/>
              <w:right w:val="nil"/>
            </w:tcBorders>
            <w:tcMar>
              <w:top w:w="60" w:type="dxa"/>
              <w:left w:w="100" w:type="dxa"/>
              <w:bottom w:w="60" w:type="dxa"/>
              <w:right w:w="100" w:type="dxa"/>
            </w:tcMar>
          </w:tcPr>
          <w:p w14:paraId="7DA5215E"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Jornadas sabatina y nocturna (adultos)</w:t>
            </w:r>
          </w:p>
        </w:tc>
        <w:tc>
          <w:tcPr>
            <w:tcW w:w="1949" w:type="dxa"/>
            <w:tcBorders>
              <w:top w:val="nil"/>
              <w:left w:val="nil"/>
              <w:bottom w:val="single" w:sz="6" w:space="0" w:color="000000"/>
              <w:right w:val="nil"/>
            </w:tcBorders>
            <w:tcMar>
              <w:top w:w="60" w:type="dxa"/>
              <w:left w:w="100" w:type="dxa"/>
              <w:bottom w:w="60" w:type="dxa"/>
              <w:right w:w="100" w:type="dxa"/>
            </w:tcMar>
          </w:tcPr>
          <w:p w14:paraId="42FE1719"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45.689</w:t>
            </w:r>
          </w:p>
        </w:tc>
        <w:tc>
          <w:tcPr>
            <w:tcW w:w="1935" w:type="dxa"/>
            <w:tcBorders>
              <w:top w:val="nil"/>
              <w:left w:val="nil"/>
              <w:bottom w:val="single" w:sz="6" w:space="0" w:color="000000"/>
              <w:right w:val="nil"/>
            </w:tcBorders>
            <w:tcMar>
              <w:top w:w="60" w:type="dxa"/>
              <w:left w:w="100" w:type="dxa"/>
              <w:bottom w:w="60" w:type="dxa"/>
              <w:right w:w="100" w:type="dxa"/>
            </w:tcMar>
          </w:tcPr>
          <w:p w14:paraId="28C8EEFA"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458.907</w:t>
            </w:r>
          </w:p>
        </w:tc>
      </w:tr>
    </w:tbl>
    <w:p w14:paraId="629E0063" w14:textId="77777777" w:rsidR="00854C95" w:rsidRDefault="00000000">
      <w:pPr>
        <w:spacing w:after="24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Nota. Elaboración propia con microdatos del (ICFES, 2020).</w:t>
      </w:r>
    </w:p>
    <w:p w14:paraId="6281B1D3"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Analizando los datos faltantes la respuesta es baja cerca del 3% y encontramos similitudes entre zonas, entonces la tratamos en categorías propias, pues describe la situación real de muchos hogares rurales. Los 9.212 estudiantes sin cuestionario entran en la descripción, pero no en los modelos.</w:t>
      </w:r>
    </w:p>
    <w:p w14:paraId="248FE005"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los valores atípicos las 233 fechas de nacimiento imposibles pasaron a faltantes, los puntajes externos se conservaron porque son desempeños reales en una escala acotada.</w:t>
      </w:r>
    </w:p>
    <w:p w14:paraId="3E91D6AA" w14:textId="77777777" w:rsidR="00854C95"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4.Integracion con el DANE e ingeniería de variables</w:t>
      </w:r>
    </w:p>
    <w:p w14:paraId="7BE51018"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Integración territorial</w:t>
      </w:r>
    </w:p>
    <w:p w14:paraId="1DA76ED8"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poder integrar las fuentes, asignamos a cada estudiante el IPM con cada departamento de acuerdo con la zona a la que pertenece, donde el de las cabeceras si el colegio era urbano y si e incluía rural. Donde la unión se hizo por código DIVIPOLA y el 100% de los estudiantes quedo emparejado. como San Andrés no tiene IPM rural multiplicado para el 2020, donde se usó su valor real.</w:t>
      </w:r>
    </w:p>
    <w:p w14:paraId="3B540D57"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Construcción de variables</w:t>
      </w:r>
    </w:p>
    <w:p w14:paraId="22909747"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Creamos variables con sentido económico, donde edad y </w:t>
      </w:r>
      <w:proofErr w:type="gramStart"/>
      <w:r>
        <w:rPr>
          <w:rFonts w:ascii="Times New Roman" w:eastAsia="Times New Roman" w:hAnsi="Times New Roman" w:cs="Times New Roman"/>
          <w:sz w:val="24"/>
          <w:szCs w:val="24"/>
        </w:rPr>
        <w:t>extra edad</w:t>
      </w:r>
      <w:proofErr w:type="gramEnd"/>
      <w:r>
        <w:rPr>
          <w:rFonts w:ascii="Times New Roman" w:eastAsia="Times New Roman" w:hAnsi="Times New Roman" w:cs="Times New Roman"/>
          <w:sz w:val="24"/>
          <w:szCs w:val="24"/>
        </w:rPr>
        <w:t xml:space="preserve"> que es la indicación de repitencia hacinamiento de personas por cuarto, y un índice de bienes del hogar, conectividad completa que incluye intentar y computador, son claves para estudiar desde casa en 2020, donde la educación máxima de los padres y si el estudiante trabaja, además del IPM territorial. La matriz final tiene 60 columnas y ningún factor de inflación de la varianza (VIF) su pera 10, el umbral usual para detectar colinealidad problemática según (james et al., 2021).</w:t>
      </w:r>
    </w:p>
    <w:p w14:paraId="20083C03"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puntaje global se calcula exactamente a partir de los cinco puntajes por área, así que estos no se usan como predictores, por lo tanto, el ajuste seria perfecto, pero no diría nada sobre la brecha. Es un caso típico de fuga de información (Kauffman et al.,2012).</w:t>
      </w:r>
    </w:p>
    <w:p w14:paraId="76F301EC"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Sisbén, no se encuentra en la base de datos, por lo tanto, lo retiramos, el estrato, el índice de bienes y el nivel socioeconómico del colegio cubren esa dimensión.</w:t>
      </w:r>
    </w:p>
    <w:p w14:paraId="639DBBD5"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5.Estrategia Empírica</w:t>
      </w:r>
    </w:p>
    <w:p w14:paraId="353BD962"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Dividimos los datos en entrenamiento del 80% y prueba de 20% por sede, de modo que ningún colegio aparece en ambos conjuntos y el modelo se valúa con colegios que no ha visto, esta agrupación evita que la dependencia entre los estudiantes de un mismo colegio infle el desempeño estimado según (Roberts et al., 2017). La validación cruzada de cinco pliegues, también agrupada por sede, se realiza únicamente en el conjunto d entrenamiento.</w:t>
      </w:r>
    </w:p>
    <w:p w14:paraId="540F59DE"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principal predice el puntaje global con regresión </w:t>
      </w:r>
      <w:proofErr w:type="spellStart"/>
      <w:r>
        <w:rPr>
          <w:rFonts w:ascii="Times New Roman" w:eastAsia="Times New Roman" w:hAnsi="Times New Roman" w:cs="Times New Roman"/>
          <w:sz w:val="24"/>
          <w:szCs w:val="24"/>
        </w:rPr>
        <w:t>líneal</w:t>
      </w:r>
      <w:proofErr w:type="spellEnd"/>
      <w:r>
        <w:rPr>
          <w:rFonts w:ascii="Times New Roman" w:eastAsia="Times New Roman" w:hAnsi="Times New Roman" w:cs="Times New Roman"/>
          <w:sz w:val="24"/>
          <w:szCs w:val="24"/>
        </w:rPr>
        <w:t xml:space="preserve"> y Ramón Forest (Breiman,2001); el complementario clasifica el riesgo de bajo desempeño, con un puntaje inferior al percentil 25, es decir que 216 puntos, son de regresión logística y gradiente </w:t>
      </w:r>
      <w:proofErr w:type="spellStart"/>
      <w:r>
        <w:rPr>
          <w:rFonts w:ascii="Times New Roman" w:eastAsia="Times New Roman" w:hAnsi="Times New Roman" w:cs="Times New Roman"/>
          <w:sz w:val="24"/>
          <w:szCs w:val="24"/>
        </w:rPr>
        <w:t>boosting</w:t>
      </w:r>
      <w:proofErr w:type="spellEnd"/>
      <w:r>
        <w:rPr>
          <w:rFonts w:ascii="Times New Roman" w:eastAsia="Times New Roman" w:hAnsi="Times New Roman" w:cs="Times New Roman"/>
          <w:sz w:val="24"/>
          <w:szCs w:val="24"/>
        </w:rPr>
        <w:t xml:space="preserve"> (Friedman, 2001). En el lugar de </w:t>
      </w:r>
      <w:proofErr w:type="spellStart"/>
      <w:proofErr w:type="gram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Cheng y </w:t>
      </w:r>
      <w:proofErr w:type="spellStart"/>
      <w:r>
        <w:rPr>
          <w:rFonts w:ascii="Times New Roman" w:eastAsia="Times New Roman" w:hAnsi="Times New Roman" w:cs="Times New Roman"/>
          <w:sz w:val="24"/>
          <w:szCs w:val="24"/>
        </w:rPr>
        <w:t>Guestrin</w:t>
      </w:r>
      <w:proofErr w:type="spellEnd"/>
      <w:r>
        <w:rPr>
          <w:rFonts w:ascii="Times New Roman" w:eastAsia="Times New Roman" w:hAnsi="Times New Roman" w:cs="Times New Roman"/>
          <w:sz w:val="24"/>
          <w:szCs w:val="24"/>
        </w:rPr>
        <w:t xml:space="preserve">, 2016) usamos HGB </w:t>
      </w:r>
      <w:proofErr w:type="spellStart"/>
      <w:r>
        <w:rPr>
          <w:rFonts w:ascii="Times New Roman" w:eastAsia="Times New Roman" w:hAnsi="Times New Roman" w:cs="Times New Roman"/>
          <w:i/>
          <w:iCs/>
          <w:sz w:val="24"/>
          <w:szCs w:val="24"/>
        </w:rPr>
        <w:t>HistgrandientBoosting</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scikit-learn</w:t>
      </w:r>
      <w:proofErr w:type="spellEnd"/>
      <w:r>
        <w:rPr>
          <w:rFonts w:ascii="Times New Roman" w:eastAsia="Times New Roman" w:hAnsi="Times New Roman" w:cs="Times New Roman"/>
          <w:sz w:val="24"/>
          <w:szCs w:val="24"/>
        </w:rPr>
        <w:t xml:space="preserve"> (Pedregosa et al., 2011), un algoritmo de la misma familia inspirado en </w:t>
      </w:r>
      <w:proofErr w:type="spellStart"/>
      <w:r>
        <w:rPr>
          <w:rFonts w:ascii="Times New Roman" w:eastAsia="Times New Roman" w:hAnsi="Times New Roman" w:cs="Times New Roman"/>
          <w:b/>
          <w:bCs/>
          <w:sz w:val="24"/>
          <w:szCs w:val="24"/>
        </w:rPr>
        <w:t>ligthtGBM</w:t>
      </w:r>
      <w:proofErr w:type="spellEnd"/>
      <w:r>
        <w:rPr>
          <w:rFonts w:ascii="Times New Roman" w:eastAsia="Times New Roman" w:hAnsi="Times New Roman" w:cs="Times New Roman"/>
          <w:sz w:val="24"/>
          <w:szCs w:val="24"/>
        </w:rPr>
        <w:t xml:space="preserve"> (Ke et al.,2017). Como referencia comparamos con un modelo que incluye solo la zona.</w:t>
      </w:r>
    </w:p>
    <w:p w14:paraId="6BF78E9C"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Resultados</w:t>
      </w:r>
    </w:p>
    <w:p w14:paraId="1326E545"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Análisis exploratorio</w:t>
      </w:r>
    </w:p>
    <w:p w14:paraId="56363F7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observa en la Figura 1 que los estudiantes urbanos obtienen en promedio 256.9 puntos y los rurales 228,6 en una brecha de 28.3 puntos, 0.6 desviaciones estándar. Por otro lado, aparece en las 5 áreas entre 4.9 y 6.2 puntos sobre 100, así que es un regazo general y no de una asignatura.</w:t>
      </w:r>
    </w:p>
    <w:p w14:paraId="7A2C8E71" w14:textId="77777777" w:rsidR="00854C95" w:rsidRDefault="00854C95">
      <w:pPr>
        <w:spacing w:after="160" w:line="360" w:lineRule="auto"/>
        <w:ind w:firstLine="720"/>
        <w:jc w:val="both"/>
        <w:rPr>
          <w:rFonts w:ascii="Times New Roman" w:eastAsia="Times New Roman" w:hAnsi="Times New Roman" w:cs="Times New Roman"/>
          <w:sz w:val="24"/>
          <w:szCs w:val="24"/>
        </w:rPr>
      </w:pPr>
    </w:p>
    <w:p w14:paraId="1A616E54"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1</w:t>
      </w:r>
    </w:p>
    <w:p w14:paraId="26D247F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Distribución del puntaje global por Zona</w:t>
      </w:r>
    </w:p>
    <w:p w14:paraId="6C1E773C"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CB55CF" wp14:editId="0FA7B1A8">
            <wp:extent cx="4483100" cy="2692400"/>
            <wp:effectExtent l="0" t="0" r="0" b="0"/>
            <wp:docPr id="2" name="image5.png" descr="Título: Figura 1 - Descripción: Distribución del puntaje global por zona"/>
            <wp:cNvGraphicFramePr/>
            <a:graphic xmlns:a="http://schemas.openxmlformats.org/drawingml/2006/main">
              <a:graphicData uri="http://schemas.openxmlformats.org/drawingml/2006/picture">
                <pic:pic xmlns:pic="http://schemas.openxmlformats.org/drawingml/2006/picture">
                  <pic:nvPicPr>
                    <pic:cNvPr id="0" name="image5.png" descr="Título: Figura 1 - Descripción: Distribución del puntaje global por zona"/>
                    <pic:cNvPicPr preferRelativeResize="0"/>
                  </pic:nvPicPr>
                  <pic:blipFill>
                    <a:blip r:embed="rId6"/>
                    <a:srcRect/>
                    <a:stretch>
                      <a:fillRect/>
                    </a:stretch>
                  </pic:blipFill>
                  <pic:spPr>
                    <a:xfrm>
                      <a:off x="0" y="0"/>
                      <a:ext cx="4483100" cy="2692400"/>
                    </a:xfrm>
                    <a:prstGeom prst="rect">
                      <a:avLst/>
                    </a:prstGeom>
                    <a:ln/>
                  </pic:spPr>
                </pic:pic>
              </a:graphicData>
            </a:graphic>
          </wp:inline>
        </w:drawing>
      </w:r>
    </w:p>
    <w:p w14:paraId="67D129B6" w14:textId="77777777" w:rsidR="00854C95" w:rsidRDefault="00000000">
      <w:pPr>
        <w:spacing w:after="16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Nota: Elaboración propia con microdatos del (ICFES, 2020)</w:t>
      </w:r>
    </w:p>
    <w:p w14:paraId="5E3A2121"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2 nos sugiere que la ruralidad no explica esta diferencia, ya que en los colegios no oficiales no rurales con 291,5, superan a los urbanos 278,3, y la brecha se concentra en el sector oficial de 249,9 frente a 224,6. Pesa más que colegios y que población que hay en cada zona que la ubicación en sí.</w:t>
      </w:r>
    </w:p>
    <w:p w14:paraId="7715CC0C"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2</w:t>
      </w:r>
    </w:p>
    <w:p w14:paraId="1A41D921"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Puntaje global por naturaleza del colegio</w:t>
      </w:r>
    </w:p>
    <w:p w14:paraId="6B3388B3"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572A23" wp14:editId="3DF84BB8">
            <wp:extent cx="4483100" cy="2159000"/>
            <wp:effectExtent l="0" t="0" r="0" b="0"/>
            <wp:docPr id="4" name="image4.png" descr="Título: Figura 2 - Descripción: Puntaje global por naturaleza del colegio y zona"/>
            <wp:cNvGraphicFramePr/>
            <a:graphic xmlns:a="http://schemas.openxmlformats.org/drawingml/2006/main">
              <a:graphicData uri="http://schemas.openxmlformats.org/drawingml/2006/picture">
                <pic:pic xmlns:pic="http://schemas.openxmlformats.org/drawingml/2006/picture">
                  <pic:nvPicPr>
                    <pic:cNvPr id="0" name="image4.png" descr="Título: Figura 2 - Descripción: Puntaje global por naturaleza del colegio y zona"/>
                    <pic:cNvPicPr preferRelativeResize="0"/>
                  </pic:nvPicPr>
                  <pic:blipFill>
                    <a:blip r:embed="rId7"/>
                    <a:srcRect/>
                    <a:stretch>
                      <a:fillRect/>
                    </a:stretch>
                  </pic:blipFill>
                  <pic:spPr>
                    <a:xfrm>
                      <a:off x="0" y="0"/>
                      <a:ext cx="4483100" cy="2159000"/>
                    </a:xfrm>
                    <a:prstGeom prst="rect">
                      <a:avLst/>
                    </a:prstGeom>
                    <a:ln/>
                  </pic:spPr>
                </pic:pic>
              </a:graphicData>
            </a:graphic>
          </wp:inline>
        </w:drawing>
      </w:r>
    </w:p>
    <w:p w14:paraId="33102055" w14:textId="77777777" w:rsidR="00854C95" w:rsidRDefault="00000000">
      <w:pPr>
        <w:spacing w:after="16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Nota: Elaboración propia con microdatos del (ICFES, 2020)</w:t>
      </w:r>
    </w:p>
    <w:p w14:paraId="0CB52689"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diferencias de composición son grandes, en la figura 3, solo el 37% de los estudiantes rurales tienen internet en casa, frente al 76% de los urbanos; en el 45% de los hogares rurales la madre tiene como máximo primaria un 20% en los urbanos y finalmente un 53% de los estudiantes rurales trabaja a diferencia del 33% de los urbanos. En un año de clases remotas, la conectividad es un canal especialmente relevante.</w:t>
      </w:r>
    </w:p>
    <w:p w14:paraId="1C941E74"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3</w:t>
      </w:r>
    </w:p>
    <w:p w14:paraId="796102F5"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 de los estudiantes y hogares por Zona</w:t>
      </w:r>
    </w:p>
    <w:p w14:paraId="19BB6166"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97DA4DC" wp14:editId="642A9603">
            <wp:extent cx="4483100" cy="2578100"/>
            <wp:effectExtent l="0" t="0" r="0" b="0"/>
            <wp:docPr id="6" name="image6.png" descr="Título: Figura 3 - Descripción: Características de estudiantes y hogares por zona"/>
            <wp:cNvGraphicFramePr/>
            <a:graphic xmlns:a="http://schemas.openxmlformats.org/drawingml/2006/main">
              <a:graphicData uri="http://schemas.openxmlformats.org/drawingml/2006/picture">
                <pic:pic xmlns:pic="http://schemas.openxmlformats.org/drawingml/2006/picture">
                  <pic:nvPicPr>
                    <pic:cNvPr id="0" name="image6.png" descr="Título: Figura 3 - Descripción: Características de estudiantes y hogares por zona"/>
                    <pic:cNvPicPr preferRelativeResize="0"/>
                  </pic:nvPicPr>
                  <pic:blipFill>
                    <a:blip r:embed="rId8"/>
                    <a:srcRect/>
                    <a:stretch>
                      <a:fillRect/>
                    </a:stretch>
                  </pic:blipFill>
                  <pic:spPr>
                    <a:xfrm>
                      <a:off x="0" y="0"/>
                      <a:ext cx="4483100" cy="2578100"/>
                    </a:xfrm>
                    <a:prstGeom prst="rect">
                      <a:avLst/>
                    </a:prstGeom>
                    <a:ln/>
                  </pic:spPr>
                </pic:pic>
              </a:graphicData>
            </a:graphic>
          </wp:inline>
        </w:drawing>
      </w:r>
    </w:p>
    <w:p w14:paraId="44944B37" w14:textId="77777777" w:rsidR="00854C95" w:rsidRDefault="00000000">
      <w:pPr>
        <w:spacing w:after="16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Nota: Elaboración propia con microdatos de (ICFES, 2020)</w:t>
      </w:r>
    </w:p>
    <w:p w14:paraId="0816499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Observamos en la figura 4 que </w:t>
      </w:r>
      <w:proofErr w:type="gramStart"/>
      <w:r>
        <w:rPr>
          <w:rFonts w:ascii="Times New Roman" w:eastAsia="Times New Roman" w:hAnsi="Times New Roman" w:cs="Times New Roman"/>
          <w:sz w:val="24"/>
          <w:szCs w:val="24"/>
        </w:rPr>
        <w:t>los estudiantes del nivel socioeconómico similar de la brecha cae</w:t>
      </w:r>
      <w:proofErr w:type="gramEnd"/>
      <w:r>
        <w:rPr>
          <w:rFonts w:ascii="Times New Roman" w:eastAsia="Times New Roman" w:hAnsi="Times New Roman" w:cs="Times New Roman"/>
          <w:sz w:val="24"/>
          <w:szCs w:val="24"/>
        </w:rPr>
        <w:t xml:space="preserve"> a la mitad, dentro de un mismo decil del índice socioeconómico del ICFES es de 13,2 puntos en promedio, y en el decil más alto desaparece.</w:t>
      </w:r>
    </w:p>
    <w:p w14:paraId="5A10BEDA"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4</w:t>
      </w:r>
    </w:p>
    <w:p w14:paraId="4F768B1C"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Puntaje global por decil del índice socioeconómico y por zona</w:t>
      </w:r>
    </w:p>
    <w:p w14:paraId="11C389D1" w14:textId="77777777" w:rsidR="00854C95"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C9E84D" wp14:editId="6CE1AB6F">
            <wp:extent cx="4483100" cy="2768600"/>
            <wp:effectExtent l="0" t="0" r="0" b="0"/>
            <wp:docPr id="3" name="image2.png" descr="Título: Figura 4 - Descripción: Puntaje global por decil del índice socioeconómico y zona"/>
            <wp:cNvGraphicFramePr/>
            <a:graphic xmlns:a="http://schemas.openxmlformats.org/drawingml/2006/main">
              <a:graphicData uri="http://schemas.openxmlformats.org/drawingml/2006/picture">
                <pic:pic xmlns:pic="http://schemas.openxmlformats.org/drawingml/2006/picture">
                  <pic:nvPicPr>
                    <pic:cNvPr id="0" name="image2.png" descr="Título: Figura 4 - Descripción: Puntaje global por decil del índice socioeconómico y zona"/>
                    <pic:cNvPicPr preferRelativeResize="0"/>
                  </pic:nvPicPr>
                  <pic:blipFill>
                    <a:blip r:embed="rId9"/>
                    <a:srcRect/>
                    <a:stretch>
                      <a:fillRect/>
                    </a:stretch>
                  </pic:blipFill>
                  <pic:spPr>
                    <a:xfrm>
                      <a:off x="0" y="0"/>
                      <a:ext cx="4483100" cy="2768600"/>
                    </a:xfrm>
                    <a:prstGeom prst="rect">
                      <a:avLst/>
                    </a:prstGeom>
                    <a:ln/>
                  </pic:spPr>
                </pic:pic>
              </a:graphicData>
            </a:graphic>
          </wp:inline>
        </w:drawing>
      </w:r>
    </w:p>
    <w:p w14:paraId="158AC5D5" w14:textId="77777777" w:rsidR="00854C95" w:rsidRDefault="00000000">
      <w:pPr>
        <w:spacing w:after="160" w:line="360" w:lineRule="auto"/>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Nota: Elaboración propia con microdatos del (ICFES, 2020)</w:t>
      </w:r>
    </w:p>
    <w:p w14:paraId="07D44AFC"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figura observamos que el territorio también cuenta, entre los 66 contextos de departamentos y por zona, la correlación entre el IPM (DANE, 2026) donde el puntaje promedio es de -0,85, cada punto porcentual adicional de pobreza multidimensionales asocia con cerca de 1,2 puntos menos en el puntaje.</w:t>
      </w:r>
    </w:p>
    <w:p w14:paraId="764D4769"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5</w:t>
      </w:r>
    </w:p>
    <w:p w14:paraId="0DB98B3F"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Pobreza multidimensional del territorio y puntaje promedio</w:t>
      </w:r>
    </w:p>
    <w:p w14:paraId="221FAC5B"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7ABCE2" wp14:editId="07ACF1D0">
            <wp:extent cx="4483100" cy="2362200"/>
            <wp:effectExtent l="0" t="0" r="0" b="0"/>
            <wp:docPr id="5" name="image3.png" descr="Título: Figura 5 - Descripción: Pobreza multidimensional del territorio y puntaje promedio"/>
            <wp:cNvGraphicFramePr/>
            <a:graphic xmlns:a="http://schemas.openxmlformats.org/drawingml/2006/main">
              <a:graphicData uri="http://schemas.openxmlformats.org/drawingml/2006/picture">
                <pic:pic xmlns:pic="http://schemas.openxmlformats.org/drawingml/2006/picture">
                  <pic:nvPicPr>
                    <pic:cNvPr id="0" name="image3.png" descr="Título: Figura 5 - Descripción: Pobreza multidimensional del territorio y puntaje promedio"/>
                    <pic:cNvPicPr preferRelativeResize="0"/>
                  </pic:nvPicPr>
                  <pic:blipFill>
                    <a:blip r:embed="rId10"/>
                    <a:srcRect/>
                    <a:stretch>
                      <a:fillRect/>
                    </a:stretch>
                  </pic:blipFill>
                  <pic:spPr>
                    <a:xfrm>
                      <a:off x="0" y="0"/>
                      <a:ext cx="4483100" cy="2362200"/>
                    </a:xfrm>
                    <a:prstGeom prst="rect">
                      <a:avLst/>
                    </a:prstGeom>
                    <a:ln/>
                  </pic:spPr>
                </pic:pic>
              </a:graphicData>
            </a:graphic>
          </wp:inline>
        </w:drawing>
      </w:r>
    </w:p>
    <w:p w14:paraId="3423E8F0" w14:textId="77777777" w:rsidR="00854C95" w:rsidRDefault="00000000">
      <w:pPr>
        <w:spacing w:after="160" w:line="360" w:lineRule="auto"/>
        <w:jc w:val="both"/>
        <w:rPr>
          <w:rFonts w:ascii="Times New Roman" w:eastAsia="Times New Roman" w:hAnsi="Times New Roman" w:cs="Times New Roman"/>
          <w:i/>
          <w:iCs/>
        </w:rPr>
      </w:pPr>
      <w:r>
        <w:rPr>
          <w:rFonts w:ascii="Times New Roman" w:eastAsia="Times New Roman" w:hAnsi="Times New Roman" w:cs="Times New Roman"/>
          <w:i/>
          <w:iCs/>
        </w:rPr>
        <w:t>Nota: Elaboración propia con microdatos del (ICFES, 2020)</w:t>
      </w:r>
    </w:p>
    <w:p w14:paraId="60AC1CC5"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Conclusiones</w:t>
      </w:r>
    </w:p>
    <w:p w14:paraId="45D8ACC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brecha rural y urbana en Saber 11, 2020-2 es real y de una magnitud importante, pero no se debe a la ruralidad en sí, sino más bien el resultado de desventajas acumuladas, donde la mayor pobreza en el territorio, de colegios con estudiantes de menor nivel socioeconómico, en menor conectividad y más rezago escolar. Esto sugiere priorizar la conectividad rural y el fortalecimiento de los colegios oficiales rurales y focalizar en los departamentos con mayor proporción de bajo desempeño rural, como Vaupés. Guainía, Chocó, Amazonas y La Guajira.</w:t>
      </w:r>
    </w:p>
    <w:p w14:paraId="24680CE8"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Nuestros resultados muestran asociaciones, no efectos causales, si no corresponden y un año atípico por la pandemia y excluyen quienes abandonaron el colegio antes del grado 11, lo que podría subestimar la brecha. En la siguiente etapa profundizaremos la interpretación y la validación de estos resultados.</w:t>
      </w:r>
    </w:p>
    <w:p w14:paraId="46C3DAE0"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8.Bibliografia</w:t>
      </w:r>
    </w:p>
    <w:p w14:paraId="0F8C6858" w14:textId="77777777" w:rsidR="001A76CD" w:rsidRPr="001A76CD" w:rsidRDefault="001A76CD" w:rsidP="001A76CD">
      <w:pPr>
        <w:spacing w:line="360" w:lineRule="auto"/>
        <w:ind w:firstLine="720"/>
        <w:jc w:val="both"/>
        <w:rPr>
          <w:rFonts w:ascii="Times New Roman" w:hAnsi="Times New Roman" w:cs="Times New Roman"/>
          <w:sz w:val="24"/>
          <w:szCs w:val="24"/>
        </w:rPr>
      </w:pPr>
      <w:r w:rsidRPr="001A76CD">
        <w:rPr>
          <w:rFonts w:ascii="Times New Roman" w:hAnsi="Times New Roman" w:cs="Times New Roman"/>
          <w:sz w:val="24"/>
          <w:szCs w:val="24"/>
        </w:rPr>
        <w:t>Departamento Administrativo Nacional de Estadística (DANE). (2026). Pobreza multidimensional. https://www.dane.gov.co/index.php/estadisticas-por-tema/pobreza-y-condiciones-de-vida/pobreza-multidimensional</w:t>
      </w:r>
    </w:p>
    <w:p w14:paraId="188BBC75" w14:textId="77777777" w:rsidR="001A76CD" w:rsidRPr="001A76CD" w:rsidRDefault="001A76CD" w:rsidP="001A76CD">
      <w:pPr>
        <w:spacing w:line="360" w:lineRule="auto"/>
        <w:ind w:firstLine="720"/>
        <w:jc w:val="both"/>
        <w:rPr>
          <w:rFonts w:ascii="Times New Roman" w:hAnsi="Times New Roman" w:cs="Times New Roman"/>
          <w:sz w:val="24"/>
          <w:szCs w:val="24"/>
        </w:rPr>
      </w:pPr>
    </w:p>
    <w:p w14:paraId="62B09EDC" w14:textId="43C9943B" w:rsidR="00854C95" w:rsidRPr="001A76CD" w:rsidRDefault="001A76CD" w:rsidP="001A76CD">
      <w:pPr>
        <w:spacing w:line="360" w:lineRule="auto"/>
        <w:ind w:firstLine="720"/>
        <w:jc w:val="both"/>
        <w:rPr>
          <w:rFonts w:ascii="Times New Roman" w:hAnsi="Times New Roman" w:cs="Times New Roman"/>
          <w:sz w:val="24"/>
          <w:szCs w:val="24"/>
        </w:rPr>
      </w:pPr>
      <w:r w:rsidRPr="001A76CD">
        <w:rPr>
          <w:rFonts w:ascii="Times New Roman" w:hAnsi="Times New Roman" w:cs="Times New Roman"/>
          <w:sz w:val="24"/>
          <w:szCs w:val="24"/>
        </w:rPr>
        <w:t xml:space="preserve">Datos Abiertos Colombia. (s. f.). Puntaje global promedio Saber </w:t>
      </w:r>
      <w:proofErr w:type="gramStart"/>
      <w:r w:rsidRPr="001A76CD">
        <w:rPr>
          <w:rFonts w:ascii="Times New Roman" w:hAnsi="Times New Roman" w:cs="Times New Roman"/>
          <w:sz w:val="24"/>
          <w:szCs w:val="24"/>
        </w:rPr>
        <w:t>Pro 11</w:t>
      </w:r>
      <w:proofErr w:type="gramEnd"/>
      <w:r w:rsidRPr="001A76CD">
        <w:rPr>
          <w:rFonts w:ascii="Times New Roman" w:hAnsi="Times New Roman" w:cs="Times New Roman"/>
          <w:sz w:val="24"/>
          <w:szCs w:val="24"/>
        </w:rPr>
        <w:t xml:space="preserve"> 2020-2 por departamento </w:t>
      </w:r>
      <w:proofErr w:type="gramStart"/>
      <w:r w:rsidRPr="001A76CD">
        <w:rPr>
          <w:rFonts w:ascii="Times New Roman" w:hAnsi="Times New Roman" w:cs="Times New Roman"/>
          <w:sz w:val="24"/>
          <w:szCs w:val="24"/>
        </w:rPr>
        <w:t>en relación al</w:t>
      </w:r>
      <w:proofErr w:type="gramEnd"/>
      <w:r w:rsidRPr="001A76CD">
        <w:rPr>
          <w:rFonts w:ascii="Times New Roman" w:hAnsi="Times New Roman" w:cs="Times New Roman"/>
          <w:sz w:val="24"/>
          <w:szCs w:val="24"/>
        </w:rPr>
        <w:t xml:space="preserve"> género del colegio [Conjunto de datos]. https://www.datos.gov.co/Educaci-n/PUNTAJE-GLOBAL-PROMEDIO-SABER-PRO-11-2020-2-POR-DE/tagd-tfeb</w:t>
      </w:r>
    </w:p>
    <w:sectPr w:rsidR="00854C95" w:rsidRPr="001A76CD">
      <w:headerReference w:type="default" r:id="rId11"/>
      <w:headerReference w:type="first" r:id="rId12"/>
      <w:foot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C764" w14:textId="77777777" w:rsidR="00625DB0" w:rsidRDefault="00625DB0">
      <w:pPr>
        <w:spacing w:line="240" w:lineRule="auto"/>
      </w:pPr>
      <w:r>
        <w:separator/>
      </w:r>
    </w:p>
  </w:endnote>
  <w:endnote w:type="continuationSeparator" w:id="0">
    <w:p w14:paraId="17319A9C" w14:textId="77777777" w:rsidR="00625DB0" w:rsidRDefault="00625D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44883E-2D03-4D60-B48F-C75B2EEF18A6}"/>
  </w:font>
  <w:font w:name="Cambria">
    <w:panose1 w:val="02040503050406030204"/>
    <w:charset w:val="00"/>
    <w:family w:val="roman"/>
    <w:pitch w:val="variable"/>
    <w:sig w:usb0="E00006FF" w:usb1="420024FF" w:usb2="02000000" w:usb3="00000000" w:csb0="0000019F" w:csb1="00000000"/>
    <w:embedRegular r:id="rId2" w:fontKey="{468C870E-9A1A-4F7F-918F-9AEC4201E0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9DB9" w14:textId="77777777" w:rsidR="00854C95" w:rsidRDefault="00854C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3F6D" w14:textId="77777777" w:rsidR="00625DB0" w:rsidRDefault="00625DB0">
      <w:pPr>
        <w:spacing w:line="240" w:lineRule="auto"/>
      </w:pPr>
      <w:r>
        <w:separator/>
      </w:r>
    </w:p>
  </w:footnote>
  <w:footnote w:type="continuationSeparator" w:id="0">
    <w:p w14:paraId="14F0CC62" w14:textId="77777777" w:rsidR="00625DB0" w:rsidRDefault="00625D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6FB6" w14:textId="77777777" w:rsidR="00854C95" w:rsidRDefault="00854C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3720" w14:textId="77777777" w:rsidR="00854C95" w:rsidRDefault="00000000">
    <w:r>
      <w:rPr>
        <w:noProof/>
      </w:rPr>
      <w:drawing>
        <wp:inline distT="114300" distB="114300" distL="114300" distR="114300" wp14:anchorId="1CE23D5F" wp14:editId="2E591611">
          <wp:extent cx="1867091" cy="471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67091" cy="4714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C95"/>
    <w:rsid w:val="001A76CD"/>
    <w:rsid w:val="001C1287"/>
    <w:rsid w:val="002C098A"/>
    <w:rsid w:val="00625DB0"/>
    <w:rsid w:val="006D6313"/>
    <w:rsid w:val="00854C95"/>
    <w:rsid w:val="00A370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B0DC"/>
  <w15:docId w15:val="{B491B220-EB97-423A-8B07-EEE3EDCA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1517</Words>
  <Characters>8349</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Mariana Orozco Moreno</cp:lastModifiedBy>
  <cp:revision>2</cp:revision>
  <dcterms:created xsi:type="dcterms:W3CDTF">2026-09-30T18:14:00Z</dcterms:created>
  <dcterms:modified xsi:type="dcterms:W3CDTF">2026-09-30T18:14:00Z</dcterms:modified>
</cp:coreProperties>
</file>