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6FE3" w14:textId="77777777" w:rsidR="00854C95" w:rsidRDefault="00854C95">
      <w:pPr>
        <w:spacing w:before="240" w:after="240"/>
        <w:jc w:val="center"/>
        <w:rPr>
          <w:rFonts w:ascii="Times New Roman" w:eastAsia="Times New Roman" w:hAnsi="Times New Roman" w:cs="Times New Roman"/>
          <w:b/>
          <w:bCs/>
          <w:sz w:val="30"/>
          <w:szCs w:val="30"/>
        </w:rPr>
      </w:pPr>
    </w:p>
    <w:p w14:paraId="020625D8"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SEGUNDO AVANCE PROYECTO</w:t>
      </w:r>
    </w:p>
    <w:p w14:paraId="40E682CB"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66348FD8" w14:textId="77777777" w:rsidR="00854C95" w:rsidRDefault="00854C95">
      <w:pPr>
        <w:spacing w:before="240" w:after="240"/>
        <w:jc w:val="center"/>
        <w:rPr>
          <w:rFonts w:ascii="Times New Roman" w:eastAsia="Times New Roman" w:hAnsi="Times New Roman" w:cs="Times New Roman"/>
          <w:b/>
          <w:bCs/>
          <w:sz w:val="30"/>
          <w:szCs w:val="30"/>
        </w:rPr>
      </w:pPr>
    </w:p>
    <w:p w14:paraId="097F4A1B" w14:textId="77777777" w:rsidR="00854C95" w:rsidRDefault="00854C95">
      <w:pPr>
        <w:spacing w:before="240" w:after="240"/>
        <w:jc w:val="center"/>
        <w:rPr>
          <w:rFonts w:ascii="Times New Roman" w:eastAsia="Times New Roman" w:hAnsi="Times New Roman" w:cs="Times New Roman"/>
          <w:b/>
          <w:bCs/>
          <w:sz w:val="30"/>
          <w:szCs w:val="30"/>
        </w:rPr>
      </w:pPr>
    </w:p>
    <w:p w14:paraId="734AB237" w14:textId="77777777" w:rsidR="00854C95" w:rsidRDefault="00000000">
      <w:pPr>
        <w:spacing w:before="120" w:after="30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Brechas de Desempeño en las Pruebas Saber 11 año 2024 entre Zonas Rurales y Urbanas de Colombia: Identificación de Factores Explicativos mediante Aprendizaje Automático</w:t>
      </w:r>
    </w:p>
    <w:p w14:paraId="13A3E1F7"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 xml:space="preserve"> </w:t>
      </w:r>
    </w:p>
    <w:p w14:paraId="11208F7C" w14:textId="77777777" w:rsidR="00854C95" w:rsidRDefault="00000000">
      <w:pPr>
        <w:spacing w:line="360" w:lineRule="auto"/>
        <w:jc w:val="center"/>
        <w:rPr>
          <w:rFonts w:ascii="Times New Roman" w:eastAsia="Times New Roman" w:hAnsi="Times New Roman" w:cs="Times New Roman"/>
          <w:b/>
          <w:bCs/>
          <w:sz w:val="30"/>
          <w:szCs w:val="30"/>
        </w:rPr>
      </w:pPr>
      <w:r>
        <w:br/>
      </w:r>
      <w:r>
        <w:br/>
      </w:r>
      <w:r>
        <w:rPr>
          <w:rFonts w:ascii="Times New Roman" w:eastAsia="Times New Roman" w:hAnsi="Times New Roman" w:cs="Times New Roman"/>
          <w:b/>
          <w:bCs/>
          <w:sz w:val="30"/>
          <w:szCs w:val="30"/>
        </w:rPr>
        <w:t xml:space="preserve"> Juan Manuel Vellaizan</w:t>
      </w:r>
      <w:r>
        <w:rPr>
          <w:rFonts w:ascii="Times New Roman" w:eastAsia="Times New Roman" w:hAnsi="Times New Roman" w:cs="Times New Roman"/>
          <w:b/>
          <w:bCs/>
          <w:sz w:val="30"/>
          <w:szCs w:val="30"/>
        </w:rPr>
        <w:br/>
        <w:t xml:space="preserve"> María Paula Orozco</w:t>
      </w:r>
    </w:p>
    <w:p w14:paraId="292D37DA" w14:textId="77777777" w:rsidR="00854C95" w:rsidRDefault="00000000">
      <w:pPr>
        <w:spacing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Valery Nayuni Ccaulla</w:t>
      </w:r>
      <w:r>
        <w:rPr>
          <w:rFonts w:ascii="Times New Roman" w:eastAsia="Times New Roman" w:hAnsi="Times New Roman" w:cs="Times New Roman"/>
          <w:b/>
          <w:bCs/>
          <w:sz w:val="30"/>
          <w:szCs w:val="30"/>
        </w:rPr>
        <w:br/>
        <w:t xml:space="preserve"> Nicolas Orduña</w:t>
      </w:r>
    </w:p>
    <w:p w14:paraId="46C47BB0" w14:textId="77777777" w:rsidR="00854C95" w:rsidRDefault="00854C95">
      <w:pPr>
        <w:spacing w:after="240"/>
        <w:jc w:val="center"/>
        <w:rPr>
          <w:rFonts w:ascii="Times New Roman" w:eastAsia="Times New Roman" w:hAnsi="Times New Roman" w:cs="Times New Roman"/>
          <w:b/>
          <w:bCs/>
          <w:sz w:val="30"/>
          <w:szCs w:val="30"/>
        </w:rPr>
      </w:pPr>
    </w:p>
    <w:p w14:paraId="7AC9F270" w14:textId="77777777" w:rsidR="00854C95" w:rsidRDefault="00854C95">
      <w:pPr>
        <w:spacing w:before="240" w:after="240"/>
        <w:jc w:val="center"/>
        <w:rPr>
          <w:rFonts w:ascii="Times New Roman" w:eastAsia="Times New Roman" w:hAnsi="Times New Roman" w:cs="Times New Roman"/>
          <w:b/>
          <w:bCs/>
          <w:sz w:val="30"/>
          <w:szCs w:val="30"/>
        </w:rPr>
      </w:pPr>
    </w:p>
    <w:p w14:paraId="3066BB48" w14:textId="77777777" w:rsidR="00854C95" w:rsidRDefault="00854C95">
      <w:pPr>
        <w:spacing w:before="240" w:after="240"/>
        <w:rPr>
          <w:rFonts w:ascii="Times New Roman" w:eastAsia="Times New Roman" w:hAnsi="Times New Roman" w:cs="Times New Roman"/>
          <w:b/>
          <w:bCs/>
          <w:sz w:val="30"/>
          <w:szCs w:val="30"/>
        </w:rPr>
      </w:pPr>
    </w:p>
    <w:p w14:paraId="702B9816"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Universidad Externado de Colombia</w:t>
      </w:r>
    </w:p>
    <w:p w14:paraId="53768983"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05865ACF"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0E56601D" w14:textId="77777777" w:rsidR="00854C95"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Inteligencia Artificial 1</w:t>
      </w:r>
    </w:p>
    <w:p w14:paraId="22B1F2C2" w14:textId="77777777" w:rsidR="00854C95"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sz w:val="30"/>
          <w:szCs w:val="30"/>
        </w:rPr>
        <w:t>18/08/2026</w:t>
      </w:r>
    </w:p>
    <w:p w14:paraId="1FBAB520"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comparación de los resultados entre los estudiantes rurales y los urbanos en la prueba de Saber 11 es un insumo central que discute la equidad educativa en Colombia, En la primera entrega, planteamos identificar y cuantificar los factores asociados a esa diferencia.</w:t>
      </w:r>
    </w:p>
    <w:p w14:paraId="58C34C63"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nuestro segundo avance planteamos la construcción y la limpieza de la base de datos, la integramos con información del Departamento Administrativo de Estadística (DANE), donde exploramos la brecha. Nos planteamos la interrogativa: ¿Qué parte de la brecha rural y urbana en Saber 11 se explica por diferencias en las características de los estudiantes, de sus hogares, de sus colegios y de sus territorios?</w:t>
      </w:r>
    </w:p>
    <w:p w14:paraId="575661E8" w14:textId="17095ACB"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Planteamos el principal cambio respecto a la primera entrega en es el periodo donde trabajamos con los microdatos de las variables se mantienen, pero los resultados deben leerse en su contexto donde el examen se </w:t>
      </w:r>
      <w:r w:rsidR="001A76CD">
        <w:rPr>
          <w:rFonts w:ascii="Times New Roman" w:eastAsia="Times New Roman" w:hAnsi="Times New Roman" w:cs="Times New Roman"/>
          <w:sz w:val="24"/>
          <w:szCs w:val="24"/>
        </w:rPr>
        <w:t>aplicó</w:t>
      </w:r>
      <w:r>
        <w:rPr>
          <w:rFonts w:ascii="Times New Roman" w:eastAsia="Times New Roman" w:hAnsi="Times New Roman" w:cs="Times New Roman"/>
          <w:sz w:val="24"/>
          <w:szCs w:val="24"/>
        </w:rPr>
        <w:t xml:space="preserve"> en noviembre de 2020, tres meses de clases remotas por la pandemia, un periodo donde la evidencia internacional documenta perdida de aprendizaje (Engezell.et al.,2021).</w:t>
      </w:r>
    </w:p>
    <w:p w14:paraId="27F6E95C"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Datos: Fuentes e importaciones</w:t>
      </w:r>
    </w:p>
    <w:p w14:paraId="46632D5D" w14:textId="4C982D69"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Usamos las fuentes oficiales, donde la primera base fueron los microdatos del Instituto Colombiano para la Evaluación de la Educación (ICFES) para 2020-2 (ICFES, 2020), con 504.872 estudiantes y 81 variables, donde los puntajes por área, puntaje global, características del colegio y el cuestionario socioeconómico del hogar. La segunda es el anexo departamental de pobreza multidimensional del DANE (2026), BASADO en la Encuesta Nacional de Caribe de Vida, que reporta el Índice </w:t>
      </w:r>
      <w:proofErr w:type="spellStart"/>
      <w:r>
        <w:rPr>
          <w:rFonts w:ascii="Times New Roman" w:eastAsia="Times New Roman" w:hAnsi="Times New Roman" w:cs="Times New Roman"/>
          <w:sz w:val="24"/>
          <w:szCs w:val="24"/>
        </w:rPr>
        <w:t>e</w:t>
      </w:r>
      <w:proofErr w:type="spellEnd"/>
      <w:r>
        <w:rPr>
          <w:rFonts w:ascii="Times New Roman" w:eastAsia="Times New Roman" w:hAnsi="Times New Roman" w:cs="Times New Roman"/>
          <w:sz w:val="24"/>
          <w:szCs w:val="24"/>
        </w:rPr>
        <w:t xml:space="preserve"> Pobreza Multidimensional (IPM) de 2020 por separado para las cabeceras y para los centros poblados y rural disperso. El IPM se construye con la lógica de conteo de privaciones propuestas por Alkire y Foster (2011). </w:t>
      </w:r>
      <w:r w:rsidR="005016B1">
        <w:rPr>
          <w:rFonts w:ascii="Times New Roman" w:eastAsia="Times New Roman" w:hAnsi="Times New Roman" w:cs="Times New Roman"/>
          <w:sz w:val="24"/>
          <w:szCs w:val="24"/>
        </w:rPr>
        <w:t>P</w:t>
      </w:r>
      <w:r>
        <w:rPr>
          <w:rFonts w:ascii="Times New Roman" w:eastAsia="Times New Roman" w:hAnsi="Times New Roman" w:cs="Times New Roman"/>
          <w:sz w:val="24"/>
          <w:szCs w:val="24"/>
        </w:rPr>
        <w:t>or lo tanto, lo leímos fila por fila, guardando la columna como texto para no perder los ceros a la izquierda de los códigos DANE. Como control, el promedio del puntaje global de 248,35 coincide con la cifra oficial publicada por el ministerio de Educación Nacional (MEN, 2020), que es de 248.</w:t>
      </w:r>
    </w:p>
    <w:p w14:paraId="65D01270"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3.Limpieza y preparación de los datos</w:t>
      </w:r>
    </w:p>
    <w:p w14:paraId="7A6041BA"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 paso realizado de la limpieza respondió a un problema concreto, el efecto de cada filtro se resume en la Tabla 1. No hubo registros duplicados. Eliminamos los resultados en revisión jurídica, los estudiantes privados de la libertad y los puntajes globales iguales a cero, que indican ausencia o anulación. También separamos las jornadas sabatinas y nocturnas, que </w:t>
      </w:r>
      <w:r>
        <w:rPr>
          <w:rFonts w:ascii="Times New Roman" w:eastAsia="Times New Roman" w:hAnsi="Times New Roman" w:cs="Times New Roman"/>
          <w:sz w:val="24"/>
          <w:szCs w:val="24"/>
        </w:rPr>
        <w:lastRenderedPageBreak/>
        <w:t>corresponden a educación de adultos donde cerca del 59% presento con cedula y si siguen otro currículo.</w:t>
      </w:r>
    </w:p>
    <w:p w14:paraId="59C6841D" w14:textId="77777777" w:rsidR="00854C95"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1</w:t>
      </w:r>
    </w:p>
    <w:p w14:paraId="2FC73D01" w14:textId="77777777" w:rsidR="00854C95" w:rsidRDefault="00000000">
      <w:pPr>
        <w:spacing w:after="12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Flujo de limpieza de la base Saber 11 2020-2</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41"/>
        <w:gridCol w:w="1949"/>
        <w:gridCol w:w="1935"/>
      </w:tblGrid>
      <w:tr w:rsidR="00854C95" w14:paraId="101954AA" w14:textId="77777777">
        <w:trPr>
          <w:trHeight w:val="555"/>
        </w:trPr>
        <w:tc>
          <w:tcPr>
            <w:tcW w:w="5140" w:type="dxa"/>
            <w:tcBorders>
              <w:top w:val="single" w:sz="6" w:space="0" w:color="000000"/>
              <w:left w:val="nil"/>
              <w:bottom w:val="single" w:sz="6" w:space="0" w:color="000000"/>
              <w:right w:val="nil"/>
            </w:tcBorders>
            <w:tcMar>
              <w:top w:w="60" w:type="dxa"/>
              <w:left w:w="100" w:type="dxa"/>
              <w:bottom w:w="60" w:type="dxa"/>
              <w:right w:w="100" w:type="dxa"/>
            </w:tcMar>
          </w:tcPr>
          <w:p w14:paraId="097C1B7E" w14:textId="77777777" w:rsidR="00854C95"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Paso</w:t>
            </w:r>
          </w:p>
        </w:tc>
        <w:tc>
          <w:tcPr>
            <w:tcW w:w="1949" w:type="dxa"/>
            <w:tcBorders>
              <w:top w:val="single" w:sz="6" w:space="0" w:color="000000"/>
              <w:left w:val="nil"/>
              <w:bottom w:val="single" w:sz="6" w:space="0" w:color="000000"/>
              <w:right w:val="nil"/>
            </w:tcBorders>
            <w:tcMar>
              <w:top w:w="60" w:type="dxa"/>
              <w:left w:w="100" w:type="dxa"/>
              <w:bottom w:w="60" w:type="dxa"/>
              <w:right w:w="100" w:type="dxa"/>
            </w:tcMar>
          </w:tcPr>
          <w:p w14:paraId="7937793A" w14:textId="77777777" w:rsidR="00854C95"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Eliminados</w:t>
            </w:r>
          </w:p>
        </w:tc>
        <w:tc>
          <w:tcPr>
            <w:tcW w:w="1935" w:type="dxa"/>
            <w:tcBorders>
              <w:top w:val="single" w:sz="6" w:space="0" w:color="000000"/>
              <w:left w:val="nil"/>
              <w:bottom w:val="single" w:sz="6" w:space="0" w:color="000000"/>
              <w:right w:val="nil"/>
            </w:tcBorders>
            <w:tcMar>
              <w:top w:w="60" w:type="dxa"/>
              <w:left w:w="100" w:type="dxa"/>
              <w:bottom w:w="60" w:type="dxa"/>
              <w:right w:w="100" w:type="dxa"/>
            </w:tcMar>
          </w:tcPr>
          <w:p w14:paraId="603298B5" w14:textId="77777777" w:rsidR="00854C95"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Restantes</w:t>
            </w:r>
          </w:p>
        </w:tc>
      </w:tr>
      <w:tr w:rsidR="00854C95" w14:paraId="44E3AC7B" w14:textId="77777777">
        <w:trPr>
          <w:trHeight w:val="540"/>
        </w:trPr>
        <w:tc>
          <w:tcPr>
            <w:tcW w:w="5140" w:type="dxa"/>
            <w:tcBorders>
              <w:top w:val="nil"/>
              <w:left w:val="nil"/>
              <w:bottom w:val="nil"/>
              <w:right w:val="nil"/>
            </w:tcBorders>
            <w:tcMar>
              <w:top w:w="60" w:type="dxa"/>
              <w:left w:w="100" w:type="dxa"/>
              <w:bottom w:w="60" w:type="dxa"/>
              <w:right w:w="100" w:type="dxa"/>
            </w:tcMar>
          </w:tcPr>
          <w:p w14:paraId="36D1A95E"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Base original</w:t>
            </w:r>
          </w:p>
        </w:tc>
        <w:tc>
          <w:tcPr>
            <w:tcW w:w="1949" w:type="dxa"/>
            <w:tcBorders>
              <w:top w:val="nil"/>
              <w:left w:val="nil"/>
              <w:bottom w:val="nil"/>
              <w:right w:val="nil"/>
            </w:tcBorders>
            <w:tcMar>
              <w:top w:w="60" w:type="dxa"/>
              <w:left w:w="100" w:type="dxa"/>
              <w:bottom w:w="60" w:type="dxa"/>
              <w:right w:w="100" w:type="dxa"/>
            </w:tcMar>
          </w:tcPr>
          <w:p w14:paraId="245B4A0D"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w:t>
            </w:r>
          </w:p>
        </w:tc>
        <w:tc>
          <w:tcPr>
            <w:tcW w:w="1935" w:type="dxa"/>
            <w:tcBorders>
              <w:top w:val="nil"/>
              <w:left w:val="nil"/>
              <w:bottom w:val="nil"/>
              <w:right w:val="nil"/>
            </w:tcBorders>
            <w:tcMar>
              <w:top w:w="60" w:type="dxa"/>
              <w:left w:w="100" w:type="dxa"/>
              <w:bottom w:w="60" w:type="dxa"/>
              <w:right w:w="100" w:type="dxa"/>
            </w:tcMar>
          </w:tcPr>
          <w:p w14:paraId="5D349276"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504.872</w:t>
            </w:r>
          </w:p>
        </w:tc>
      </w:tr>
      <w:tr w:rsidR="00854C95" w14:paraId="7F6A2E45" w14:textId="77777777">
        <w:trPr>
          <w:trHeight w:val="540"/>
        </w:trPr>
        <w:tc>
          <w:tcPr>
            <w:tcW w:w="5140" w:type="dxa"/>
            <w:tcBorders>
              <w:top w:val="nil"/>
              <w:left w:val="nil"/>
              <w:bottom w:val="nil"/>
              <w:right w:val="nil"/>
            </w:tcBorders>
            <w:tcMar>
              <w:top w:w="60" w:type="dxa"/>
              <w:left w:w="100" w:type="dxa"/>
              <w:bottom w:w="60" w:type="dxa"/>
              <w:right w:w="100" w:type="dxa"/>
            </w:tcMar>
          </w:tcPr>
          <w:p w14:paraId="6D5CCEEF"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Resultados no publicados (revisión jurídica)</w:t>
            </w:r>
          </w:p>
        </w:tc>
        <w:tc>
          <w:tcPr>
            <w:tcW w:w="1949" w:type="dxa"/>
            <w:tcBorders>
              <w:top w:val="nil"/>
              <w:left w:val="nil"/>
              <w:bottom w:val="nil"/>
              <w:right w:val="nil"/>
            </w:tcBorders>
            <w:tcMar>
              <w:top w:w="60" w:type="dxa"/>
              <w:left w:w="100" w:type="dxa"/>
              <w:bottom w:w="60" w:type="dxa"/>
              <w:right w:w="100" w:type="dxa"/>
            </w:tcMar>
          </w:tcPr>
          <w:p w14:paraId="1C7BA861"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44</w:t>
            </w:r>
          </w:p>
        </w:tc>
        <w:tc>
          <w:tcPr>
            <w:tcW w:w="1935" w:type="dxa"/>
            <w:tcBorders>
              <w:top w:val="nil"/>
              <w:left w:val="nil"/>
              <w:bottom w:val="nil"/>
              <w:right w:val="nil"/>
            </w:tcBorders>
            <w:tcMar>
              <w:top w:w="60" w:type="dxa"/>
              <w:left w:w="100" w:type="dxa"/>
              <w:bottom w:w="60" w:type="dxa"/>
              <w:right w:w="100" w:type="dxa"/>
            </w:tcMar>
          </w:tcPr>
          <w:p w14:paraId="4EF746F6"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504.828</w:t>
            </w:r>
          </w:p>
        </w:tc>
      </w:tr>
      <w:tr w:rsidR="00854C95" w14:paraId="24613782" w14:textId="77777777">
        <w:trPr>
          <w:trHeight w:val="540"/>
        </w:trPr>
        <w:tc>
          <w:tcPr>
            <w:tcW w:w="5140" w:type="dxa"/>
            <w:tcBorders>
              <w:top w:val="nil"/>
              <w:left w:val="nil"/>
              <w:bottom w:val="nil"/>
              <w:right w:val="nil"/>
            </w:tcBorders>
            <w:tcMar>
              <w:top w:w="60" w:type="dxa"/>
              <w:left w:w="100" w:type="dxa"/>
              <w:bottom w:w="60" w:type="dxa"/>
              <w:right w:w="100" w:type="dxa"/>
            </w:tcMar>
          </w:tcPr>
          <w:p w14:paraId="277E0447"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Estudiantes privados de la libertad</w:t>
            </w:r>
          </w:p>
        </w:tc>
        <w:tc>
          <w:tcPr>
            <w:tcW w:w="1949" w:type="dxa"/>
            <w:tcBorders>
              <w:top w:val="nil"/>
              <w:left w:val="nil"/>
              <w:bottom w:val="nil"/>
              <w:right w:val="nil"/>
            </w:tcBorders>
            <w:tcMar>
              <w:top w:w="60" w:type="dxa"/>
              <w:left w:w="100" w:type="dxa"/>
              <w:bottom w:w="60" w:type="dxa"/>
              <w:right w:w="100" w:type="dxa"/>
            </w:tcMar>
          </w:tcPr>
          <w:p w14:paraId="2876F156"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152</w:t>
            </w:r>
          </w:p>
        </w:tc>
        <w:tc>
          <w:tcPr>
            <w:tcW w:w="1935" w:type="dxa"/>
            <w:tcBorders>
              <w:top w:val="nil"/>
              <w:left w:val="nil"/>
              <w:bottom w:val="nil"/>
              <w:right w:val="nil"/>
            </w:tcBorders>
            <w:tcMar>
              <w:top w:w="60" w:type="dxa"/>
              <w:left w:w="100" w:type="dxa"/>
              <w:bottom w:w="60" w:type="dxa"/>
              <w:right w:w="100" w:type="dxa"/>
            </w:tcMar>
          </w:tcPr>
          <w:p w14:paraId="7615260A"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504.676</w:t>
            </w:r>
          </w:p>
        </w:tc>
      </w:tr>
      <w:tr w:rsidR="00854C95" w14:paraId="7BE790A6" w14:textId="77777777">
        <w:trPr>
          <w:trHeight w:val="540"/>
        </w:trPr>
        <w:tc>
          <w:tcPr>
            <w:tcW w:w="5140" w:type="dxa"/>
            <w:tcBorders>
              <w:top w:val="nil"/>
              <w:left w:val="nil"/>
              <w:bottom w:val="nil"/>
              <w:right w:val="nil"/>
            </w:tcBorders>
            <w:tcMar>
              <w:top w:w="60" w:type="dxa"/>
              <w:left w:w="100" w:type="dxa"/>
              <w:bottom w:w="60" w:type="dxa"/>
              <w:right w:w="100" w:type="dxa"/>
            </w:tcMar>
          </w:tcPr>
          <w:p w14:paraId="409B4307"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Puntaje global igual a cero</w:t>
            </w:r>
          </w:p>
        </w:tc>
        <w:tc>
          <w:tcPr>
            <w:tcW w:w="1949" w:type="dxa"/>
            <w:tcBorders>
              <w:top w:val="nil"/>
              <w:left w:val="nil"/>
              <w:bottom w:val="nil"/>
              <w:right w:val="nil"/>
            </w:tcBorders>
            <w:tcMar>
              <w:top w:w="60" w:type="dxa"/>
              <w:left w:w="100" w:type="dxa"/>
              <w:bottom w:w="60" w:type="dxa"/>
              <w:right w:w="100" w:type="dxa"/>
            </w:tcMar>
          </w:tcPr>
          <w:p w14:paraId="1F67445A"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80</w:t>
            </w:r>
          </w:p>
        </w:tc>
        <w:tc>
          <w:tcPr>
            <w:tcW w:w="1935" w:type="dxa"/>
            <w:tcBorders>
              <w:top w:val="nil"/>
              <w:left w:val="nil"/>
              <w:bottom w:val="nil"/>
              <w:right w:val="nil"/>
            </w:tcBorders>
            <w:tcMar>
              <w:top w:w="60" w:type="dxa"/>
              <w:left w:w="100" w:type="dxa"/>
              <w:bottom w:w="60" w:type="dxa"/>
              <w:right w:w="100" w:type="dxa"/>
            </w:tcMar>
          </w:tcPr>
          <w:p w14:paraId="57B5FE3F"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504.596</w:t>
            </w:r>
          </w:p>
        </w:tc>
      </w:tr>
      <w:tr w:rsidR="00854C95" w14:paraId="3F84BEF1" w14:textId="77777777">
        <w:trPr>
          <w:trHeight w:val="540"/>
        </w:trPr>
        <w:tc>
          <w:tcPr>
            <w:tcW w:w="5140" w:type="dxa"/>
            <w:tcBorders>
              <w:top w:val="nil"/>
              <w:left w:val="nil"/>
              <w:bottom w:val="single" w:sz="6" w:space="0" w:color="000000"/>
              <w:right w:val="nil"/>
            </w:tcBorders>
            <w:tcMar>
              <w:top w:w="60" w:type="dxa"/>
              <w:left w:w="100" w:type="dxa"/>
              <w:bottom w:w="60" w:type="dxa"/>
              <w:right w:w="100" w:type="dxa"/>
            </w:tcMar>
          </w:tcPr>
          <w:p w14:paraId="7DA5215E"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Jornadas sabatina y nocturna (adultos)</w:t>
            </w:r>
          </w:p>
        </w:tc>
        <w:tc>
          <w:tcPr>
            <w:tcW w:w="1949" w:type="dxa"/>
            <w:tcBorders>
              <w:top w:val="nil"/>
              <w:left w:val="nil"/>
              <w:bottom w:val="single" w:sz="6" w:space="0" w:color="000000"/>
              <w:right w:val="nil"/>
            </w:tcBorders>
            <w:tcMar>
              <w:top w:w="60" w:type="dxa"/>
              <w:left w:w="100" w:type="dxa"/>
              <w:bottom w:w="60" w:type="dxa"/>
              <w:right w:w="100" w:type="dxa"/>
            </w:tcMar>
          </w:tcPr>
          <w:p w14:paraId="42FE1719"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45.689</w:t>
            </w:r>
          </w:p>
        </w:tc>
        <w:tc>
          <w:tcPr>
            <w:tcW w:w="1935" w:type="dxa"/>
            <w:tcBorders>
              <w:top w:val="nil"/>
              <w:left w:val="nil"/>
              <w:bottom w:val="single" w:sz="6" w:space="0" w:color="000000"/>
              <w:right w:val="nil"/>
            </w:tcBorders>
            <w:tcMar>
              <w:top w:w="60" w:type="dxa"/>
              <w:left w:w="100" w:type="dxa"/>
              <w:bottom w:w="60" w:type="dxa"/>
              <w:right w:w="100" w:type="dxa"/>
            </w:tcMar>
          </w:tcPr>
          <w:p w14:paraId="28C8EEFA" w14:textId="77777777" w:rsidR="00854C95"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458.907</w:t>
            </w:r>
          </w:p>
        </w:tc>
      </w:tr>
    </w:tbl>
    <w:p w14:paraId="629E0063" w14:textId="77777777" w:rsidR="00854C95" w:rsidRDefault="00000000">
      <w:pPr>
        <w:spacing w:after="240" w:line="36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Nota. Elaboración propia con microdatos del (ICFES, 2020).</w:t>
      </w:r>
    </w:p>
    <w:p w14:paraId="6281B1D3"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Analizando los datos faltantes la respuesta es baja cerca del 3% y encontramos similitudes entre zonas, entonces la tratamos en categorías propias, pues describe la situación real de muchos hogares rurales. Los 9.212 estudiantes sin cuestionario entran en la descripción, pero no en los modelos.</w:t>
      </w:r>
    </w:p>
    <w:p w14:paraId="248FE005"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los valores atípicos las 233 fechas de nacimiento imposibles pasaron a faltantes, los puntajes externos se conservaron porque son desempeños reales en una escala acotada.</w:t>
      </w:r>
    </w:p>
    <w:p w14:paraId="3E91D6AA" w14:textId="77777777" w:rsidR="00854C95" w:rsidRDefault="00000000" w:rsidP="00B954A5">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4.Integracion con el DANE e ingeniería de variables</w:t>
      </w:r>
    </w:p>
    <w:p w14:paraId="7DEA662B" w14:textId="77777777" w:rsidR="00B954A5" w:rsidRPr="00B954A5" w:rsidRDefault="00B954A5" w:rsidP="00B954A5">
      <w:pPr>
        <w:spacing w:after="160" w:line="360" w:lineRule="auto"/>
        <w:ind w:firstLine="720"/>
        <w:jc w:val="both"/>
        <w:rPr>
          <w:rFonts w:ascii="Times New Roman" w:eastAsia="Times New Roman" w:hAnsi="Times New Roman" w:cs="Times New Roman"/>
          <w:sz w:val="24"/>
          <w:szCs w:val="24"/>
          <w:lang w:val="es-CO"/>
        </w:rPr>
      </w:pPr>
      <w:r w:rsidRPr="00B954A5">
        <w:rPr>
          <w:rFonts w:ascii="Times New Roman" w:eastAsia="Times New Roman" w:hAnsi="Times New Roman" w:cs="Times New Roman"/>
          <w:sz w:val="24"/>
          <w:szCs w:val="24"/>
          <w:lang w:val="es-CO"/>
        </w:rPr>
        <w:t>A cada estudiante se le asignó el Índice de Pobreza Multidimensional (IPM) departamental correspondiente a su zona de residencia, diferenciando entre cabecera urbana y rural, mediante la unión por código DIVIPOLA. De esta manera, se logró emparejar al 100 % de los estudiantes. Para el caso de San Andrés, donde no se encontraba disponible el IPM rural para 2020, se utilizó el valor disponible para el territorio.</w:t>
      </w:r>
    </w:p>
    <w:p w14:paraId="245E7D5A" w14:textId="77777777" w:rsidR="00B954A5" w:rsidRPr="00B954A5" w:rsidRDefault="00B954A5" w:rsidP="00B954A5">
      <w:pPr>
        <w:spacing w:after="160" w:line="360" w:lineRule="auto"/>
        <w:ind w:firstLine="720"/>
        <w:jc w:val="both"/>
        <w:rPr>
          <w:rFonts w:ascii="Times New Roman" w:eastAsia="Times New Roman" w:hAnsi="Times New Roman" w:cs="Times New Roman"/>
          <w:sz w:val="24"/>
          <w:szCs w:val="24"/>
          <w:lang w:val="es-CO"/>
        </w:rPr>
      </w:pPr>
      <w:r w:rsidRPr="00B954A5">
        <w:rPr>
          <w:rFonts w:ascii="Times New Roman" w:eastAsia="Times New Roman" w:hAnsi="Times New Roman" w:cs="Times New Roman"/>
          <w:sz w:val="24"/>
          <w:szCs w:val="24"/>
          <w:lang w:val="es-CO"/>
        </w:rPr>
        <w:t xml:space="preserve">Posteriormente, se construyeron variables con relevancia económica y social para el análisis, entre ellas: edad, </w:t>
      </w:r>
      <w:proofErr w:type="spellStart"/>
      <w:r w:rsidRPr="00B954A5">
        <w:rPr>
          <w:rFonts w:ascii="Times New Roman" w:eastAsia="Times New Roman" w:hAnsi="Times New Roman" w:cs="Times New Roman"/>
          <w:sz w:val="24"/>
          <w:szCs w:val="24"/>
          <w:lang w:val="es-CO"/>
        </w:rPr>
        <w:t>extraedad</w:t>
      </w:r>
      <w:proofErr w:type="spellEnd"/>
      <w:r w:rsidRPr="00B954A5">
        <w:rPr>
          <w:rFonts w:ascii="Times New Roman" w:eastAsia="Times New Roman" w:hAnsi="Times New Roman" w:cs="Times New Roman"/>
          <w:sz w:val="24"/>
          <w:szCs w:val="24"/>
          <w:lang w:val="es-CO"/>
        </w:rPr>
        <w:t xml:space="preserve"> como aproximación a la repitencia, hacinamiento, índice de bienes del hogar, conectividad completa (acceso a internet y computador), máximo nivel educativo alcanzado por los padres, condición laboral del estudiante e IPM territorial.</w:t>
      </w:r>
    </w:p>
    <w:p w14:paraId="30936695" w14:textId="77777777" w:rsidR="00B954A5" w:rsidRDefault="00B954A5" w:rsidP="00B954A5">
      <w:pPr>
        <w:spacing w:after="160" w:line="360" w:lineRule="auto"/>
        <w:jc w:val="both"/>
        <w:rPr>
          <w:rFonts w:ascii="Times New Roman" w:eastAsia="Times New Roman" w:hAnsi="Times New Roman" w:cs="Times New Roman"/>
          <w:sz w:val="24"/>
          <w:szCs w:val="24"/>
        </w:rPr>
      </w:pPr>
    </w:p>
    <w:p w14:paraId="639DBBD5" w14:textId="2BD1F43C"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5.Estrategia Empírica</w:t>
      </w:r>
    </w:p>
    <w:p w14:paraId="7C8827C8" w14:textId="77777777" w:rsidR="007A34B5" w:rsidRPr="007A34B5" w:rsidRDefault="007A34B5" w:rsidP="007A34B5">
      <w:pPr>
        <w:spacing w:after="160" w:line="360" w:lineRule="auto"/>
        <w:ind w:firstLine="720"/>
        <w:jc w:val="both"/>
        <w:rPr>
          <w:rFonts w:ascii="Times New Roman" w:eastAsia="Times New Roman" w:hAnsi="Times New Roman" w:cs="Times New Roman"/>
          <w:sz w:val="24"/>
          <w:szCs w:val="24"/>
          <w:lang w:val="es-CO"/>
        </w:rPr>
      </w:pPr>
      <w:r w:rsidRPr="007A34B5">
        <w:rPr>
          <w:rFonts w:ascii="Times New Roman" w:eastAsia="Times New Roman" w:hAnsi="Times New Roman" w:cs="Times New Roman"/>
          <w:sz w:val="24"/>
          <w:szCs w:val="24"/>
          <w:lang w:val="es-CO"/>
        </w:rPr>
        <w:t>La estrategia empírica se desarrolla en dos etapas. En una primera etapa, se realiza un análisis exploratorio de los datos con el propósito de caracterizar las diferencias en el desempeño académico entre estudiantes de zonas rurales y urbanas. Para ello, se comparan el puntaje global y las principales características individuales, familiares y de los establecimientos educativos, identificando diferencias en variables como las condiciones socioeconómicas del hogar, el acceso a bienes y conectividad, el nivel educativo de los padres y las características del contexto territorial.</w:t>
      </w:r>
    </w:p>
    <w:p w14:paraId="0E6B22E3" w14:textId="77777777" w:rsidR="007A34B5" w:rsidRPr="007A34B5" w:rsidRDefault="007A34B5" w:rsidP="007A34B5">
      <w:pPr>
        <w:spacing w:after="160" w:line="360" w:lineRule="auto"/>
        <w:ind w:firstLine="720"/>
        <w:jc w:val="both"/>
        <w:rPr>
          <w:rFonts w:ascii="Times New Roman" w:eastAsia="Times New Roman" w:hAnsi="Times New Roman" w:cs="Times New Roman"/>
          <w:sz w:val="24"/>
          <w:szCs w:val="24"/>
          <w:lang w:val="es-CO"/>
        </w:rPr>
      </w:pPr>
      <w:r w:rsidRPr="007A34B5">
        <w:rPr>
          <w:rFonts w:ascii="Times New Roman" w:eastAsia="Times New Roman" w:hAnsi="Times New Roman" w:cs="Times New Roman"/>
          <w:sz w:val="24"/>
          <w:szCs w:val="24"/>
          <w:lang w:val="es-CO"/>
        </w:rPr>
        <w:t>En esta etapa también se analiza la distribución de los estudiantes y de las variables de interés según zona de residencia, así como la relación entre las condiciones socioeconómicas y territoriales y el desempeño académico. En particular, se incorpora el índice socioeconómico y el Índice de Pobreza Multidimensional (IPM) como medidas del contexto en el que se desenvuelven los estudiantes. Estas comparaciones permiten establecer si las diferencias observadas entre zonas rurales y urbanas están acompañadas por brechas en las condiciones económicas, familiares y territoriales.</w:t>
      </w:r>
    </w:p>
    <w:p w14:paraId="3F26226D" w14:textId="77777777" w:rsidR="007A34B5" w:rsidRPr="007A34B5" w:rsidRDefault="007A34B5" w:rsidP="007A34B5">
      <w:pPr>
        <w:spacing w:after="160" w:line="360" w:lineRule="auto"/>
        <w:ind w:firstLine="720"/>
        <w:jc w:val="both"/>
        <w:rPr>
          <w:rFonts w:ascii="Times New Roman" w:eastAsia="Times New Roman" w:hAnsi="Times New Roman" w:cs="Times New Roman"/>
          <w:sz w:val="24"/>
          <w:szCs w:val="24"/>
          <w:lang w:val="es-CO"/>
        </w:rPr>
      </w:pPr>
      <w:r w:rsidRPr="007A34B5">
        <w:rPr>
          <w:rFonts w:ascii="Times New Roman" w:eastAsia="Times New Roman" w:hAnsi="Times New Roman" w:cs="Times New Roman"/>
          <w:sz w:val="24"/>
          <w:szCs w:val="24"/>
          <w:lang w:val="es-CO"/>
        </w:rPr>
        <w:t>En una segunda etapa, las variables construidas se incorporan al análisis econométrico con el fin de estudiar la relación entre la ruralidad y el desempeño académico, teniendo en cuenta simultáneamente las características observables de los estudiantes, sus hogares, los establecimientos educativos y el contexto territorial. De esta manera, la estrategia busca pasar de una descripción inicial de las brechas a un análisis que permita evaluar en qué medida estas diferencias se relacionan con las distintas condiciones socioeconómicas y territoriales de los estudiantes.</w:t>
      </w:r>
    </w:p>
    <w:p w14:paraId="6BF78E9C"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Resultados</w:t>
      </w:r>
    </w:p>
    <w:p w14:paraId="1326E545"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Análisis exploratorio</w:t>
      </w:r>
    </w:p>
    <w:p w14:paraId="56363F70"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observa en la Figura 1 que los estudiantes urbanos obtienen en promedio 256.9 puntos y los rurales 228,6 en una brecha de 28.3 puntos, 0.6 desviaciones estándar. Por otro lado, aparece en las 5 áreas entre 4.9 y 6.2 puntos sobre 100, así que es un regazo general y no de una asignatura.</w:t>
      </w:r>
    </w:p>
    <w:p w14:paraId="7A2C8E71" w14:textId="77777777" w:rsidR="00854C95" w:rsidRDefault="00854C95">
      <w:pPr>
        <w:spacing w:after="160" w:line="360" w:lineRule="auto"/>
        <w:ind w:firstLine="720"/>
        <w:jc w:val="both"/>
        <w:rPr>
          <w:rFonts w:ascii="Times New Roman" w:eastAsia="Times New Roman" w:hAnsi="Times New Roman" w:cs="Times New Roman"/>
          <w:sz w:val="24"/>
          <w:szCs w:val="24"/>
        </w:rPr>
      </w:pPr>
    </w:p>
    <w:p w14:paraId="1A616E54"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Figura 1</w:t>
      </w:r>
    </w:p>
    <w:p w14:paraId="26D247F0"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Distribución del puntaje global por Zona</w:t>
      </w:r>
    </w:p>
    <w:p w14:paraId="6C1E773C" w14:textId="77777777" w:rsidR="00854C95"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CB55CF" wp14:editId="0FA7B1A8">
            <wp:extent cx="4483100" cy="2692400"/>
            <wp:effectExtent l="0" t="0" r="0" b="0"/>
            <wp:docPr id="2" name="image5.png" descr="Título: Figura 1 - Descripción: Distribución del puntaje global por zona"/>
            <wp:cNvGraphicFramePr/>
            <a:graphic xmlns:a="http://schemas.openxmlformats.org/drawingml/2006/main">
              <a:graphicData uri="http://schemas.openxmlformats.org/drawingml/2006/picture">
                <pic:pic xmlns:pic="http://schemas.openxmlformats.org/drawingml/2006/picture">
                  <pic:nvPicPr>
                    <pic:cNvPr id="0" name="image5.png" descr="Título: Figura 1 - Descripción: Distribución del puntaje global por zona"/>
                    <pic:cNvPicPr preferRelativeResize="0"/>
                  </pic:nvPicPr>
                  <pic:blipFill>
                    <a:blip r:embed="rId6"/>
                    <a:srcRect/>
                    <a:stretch>
                      <a:fillRect/>
                    </a:stretch>
                  </pic:blipFill>
                  <pic:spPr>
                    <a:xfrm>
                      <a:off x="0" y="0"/>
                      <a:ext cx="4483100" cy="2692400"/>
                    </a:xfrm>
                    <a:prstGeom prst="rect">
                      <a:avLst/>
                    </a:prstGeom>
                    <a:ln/>
                  </pic:spPr>
                </pic:pic>
              </a:graphicData>
            </a:graphic>
          </wp:inline>
        </w:drawing>
      </w:r>
    </w:p>
    <w:p w14:paraId="67D129B6" w14:textId="77777777" w:rsidR="00854C95" w:rsidRDefault="00000000">
      <w:pPr>
        <w:spacing w:after="160" w:line="36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Nota: Elaboración propia con microdatos del (ICFES, 2020)</w:t>
      </w:r>
    </w:p>
    <w:p w14:paraId="5E3A2121"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2 nos sugiere que la ruralidad no explica esta diferencia, ya que en los colegios no oficiales no rurales con 291,5, superan a los urbanos 278,3, y la brecha se concentra en el sector oficial de 249,9 frente a 224,6. Pesa más que colegios y que población que hay en cada zona que la ubicación en sí.</w:t>
      </w:r>
    </w:p>
    <w:p w14:paraId="7715CC0C"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2</w:t>
      </w:r>
    </w:p>
    <w:p w14:paraId="1A41D921"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Puntaje global por naturaleza del colegio</w:t>
      </w:r>
    </w:p>
    <w:p w14:paraId="6B3388B3" w14:textId="77777777" w:rsidR="00854C95"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572A23" wp14:editId="3DF84BB8">
            <wp:extent cx="4483100" cy="2159000"/>
            <wp:effectExtent l="0" t="0" r="0" b="0"/>
            <wp:docPr id="4" name="image4.png" descr="Título: Figura 2 - Descripción: Puntaje global por naturaleza del colegio y zona"/>
            <wp:cNvGraphicFramePr/>
            <a:graphic xmlns:a="http://schemas.openxmlformats.org/drawingml/2006/main">
              <a:graphicData uri="http://schemas.openxmlformats.org/drawingml/2006/picture">
                <pic:pic xmlns:pic="http://schemas.openxmlformats.org/drawingml/2006/picture">
                  <pic:nvPicPr>
                    <pic:cNvPr id="0" name="image4.png" descr="Título: Figura 2 - Descripción: Puntaje global por naturaleza del colegio y zona"/>
                    <pic:cNvPicPr preferRelativeResize="0"/>
                  </pic:nvPicPr>
                  <pic:blipFill>
                    <a:blip r:embed="rId7"/>
                    <a:srcRect/>
                    <a:stretch>
                      <a:fillRect/>
                    </a:stretch>
                  </pic:blipFill>
                  <pic:spPr>
                    <a:xfrm>
                      <a:off x="0" y="0"/>
                      <a:ext cx="4483100" cy="2159000"/>
                    </a:xfrm>
                    <a:prstGeom prst="rect">
                      <a:avLst/>
                    </a:prstGeom>
                    <a:ln/>
                  </pic:spPr>
                </pic:pic>
              </a:graphicData>
            </a:graphic>
          </wp:inline>
        </w:drawing>
      </w:r>
    </w:p>
    <w:p w14:paraId="33102055" w14:textId="77777777" w:rsidR="00854C95" w:rsidRDefault="00000000">
      <w:pPr>
        <w:spacing w:after="16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Nota: Elaboración propia con microdatos del (ICFES, 2020)</w:t>
      </w:r>
    </w:p>
    <w:p w14:paraId="0CB52689"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 diferencias de composición son grandes, en la figura 3, solo el 37% de los estudiantes rurales tienen internet en casa, frente al 76% de los urbanos; en el 45% de los hogares rurales la madre tiene como máximo primaria un 20% en los urbanos y finalmente un 53% de los estudiantes rurales trabaja a diferencia del 33% de los urbanos. En un año de clases remotas, la conectividad es un canal especialmente relevante.</w:t>
      </w:r>
    </w:p>
    <w:p w14:paraId="1C941E74"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3</w:t>
      </w:r>
    </w:p>
    <w:p w14:paraId="796102F5"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 de los estudiantes y hogares por Zona</w:t>
      </w:r>
    </w:p>
    <w:p w14:paraId="19BB6166" w14:textId="77777777" w:rsidR="00854C95"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797DA4DC" wp14:editId="642A9603">
            <wp:extent cx="4483100" cy="2578100"/>
            <wp:effectExtent l="0" t="0" r="0" b="0"/>
            <wp:docPr id="6" name="image6.png" descr="Título: Figura 3 - Descripción: Características de estudiantes y hogares por zona"/>
            <wp:cNvGraphicFramePr/>
            <a:graphic xmlns:a="http://schemas.openxmlformats.org/drawingml/2006/main">
              <a:graphicData uri="http://schemas.openxmlformats.org/drawingml/2006/picture">
                <pic:pic xmlns:pic="http://schemas.openxmlformats.org/drawingml/2006/picture">
                  <pic:nvPicPr>
                    <pic:cNvPr id="0" name="image6.png" descr="Título: Figura 3 - Descripción: Características de estudiantes y hogares por zona"/>
                    <pic:cNvPicPr preferRelativeResize="0"/>
                  </pic:nvPicPr>
                  <pic:blipFill>
                    <a:blip r:embed="rId8"/>
                    <a:srcRect/>
                    <a:stretch>
                      <a:fillRect/>
                    </a:stretch>
                  </pic:blipFill>
                  <pic:spPr>
                    <a:xfrm>
                      <a:off x="0" y="0"/>
                      <a:ext cx="4483100" cy="2578100"/>
                    </a:xfrm>
                    <a:prstGeom prst="rect">
                      <a:avLst/>
                    </a:prstGeom>
                    <a:ln/>
                  </pic:spPr>
                </pic:pic>
              </a:graphicData>
            </a:graphic>
          </wp:inline>
        </w:drawing>
      </w:r>
    </w:p>
    <w:p w14:paraId="44944B37" w14:textId="77777777" w:rsidR="00854C95" w:rsidRDefault="00000000">
      <w:pPr>
        <w:spacing w:after="160" w:line="36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Nota: Elaboración propia con microdatos de (ICFES, 2020)</w:t>
      </w:r>
    </w:p>
    <w:p w14:paraId="08164990" w14:textId="3F59D14B"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Observamos en la figura 4 que </w:t>
      </w:r>
      <w:r w:rsidR="00A65BF3">
        <w:rPr>
          <w:rFonts w:ascii="Times New Roman" w:eastAsia="Times New Roman" w:hAnsi="Times New Roman" w:cs="Times New Roman"/>
          <w:sz w:val="24"/>
          <w:szCs w:val="24"/>
        </w:rPr>
        <w:t>los estudiantes del nivel socioeconómico similar de la brecha caen</w:t>
      </w:r>
      <w:r>
        <w:rPr>
          <w:rFonts w:ascii="Times New Roman" w:eastAsia="Times New Roman" w:hAnsi="Times New Roman" w:cs="Times New Roman"/>
          <w:sz w:val="24"/>
          <w:szCs w:val="24"/>
        </w:rPr>
        <w:t xml:space="preserve"> a la mitad, dentro de un mismo decil del índice socioeconómico del ICFES es de 13,2 puntos en promedio, y en el decil más alto desaparece.</w:t>
      </w:r>
    </w:p>
    <w:p w14:paraId="5A10BEDA"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4</w:t>
      </w:r>
    </w:p>
    <w:p w14:paraId="4F768B1C"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Puntaje global por decil del índice socioeconómico y por zona</w:t>
      </w:r>
    </w:p>
    <w:p w14:paraId="11C389D1" w14:textId="77777777" w:rsidR="00854C95"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0C9E84D" wp14:editId="6CE1AB6F">
            <wp:extent cx="4483100" cy="2768600"/>
            <wp:effectExtent l="0" t="0" r="0" b="0"/>
            <wp:docPr id="3" name="image2.png" descr="Título: Figura 4 - Descripción: Puntaje global por decil del índice socioeconómico y zona"/>
            <wp:cNvGraphicFramePr/>
            <a:graphic xmlns:a="http://schemas.openxmlformats.org/drawingml/2006/main">
              <a:graphicData uri="http://schemas.openxmlformats.org/drawingml/2006/picture">
                <pic:pic xmlns:pic="http://schemas.openxmlformats.org/drawingml/2006/picture">
                  <pic:nvPicPr>
                    <pic:cNvPr id="0" name="image2.png" descr="Título: Figura 4 - Descripción: Puntaje global por decil del índice socioeconómico y zona"/>
                    <pic:cNvPicPr preferRelativeResize="0"/>
                  </pic:nvPicPr>
                  <pic:blipFill>
                    <a:blip r:embed="rId9"/>
                    <a:srcRect/>
                    <a:stretch>
                      <a:fillRect/>
                    </a:stretch>
                  </pic:blipFill>
                  <pic:spPr>
                    <a:xfrm>
                      <a:off x="0" y="0"/>
                      <a:ext cx="4483100" cy="2768600"/>
                    </a:xfrm>
                    <a:prstGeom prst="rect">
                      <a:avLst/>
                    </a:prstGeom>
                    <a:ln/>
                  </pic:spPr>
                </pic:pic>
              </a:graphicData>
            </a:graphic>
          </wp:inline>
        </w:drawing>
      </w:r>
    </w:p>
    <w:p w14:paraId="158AC5D5" w14:textId="77777777" w:rsidR="00854C95" w:rsidRDefault="00000000">
      <w:pPr>
        <w:spacing w:after="160" w:line="360" w:lineRule="auto"/>
        <w:ind w:firstLine="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Nota: Elaboración propia con microdatos del (ICFES, 2020)</w:t>
      </w:r>
    </w:p>
    <w:p w14:paraId="07D44AFC"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esta figura observamos que el territorio también cuenta, entre los 66 contextos de departamentos y por zona, la correlación entre el IPM (DANE, 2026) donde el puntaje promedio es de -0,85, cada punto porcentual adicional de pobreza multidimensionales asocia con cerca de 1,2 puntos menos en el puntaje.</w:t>
      </w:r>
    </w:p>
    <w:p w14:paraId="764D4769"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5</w:t>
      </w:r>
    </w:p>
    <w:p w14:paraId="0DB98B3F"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Pobreza multidimensional del territorio y puntaje promedio</w:t>
      </w:r>
    </w:p>
    <w:p w14:paraId="221FAC5B" w14:textId="77777777" w:rsidR="00854C95"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7ABCE2" wp14:editId="07ACF1D0">
            <wp:extent cx="4483100" cy="2362200"/>
            <wp:effectExtent l="0" t="0" r="0" b="0"/>
            <wp:docPr id="5" name="image3.png" descr="Título: Figura 5 - Descripción: Pobreza multidimensional del territorio y puntaje promedio"/>
            <wp:cNvGraphicFramePr/>
            <a:graphic xmlns:a="http://schemas.openxmlformats.org/drawingml/2006/main">
              <a:graphicData uri="http://schemas.openxmlformats.org/drawingml/2006/picture">
                <pic:pic xmlns:pic="http://schemas.openxmlformats.org/drawingml/2006/picture">
                  <pic:nvPicPr>
                    <pic:cNvPr id="0" name="image3.png" descr="Título: Figura 5 - Descripción: Pobreza multidimensional del territorio y puntaje promedio"/>
                    <pic:cNvPicPr preferRelativeResize="0"/>
                  </pic:nvPicPr>
                  <pic:blipFill>
                    <a:blip r:embed="rId10"/>
                    <a:srcRect/>
                    <a:stretch>
                      <a:fillRect/>
                    </a:stretch>
                  </pic:blipFill>
                  <pic:spPr>
                    <a:xfrm>
                      <a:off x="0" y="0"/>
                      <a:ext cx="4483100" cy="2362200"/>
                    </a:xfrm>
                    <a:prstGeom prst="rect">
                      <a:avLst/>
                    </a:prstGeom>
                    <a:ln/>
                  </pic:spPr>
                </pic:pic>
              </a:graphicData>
            </a:graphic>
          </wp:inline>
        </w:drawing>
      </w:r>
    </w:p>
    <w:p w14:paraId="3423E8F0" w14:textId="77777777" w:rsidR="00854C95" w:rsidRDefault="00000000">
      <w:pPr>
        <w:spacing w:after="160" w:line="360" w:lineRule="auto"/>
        <w:jc w:val="both"/>
        <w:rPr>
          <w:rFonts w:ascii="Times New Roman" w:eastAsia="Times New Roman" w:hAnsi="Times New Roman" w:cs="Times New Roman"/>
          <w:i/>
          <w:iCs/>
        </w:rPr>
      </w:pPr>
      <w:r>
        <w:rPr>
          <w:rFonts w:ascii="Times New Roman" w:eastAsia="Times New Roman" w:hAnsi="Times New Roman" w:cs="Times New Roman"/>
          <w:i/>
          <w:iCs/>
        </w:rPr>
        <w:t>Nota: Elaboración propia con microdatos del (ICFES, 2020)</w:t>
      </w:r>
    </w:p>
    <w:p w14:paraId="7ED95685" w14:textId="62C5FAF3" w:rsidR="00A65BF3" w:rsidRPr="007A34B5" w:rsidRDefault="00A65BF3" w:rsidP="00A65BF3">
      <w:pPr>
        <w:spacing w:after="160" w:line="360" w:lineRule="auto"/>
        <w:ind w:firstLine="720"/>
        <w:jc w:val="both"/>
        <w:rPr>
          <w:rFonts w:ascii="Times New Roman" w:eastAsia="Times New Roman" w:hAnsi="Times New Roman" w:cs="Times New Roman"/>
          <w:sz w:val="24"/>
          <w:szCs w:val="24"/>
        </w:rPr>
      </w:pPr>
      <w:r w:rsidRPr="007A34B5">
        <w:rPr>
          <w:rFonts w:ascii="Times New Roman" w:eastAsia="Times New Roman" w:hAnsi="Times New Roman" w:cs="Times New Roman"/>
          <w:sz w:val="24"/>
          <w:szCs w:val="24"/>
        </w:rPr>
        <w:t xml:space="preserve">En esta figura se observa una relación negativa entre la pobreza multidimensional del territorio y el puntaje global de Saber 11. Entre los 66 contextos de departamento y zona analizados, la correlación es de -0,85, lo que indica que los territorios con mayores niveles de </w:t>
      </w:r>
      <w:r w:rsidRPr="007A34B5">
        <w:rPr>
          <w:rFonts w:ascii="Times New Roman" w:eastAsia="Times New Roman" w:hAnsi="Times New Roman" w:cs="Times New Roman"/>
          <w:sz w:val="24"/>
          <w:szCs w:val="24"/>
        </w:rPr>
        <w:lastRenderedPageBreak/>
        <w:t>pobreza multidimensional presentan, en promedio, menores puntajes. La pendiente estimada muestra que un aumento de un punto porcentual en el IPM se asocia con aproximadamente 1,2 puntos menos en el puntaje global.</w:t>
      </w:r>
    </w:p>
    <w:p w14:paraId="02A3482A" w14:textId="77777777" w:rsidR="00A65BF3" w:rsidRDefault="00A65BF3">
      <w:pPr>
        <w:spacing w:after="160" w:line="360" w:lineRule="auto"/>
        <w:jc w:val="both"/>
        <w:rPr>
          <w:rFonts w:ascii="Times New Roman" w:eastAsia="Times New Roman" w:hAnsi="Times New Roman" w:cs="Times New Roman"/>
          <w:i/>
          <w:iCs/>
        </w:rPr>
      </w:pPr>
    </w:p>
    <w:p w14:paraId="60AC1CC5"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Conclusiones</w:t>
      </w:r>
    </w:p>
    <w:p w14:paraId="45D8ACC0"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brecha rural y urbana en Saber 11, 2020-2 es real y de una magnitud importante, pero no se debe a la ruralidad en sí, sino más bien el resultado de desventajas acumuladas, donde la mayor pobreza en el territorio, de colegios con estudiantes de menor nivel socioeconómico, en menor conectividad y más rezago escolar. Esto sugiere priorizar la conectividad rural y el fortalecimiento de los colegios oficiales rurales y focalizar en los departamentos con mayor proporción de bajo desempeño rural, como Vaupés. Guainía, Chocó, Amazonas y La Guajira.</w:t>
      </w:r>
    </w:p>
    <w:p w14:paraId="24680CE8" w14:textId="77777777" w:rsidR="00854C9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Nuestros resultados muestran asociaciones, no efectos causales, si no corresponden y un año atípico por la pandemia y excluyen quienes abandonaron el colegio antes del grado 11, lo que podría subestimar la brecha. En la siguiente etapa profundizaremos la interpretación y la validación de estos resultados.</w:t>
      </w:r>
    </w:p>
    <w:p w14:paraId="46C3DAE0" w14:textId="77777777" w:rsidR="00854C95" w:rsidRDefault="00000000">
      <w:pPr>
        <w:spacing w:after="16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8.Bibliografia</w:t>
      </w:r>
    </w:p>
    <w:p w14:paraId="0F8C6858" w14:textId="77777777" w:rsidR="001A76CD" w:rsidRPr="001A76CD" w:rsidRDefault="001A76CD" w:rsidP="001A76CD">
      <w:pPr>
        <w:spacing w:line="360" w:lineRule="auto"/>
        <w:ind w:firstLine="720"/>
        <w:jc w:val="both"/>
        <w:rPr>
          <w:rFonts w:ascii="Times New Roman" w:hAnsi="Times New Roman" w:cs="Times New Roman"/>
          <w:sz w:val="24"/>
          <w:szCs w:val="24"/>
        </w:rPr>
      </w:pPr>
      <w:r w:rsidRPr="001A76CD">
        <w:rPr>
          <w:rFonts w:ascii="Times New Roman" w:hAnsi="Times New Roman" w:cs="Times New Roman"/>
          <w:sz w:val="24"/>
          <w:szCs w:val="24"/>
        </w:rPr>
        <w:t>Departamento Administrativo Nacional de Estadística (DANE). (2026). Pobreza multidimensional. https://www.dane.gov.co/index.php/estadisticas-por-tema/pobreza-y-condiciones-de-vida/pobreza-multidimensional</w:t>
      </w:r>
    </w:p>
    <w:p w14:paraId="188BBC75" w14:textId="77777777" w:rsidR="001A76CD" w:rsidRPr="001A76CD" w:rsidRDefault="001A76CD" w:rsidP="001A76CD">
      <w:pPr>
        <w:spacing w:line="360" w:lineRule="auto"/>
        <w:ind w:firstLine="720"/>
        <w:jc w:val="both"/>
        <w:rPr>
          <w:rFonts w:ascii="Times New Roman" w:hAnsi="Times New Roman" w:cs="Times New Roman"/>
          <w:sz w:val="24"/>
          <w:szCs w:val="24"/>
        </w:rPr>
      </w:pPr>
    </w:p>
    <w:p w14:paraId="62B09EDC" w14:textId="43C9943B" w:rsidR="00854C95" w:rsidRPr="001A76CD" w:rsidRDefault="001A76CD" w:rsidP="001A76CD">
      <w:pPr>
        <w:spacing w:line="360" w:lineRule="auto"/>
        <w:ind w:firstLine="720"/>
        <w:jc w:val="both"/>
        <w:rPr>
          <w:rFonts w:ascii="Times New Roman" w:hAnsi="Times New Roman" w:cs="Times New Roman"/>
          <w:sz w:val="24"/>
          <w:szCs w:val="24"/>
        </w:rPr>
      </w:pPr>
      <w:r w:rsidRPr="001A76CD">
        <w:rPr>
          <w:rFonts w:ascii="Times New Roman" w:hAnsi="Times New Roman" w:cs="Times New Roman"/>
          <w:sz w:val="24"/>
          <w:szCs w:val="24"/>
        </w:rPr>
        <w:t xml:space="preserve">Datos Abiertos Colombia. (s. f.). Puntaje global promedio Saber </w:t>
      </w:r>
      <w:proofErr w:type="gramStart"/>
      <w:r w:rsidRPr="001A76CD">
        <w:rPr>
          <w:rFonts w:ascii="Times New Roman" w:hAnsi="Times New Roman" w:cs="Times New Roman"/>
          <w:sz w:val="24"/>
          <w:szCs w:val="24"/>
        </w:rPr>
        <w:t>Pro 11</w:t>
      </w:r>
      <w:proofErr w:type="gramEnd"/>
      <w:r w:rsidRPr="001A76CD">
        <w:rPr>
          <w:rFonts w:ascii="Times New Roman" w:hAnsi="Times New Roman" w:cs="Times New Roman"/>
          <w:sz w:val="24"/>
          <w:szCs w:val="24"/>
        </w:rPr>
        <w:t xml:space="preserve"> 2020-2 por departamento </w:t>
      </w:r>
      <w:proofErr w:type="gramStart"/>
      <w:r w:rsidRPr="001A76CD">
        <w:rPr>
          <w:rFonts w:ascii="Times New Roman" w:hAnsi="Times New Roman" w:cs="Times New Roman"/>
          <w:sz w:val="24"/>
          <w:szCs w:val="24"/>
        </w:rPr>
        <w:t>en relación al</w:t>
      </w:r>
      <w:proofErr w:type="gramEnd"/>
      <w:r w:rsidRPr="001A76CD">
        <w:rPr>
          <w:rFonts w:ascii="Times New Roman" w:hAnsi="Times New Roman" w:cs="Times New Roman"/>
          <w:sz w:val="24"/>
          <w:szCs w:val="24"/>
        </w:rPr>
        <w:t xml:space="preserve"> género del colegio [Conjunto de datos]. https://www.datos.gov.co/Educaci-n/PUNTAJE-GLOBAL-PROMEDIO-SABER-PRO-11-2020-2-POR-DE/tagd-tfeb</w:t>
      </w:r>
    </w:p>
    <w:sectPr w:rsidR="00854C95" w:rsidRPr="001A76CD">
      <w:headerReference w:type="default" r:id="rId11"/>
      <w:headerReference w:type="first" r:id="rId12"/>
      <w:footerReference w:type="first" r:id="rId1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0D229" w14:textId="77777777" w:rsidR="00F81588" w:rsidRDefault="00F81588">
      <w:pPr>
        <w:spacing w:line="240" w:lineRule="auto"/>
      </w:pPr>
      <w:r>
        <w:separator/>
      </w:r>
    </w:p>
  </w:endnote>
  <w:endnote w:type="continuationSeparator" w:id="0">
    <w:p w14:paraId="78B2C374" w14:textId="77777777" w:rsidR="00F81588" w:rsidRDefault="00F81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8EF416-B612-452F-87DF-6CEEAECE31C4}"/>
  </w:font>
  <w:font w:name="Cambria">
    <w:panose1 w:val="02040503050406030204"/>
    <w:charset w:val="00"/>
    <w:family w:val="roman"/>
    <w:pitch w:val="variable"/>
    <w:sig w:usb0="E00006FF" w:usb1="420024FF" w:usb2="02000000" w:usb3="00000000" w:csb0="0000019F" w:csb1="00000000"/>
    <w:embedRegular r:id="rId2" w:fontKey="{E22F3F92-C3C2-4C00-8C72-1121BDC719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9DB9" w14:textId="77777777" w:rsidR="00854C95" w:rsidRDefault="00854C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9B845" w14:textId="77777777" w:rsidR="00F81588" w:rsidRDefault="00F81588">
      <w:pPr>
        <w:spacing w:line="240" w:lineRule="auto"/>
      </w:pPr>
      <w:r>
        <w:separator/>
      </w:r>
    </w:p>
  </w:footnote>
  <w:footnote w:type="continuationSeparator" w:id="0">
    <w:p w14:paraId="18A2B4CA" w14:textId="77777777" w:rsidR="00F81588" w:rsidRDefault="00F815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6FB6" w14:textId="77777777" w:rsidR="00854C95" w:rsidRDefault="00854C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3720" w14:textId="77777777" w:rsidR="00854C95" w:rsidRDefault="00000000">
    <w:r>
      <w:rPr>
        <w:noProof/>
      </w:rPr>
      <w:drawing>
        <wp:inline distT="114300" distB="114300" distL="114300" distR="114300" wp14:anchorId="1CE23D5F" wp14:editId="2E591611">
          <wp:extent cx="1867091" cy="471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67091" cy="4714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C95"/>
    <w:rsid w:val="001A76CD"/>
    <w:rsid w:val="001C1287"/>
    <w:rsid w:val="002C098A"/>
    <w:rsid w:val="0032342C"/>
    <w:rsid w:val="005016B1"/>
    <w:rsid w:val="00625DB0"/>
    <w:rsid w:val="006C7D82"/>
    <w:rsid w:val="006D6313"/>
    <w:rsid w:val="007A34B5"/>
    <w:rsid w:val="00854C95"/>
    <w:rsid w:val="00A370AA"/>
    <w:rsid w:val="00A65BF3"/>
    <w:rsid w:val="00B374CE"/>
    <w:rsid w:val="00B954A5"/>
    <w:rsid w:val="00DC6ED5"/>
    <w:rsid w:val="00E91FAD"/>
    <w:rsid w:val="00F815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B0DC"/>
  <w15:docId w15:val="{B491B220-EB97-423A-8B07-EEE3EDCAF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1602</Words>
  <Characters>8816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Mariana Orozco Moreno</cp:lastModifiedBy>
  <cp:revision>2</cp:revision>
  <dcterms:created xsi:type="dcterms:W3CDTF">2026-09-30T23:17:00Z</dcterms:created>
  <dcterms:modified xsi:type="dcterms:W3CDTF">2026-09-30T23:17:00Z</dcterms:modified>
</cp:coreProperties>
</file>