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034A" w:rsidRPr="0057034A" w:rsidRDefault="0057034A" w:rsidP="0057034A">
      <w:pPr>
        <w:pStyle w:val="Ttulo2"/>
        <w:spacing w:line="360" w:lineRule="auto"/>
        <w:rPr>
          <w:rFonts w:ascii="Arial" w:hAnsi="Arial" w:cs="Arial"/>
          <w:sz w:val="24"/>
          <w:szCs w:val="24"/>
        </w:rPr>
      </w:pPr>
      <w:r w:rsidRPr="0057034A">
        <w:rPr>
          <w:rFonts w:ascii="Arial" w:hAnsi="Arial" w:cs="Arial"/>
          <w:sz w:val="24"/>
          <w:szCs w:val="24"/>
        </w:rPr>
        <w:t>CAPÍTULO I</w:t>
      </w:r>
    </w:p>
    <w:p w:rsidR="0057034A" w:rsidRPr="0057034A" w:rsidRDefault="0057034A" w:rsidP="0057034A">
      <w:pPr>
        <w:pStyle w:val="Ttulo3"/>
        <w:spacing w:line="360" w:lineRule="auto"/>
        <w:rPr>
          <w:rFonts w:ascii="Arial" w:hAnsi="Arial" w:cs="Arial"/>
        </w:rPr>
      </w:pPr>
      <w:r w:rsidRPr="0057034A">
        <w:rPr>
          <w:rFonts w:ascii="Arial" w:hAnsi="Arial" w:cs="Arial"/>
        </w:rPr>
        <w:t>1. INTRODUCCIÓN</w:t>
      </w:r>
      <w:bookmarkStart w:id="0" w:name="_GoBack"/>
      <w:bookmarkEnd w:id="0"/>
    </w:p>
    <w:p w:rsidR="0057034A" w:rsidRPr="0057034A" w:rsidRDefault="0057034A" w:rsidP="0057034A">
      <w:pPr>
        <w:pStyle w:val="Ttulo4"/>
        <w:spacing w:line="360" w:lineRule="auto"/>
        <w:rPr>
          <w:rFonts w:ascii="Arial" w:hAnsi="Arial" w:cs="Arial"/>
        </w:rPr>
      </w:pPr>
      <w:r w:rsidRPr="0057034A">
        <w:rPr>
          <w:rFonts w:ascii="Arial" w:hAnsi="Arial" w:cs="Arial"/>
        </w:rPr>
        <w:t>1.1. ANTECEDENTES</w:t>
      </w:r>
    </w:p>
    <w:p w:rsidR="0057034A" w:rsidRPr="0057034A" w:rsidRDefault="0057034A" w:rsidP="0057034A">
      <w:pPr>
        <w:pStyle w:val="NormalWeb"/>
        <w:spacing w:line="360" w:lineRule="auto"/>
        <w:rPr>
          <w:rFonts w:ascii="Arial" w:hAnsi="Arial" w:cs="Arial"/>
        </w:rPr>
      </w:pPr>
      <w:r w:rsidRPr="0057034A">
        <w:rPr>
          <w:rFonts w:ascii="Arial" w:hAnsi="Arial" w:cs="Arial"/>
        </w:rPr>
        <w:t>En el ámbito de la gestión pública municipal, es frecuente que los procesos de recaudación tributaria dependan de sistemas de información cuya base de datos no ha recibido un tratamiento de administración profesional continuo. La ausencia de mantenimiento preventivo sobre los motores de base de datos —desfragmentación de índices, actualización de estadísticas, verificación de integridad física— deteriora progresivamente el rendimiento del sistema, un efecto que se hace crítico durante los periodos de mayor afluencia de contribuyentes, como las fechas de descuento tributario.</w:t>
      </w:r>
    </w:p>
    <w:p w:rsidR="0057034A" w:rsidRPr="0057034A" w:rsidRDefault="0057034A" w:rsidP="0057034A">
      <w:pPr>
        <w:pStyle w:val="NormalWeb"/>
        <w:spacing w:line="360" w:lineRule="auto"/>
        <w:rPr>
          <w:rFonts w:ascii="Arial" w:hAnsi="Arial" w:cs="Arial"/>
        </w:rPr>
      </w:pPr>
      <w:r w:rsidRPr="0057034A">
        <w:rPr>
          <w:rFonts w:ascii="Arial" w:hAnsi="Arial" w:cs="Arial"/>
        </w:rPr>
        <w:t>La digitalización de la gestión tributaria municipal ha demostrado mejorar la eficiencia recaudatoria: según el Banco Interamericano de Desarrollo, los municipios pueden incrementar sus ingresos fiscales entre un 15% y un 30% mediante el uso de plataformas de pago en línea y sistemas de auditoría automatizada (Santos-Intriago &amp; Bravo-Giler, 2025).</w:t>
      </w:r>
    </w:p>
    <w:p w:rsidR="0057034A" w:rsidRPr="0057034A" w:rsidRDefault="0057034A" w:rsidP="0057034A">
      <w:pPr>
        <w:pStyle w:val="NormalWeb"/>
        <w:spacing w:line="360" w:lineRule="auto"/>
        <w:rPr>
          <w:rFonts w:ascii="Arial" w:hAnsi="Arial" w:cs="Arial"/>
        </w:rPr>
      </w:pPr>
      <w:r w:rsidRPr="0057034A">
        <w:rPr>
          <w:rFonts w:ascii="Arial" w:hAnsi="Arial" w:cs="Arial"/>
        </w:rPr>
        <w:t>A nivel de buenas prácticas de administración de bases de datos, distintos motores comerciales —entre ellos Microsoft SQL Server— incorporan herramientas específicas para atender estas debilidades: utilidades de carga masiva de alto rendimiento (</w:t>
      </w:r>
      <w:r w:rsidRPr="0057034A">
        <w:rPr>
          <w:rStyle w:val="CdigoHTML"/>
          <w:rFonts w:ascii="Arial" w:eastAsiaTheme="majorEastAsia" w:hAnsi="Arial" w:cs="Arial"/>
          <w:sz w:val="24"/>
          <w:szCs w:val="24"/>
        </w:rPr>
        <w:t>BULK INSERT</w:t>
      </w:r>
      <w:r w:rsidRPr="0057034A">
        <w:rPr>
          <w:rFonts w:ascii="Arial" w:hAnsi="Arial" w:cs="Arial"/>
        </w:rPr>
        <w:t xml:space="preserve">, </w:t>
      </w:r>
      <w:proofErr w:type="spellStart"/>
      <w:r w:rsidRPr="0057034A">
        <w:rPr>
          <w:rStyle w:val="CdigoHTML"/>
          <w:rFonts w:ascii="Arial" w:eastAsiaTheme="majorEastAsia" w:hAnsi="Arial" w:cs="Arial"/>
          <w:sz w:val="24"/>
          <w:szCs w:val="24"/>
        </w:rPr>
        <w:t>bcp</w:t>
      </w:r>
      <w:proofErr w:type="spellEnd"/>
      <w:r w:rsidRPr="0057034A">
        <w:rPr>
          <w:rFonts w:ascii="Arial" w:hAnsi="Arial" w:cs="Arial"/>
        </w:rPr>
        <w:t>), un agente de trabajos programados para automatizar tareas de mantenimiento, y mecanismos nativos de auditoría (</w:t>
      </w:r>
      <w:r w:rsidRPr="0057034A">
        <w:rPr>
          <w:rStyle w:val="CdigoHTML"/>
          <w:rFonts w:ascii="Arial" w:eastAsiaTheme="majorEastAsia" w:hAnsi="Arial" w:cs="Arial"/>
          <w:sz w:val="24"/>
          <w:szCs w:val="24"/>
        </w:rPr>
        <w:t>SQL Server Audit</w:t>
      </w:r>
      <w:r w:rsidRPr="0057034A">
        <w:rPr>
          <w:rFonts w:ascii="Arial" w:hAnsi="Arial" w:cs="Arial"/>
        </w:rPr>
        <w:t>). En este sentido, el control de acceso basado en roles (RBAC) es reconocido como el marco de trabajo que permite asignar permisos según la función real del usuario en lugar de otorgarlos de forma individual, reduciendo el riesgo de seguridad y simplificando la auditoría a medida que el sistema crece (</w:t>
      </w:r>
      <w:proofErr w:type="spellStart"/>
      <w:r w:rsidRPr="0057034A">
        <w:rPr>
          <w:rFonts w:ascii="Arial" w:hAnsi="Arial" w:cs="Arial"/>
        </w:rPr>
        <w:t>Navicat</w:t>
      </w:r>
      <w:proofErr w:type="spellEnd"/>
      <w:r w:rsidRPr="0057034A">
        <w:rPr>
          <w:rFonts w:ascii="Arial" w:hAnsi="Arial" w:cs="Arial"/>
        </w:rPr>
        <w:t>, 2025).</w:t>
      </w:r>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En el contexto local, no se han documentado experiencias públicas de modernización de sistemas de recaudación y catastro municipal que integren de forma conjunta automatización del mantenimiento, migración masiva optimizada, seguridad basada en roles y un plan formal de contingencia. Esto </w:t>
      </w:r>
      <w:r w:rsidRPr="0057034A">
        <w:rPr>
          <w:rFonts w:ascii="Arial" w:hAnsi="Arial" w:cs="Arial"/>
        </w:rPr>
        <w:lastRenderedPageBreak/>
        <w:t>representa una oportunidad para aplicar, sobre un caso simulado de gobierno municipal, las prácticas profesionales de administración de bases de datos que un motor como SQL Server pone a disposición del administrador.</w:t>
      </w:r>
    </w:p>
    <w:p w:rsidR="0057034A" w:rsidRPr="0057034A" w:rsidRDefault="0057034A" w:rsidP="0057034A">
      <w:pPr>
        <w:pStyle w:val="Ttulo4"/>
        <w:spacing w:line="360" w:lineRule="auto"/>
        <w:rPr>
          <w:rFonts w:ascii="Arial" w:hAnsi="Arial" w:cs="Arial"/>
        </w:rPr>
      </w:pPr>
      <w:r w:rsidRPr="0057034A">
        <w:rPr>
          <w:rFonts w:ascii="Arial" w:hAnsi="Arial" w:cs="Arial"/>
        </w:rPr>
        <w:t>1.2. PLANTEAMIENTO DEL PROBLEMA</w:t>
      </w:r>
    </w:p>
    <w:p w:rsidR="0057034A" w:rsidRPr="0057034A" w:rsidRDefault="0057034A" w:rsidP="0057034A">
      <w:pPr>
        <w:pStyle w:val="NormalWeb"/>
        <w:spacing w:line="360" w:lineRule="auto"/>
        <w:rPr>
          <w:rFonts w:ascii="Arial" w:hAnsi="Arial" w:cs="Arial"/>
        </w:rPr>
      </w:pPr>
      <w:r w:rsidRPr="0057034A">
        <w:rPr>
          <w:rFonts w:ascii="Arial" w:hAnsi="Arial" w:cs="Arial"/>
        </w:rPr>
        <w:t>Los gobiernos municipales, como entidades responsables de la recaudación de impuestos sobre bienes inmuebles, patentes de funcionamiento y otros tributos, dependen de que su base de datos esté disponible y responda con rapidez, particularmente durante los periodos de descuento tributario, cuando la concurrencia de contribuyentes se multiplica. En la práctica, se ha identificado una debilidad estructural recurrente en este tipo de sistemas: la falta de una administración técnica continua de la base de datos provoca la caída del servicio en los momentos de mayor demanda, debido a índices fragmentados, estadísticas desactualizadas y consultas ineficientes sobre padrones masivos de contribuyentes.</w:t>
      </w:r>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A esta debilidad se suma que la incorporación de nuevos registros —tanto de contribuyentes como de </w:t>
      </w:r>
      <w:proofErr w:type="spellStart"/>
      <w:r w:rsidRPr="0057034A">
        <w:rPr>
          <w:rFonts w:ascii="Arial" w:hAnsi="Arial" w:cs="Arial"/>
        </w:rPr>
        <w:t>reavalúos</w:t>
      </w:r>
      <w:proofErr w:type="spellEnd"/>
      <w:r w:rsidRPr="0057034A">
        <w:rPr>
          <w:rFonts w:ascii="Arial" w:hAnsi="Arial" w:cs="Arial"/>
        </w:rPr>
        <w:t xml:space="preserve"> catastrales— suele realizarse mediante procesos manuales o mediante hojas de cálculo, sin validación de integridad referencial ni el uso de utilidades de carga masiva eficientes. Asimismo, la ausencia de tareas de mantenimiento automatizado impide detectar a tiempo la degradación del rendimiento o la corrupción física de los datos.</w:t>
      </w:r>
    </w:p>
    <w:p w:rsidR="0057034A" w:rsidRPr="0057034A" w:rsidRDefault="0057034A" w:rsidP="0057034A">
      <w:pPr>
        <w:pStyle w:val="NormalWeb"/>
        <w:spacing w:line="360" w:lineRule="auto"/>
        <w:rPr>
          <w:rFonts w:ascii="Arial" w:hAnsi="Arial" w:cs="Arial"/>
        </w:rPr>
      </w:pPr>
      <w:r w:rsidRPr="0057034A">
        <w:rPr>
          <w:rFonts w:ascii="Arial" w:hAnsi="Arial" w:cs="Arial"/>
        </w:rPr>
        <w:t>Finalmente, se ha detectado una vulnerabilidad en el control de fiscalización: los operadores de ventanilla y funcionarios municipales suelen contar con privilegios de acceso excesivos, que les permitirían modificar deudas tributarias o anular patentes comerciales sin que exista un mecanismo de auditoría que registre dichos cambios. Esta combinación de factores —bajo rendimiento, migración no controlada, falta de automatización y ausencia de trazabilidad— compromete tanto la continuidad del servicio ciudadano como la integridad de la información fiscal del municipio.</w:t>
      </w:r>
    </w:p>
    <w:p w:rsidR="0057034A" w:rsidRPr="0057034A" w:rsidRDefault="0057034A" w:rsidP="0057034A">
      <w:pPr>
        <w:pStyle w:val="Ttulo5"/>
        <w:spacing w:line="360" w:lineRule="auto"/>
        <w:rPr>
          <w:rFonts w:ascii="Arial" w:hAnsi="Arial" w:cs="Arial"/>
        </w:rPr>
      </w:pPr>
      <w:r w:rsidRPr="0057034A">
        <w:rPr>
          <w:rFonts w:ascii="Arial" w:hAnsi="Arial" w:cs="Arial"/>
        </w:rPr>
        <w:lastRenderedPageBreak/>
        <w:t>1.2.1. Formulación del problema</w:t>
      </w:r>
    </w:p>
    <w:p w:rsidR="0057034A" w:rsidRPr="0057034A" w:rsidRDefault="0057034A" w:rsidP="0057034A">
      <w:pPr>
        <w:pStyle w:val="NormalWeb"/>
        <w:spacing w:line="360" w:lineRule="auto"/>
        <w:rPr>
          <w:rFonts w:ascii="Arial" w:hAnsi="Arial" w:cs="Arial"/>
        </w:rPr>
      </w:pPr>
      <w:r w:rsidRPr="0057034A">
        <w:rPr>
          <w:rFonts w:ascii="Arial" w:hAnsi="Arial" w:cs="Arial"/>
        </w:rPr>
        <w:t>¿Cómo debe administrarse la base de datos de un sistema de recaudación tributaria y catastro municipal para garantizar alta disponibilidad del servicio, integridad de la información y trazabilidad de las operaciones críticas?</w:t>
      </w:r>
    </w:p>
    <w:p w:rsidR="0057034A" w:rsidRPr="0057034A" w:rsidRDefault="0057034A" w:rsidP="0057034A">
      <w:pPr>
        <w:pStyle w:val="Ttulo4"/>
        <w:spacing w:line="360" w:lineRule="auto"/>
        <w:rPr>
          <w:rFonts w:ascii="Arial" w:hAnsi="Arial" w:cs="Arial"/>
        </w:rPr>
      </w:pPr>
      <w:r w:rsidRPr="0057034A">
        <w:rPr>
          <w:rFonts w:ascii="Arial" w:hAnsi="Arial" w:cs="Arial"/>
        </w:rPr>
        <w:t>1.3. OBJETIVOS DEL PROYECTO</w:t>
      </w:r>
    </w:p>
    <w:p w:rsidR="0057034A" w:rsidRPr="0057034A" w:rsidRDefault="0057034A" w:rsidP="0057034A">
      <w:pPr>
        <w:pStyle w:val="Ttulo5"/>
        <w:spacing w:line="360" w:lineRule="auto"/>
        <w:rPr>
          <w:rFonts w:ascii="Arial" w:hAnsi="Arial" w:cs="Arial"/>
        </w:rPr>
      </w:pPr>
      <w:r w:rsidRPr="0057034A">
        <w:rPr>
          <w:rFonts w:ascii="Arial" w:hAnsi="Arial" w:cs="Arial"/>
        </w:rPr>
        <w:t>1.3.1. Objetivo General</w:t>
      </w:r>
    </w:p>
    <w:p w:rsidR="0057034A" w:rsidRPr="0057034A" w:rsidRDefault="0057034A" w:rsidP="0057034A">
      <w:pPr>
        <w:pStyle w:val="NormalWeb"/>
        <w:spacing w:line="360" w:lineRule="auto"/>
        <w:rPr>
          <w:rFonts w:ascii="Arial" w:hAnsi="Arial" w:cs="Arial"/>
        </w:rPr>
      </w:pPr>
      <w:r w:rsidRPr="0057034A">
        <w:rPr>
          <w:rFonts w:ascii="Arial" w:hAnsi="Arial" w:cs="Arial"/>
        </w:rPr>
        <w:t>Optimizar la administración de la base de datos de recaudación tributaria y catastro municipal (</w:t>
      </w:r>
      <w:r w:rsidRPr="0057034A">
        <w:rPr>
          <w:rStyle w:val="CdigoHTML"/>
          <w:rFonts w:ascii="Arial" w:eastAsiaTheme="majorEastAsia" w:hAnsi="Arial" w:cs="Arial"/>
          <w:sz w:val="24"/>
          <w:szCs w:val="24"/>
        </w:rPr>
        <w:t>BD_GOBIERNO_MUNICIPAL</w:t>
      </w:r>
      <w:r w:rsidRPr="0057034A">
        <w:rPr>
          <w:rFonts w:ascii="Arial" w:hAnsi="Arial" w:cs="Arial"/>
        </w:rPr>
        <w:t>), a fin de mejorar la disponibilidad del servicio y la integridad de la información.</w:t>
      </w:r>
    </w:p>
    <w:p w:rsidR="0057034A" w:rsidRPr="0057034A" w:rsidRDefault="0057034A" w:rsidP="0057034A">
      <w:pPr>
        <w:pStyle w:val="Ttulo5"/>
        <w:spacing w:line="360" w:lineRule="auto"/>
        <w:rPr>
          <w:rFonts w:ascii="Arial" w:hAnsi="Arial" w:cs="Arial"/>
        </w:rPr>
      </w:pPr>
      <w:r w:rsidRPr="0057034A">
        <w:rPr>
          <w:rFonts w:ascii="Arial" w:hAnsi="Arial" w:cs="Arial"/>
        </w:rPr>
        <w:t>1.3.2. Objetivos Específicos</w:t>
      </w:r>
    </w:p>
    <w:p w:rsidR="0057034A" w:rsidRPr="0057034A" w:rsidRDefault="0057034A" w:rsidP="0057034A">
      <w:pPr>
        <w:numPr>
          <w:ilvl w:val="0"/>
          <w:numId w:val="3"/>
        </w:numPr>
        <w:spacing w:before="100" w:beforeAutospacing="1" w:after="100" w:afterAutospacing="1" w:line="360" w:lineRule="auto"/>
        <w:rPr>
          <w:rFonts w:ascii="Arial" w:hAnsi="Arial" w:cs="Arial"/>
        </w:rPr>
      </w:pPr>
      <w:r w:rsidRPr="0057034A">
        <w:rPr>
          <w:rFonts w:ascii="Arial" w:hAnsi="Arial" w:cs="Arial"/>
        </w:rPr>
        <w:t>Diseñar el modelo relacional y la estrategia de almacenamiento físico de la base de datos municipal, garantizando su capacidad de crecimiento ante cargas masivas de información.</w:t>
      </w:r>
    </w:p>
    <w:p w:rsidR="0057034A" w:rsidRPr="0057034A" w:rsidRDefault="0057034A" w:rsidP="0057034A">
      <w:pPr>
        <w:numPr>
          <w:ilvl w:val="0"/>
          <w:numId w:val="3"/>
        </w:numPr>
        <w:spacing w:before="100" w:beforeAutospacing="1" w:after="100" w:afterAutospacing="1" w:line="360" w:lineRule="auto"/>
        <w:rPr>
          <w:rFonts w:ascii="Arial" w:hAnsi="Arial" w:cs="Arial"/>
        </w:rPr>
      </w:pPr>
      <w:r w:rsidRPr="0057034A">
        <w:rPr>
          <w:rFonts w:ascii="Arial" w:hAnsi="Arial" w:cs="Arial"/>
        </w:rPr>
        <w:t>Desarrollar procedimientos de carga masiva de datos que reduzcan los tiempos de importación de los padrones de contribuyentes frente a los métodos convencionales.</w:t>
      </w:r>
    </w:p>
    <w:p w:rsidR="0057034A" w:rsidRPr="0057034A" w:rsidRDefault="0057034A" w:rsidP="0057034A">
      <w:pPr>
        <w:numPr>
          <w:ilvl w:val="0"/>
          <w:numId w:val="3"/>
        </w:numPr>
        <w:spacing w:before="100" w:beforeAutospacing="1" w:after="100" w:afterAutospacing="1" w:line="360" w:lineRule="auto"/>
        <w:rPr>
          <w:rFonts w:ascii="Arial" w:hAnsi="Arial" w:cs="Arial"/>
        </w:rPr>
      </w:pPr>
      <w:r w:rsidRPr="0057034A">
        <w:rPr>
          <w:rFonts w:ascii="Arial" w:hAnsi="Arial" w:cs="Arial"/>
        </w:rPr>
        <w:t>Automatizar las tareas de mantenimiento preventivo y los mecanismos de seguridad y auditoría que fortalezcan la integridad y trazabilidad de las operaciones críticas.</w:t>
      </w:r>
    </w:p>
    <w:p w:rsidR="0057034A" w:rsidRPr="0057034A" w:rsidRDefault="0057034A" w:rsidP="0057034A">
      <w:pPr>
        <w:numPr>
          <w:ilvl w:val="0"/>
          <w:numId w:val="3"/>
        </w:numPr>
        <w:spacing w:before="100" w:beforeAutospacing="1" w:after="100" w:afterAutospacing="1" w:line="360" w:lineRule="auto"/>
        <w:rPr>
          <w:rFonts w:ascii="Arial" w:hAnsi="Arial" w:cs="Arial"/>
        </w:rPr>
      </w:pPr>
      <w:r w:rsidRPr="0057034A">
        <w:rPr>
          <w:rFonts w:ascii="Arial" w:hAnsi="Arial" w:cs="Arial"/>
        </w:rPr>
        <w:t>Evaluar la disponibilidad y capacidad de recuperación del sistema mediante pruebas de contingencia ante fallas simuladas.</w:t>
      </w:r>
    </w:p>
    <w:p w:rsidR="0057034A" w:rsidRPr="0057034A" w:rsidRDefault="0057034A" w:rsidP="0057034A">
      <w:pPr>
        <w:pStyle w:val="Ttulo4"/>
        <w:spacing w:line="360" w:lineRule="auto"/>
        <w:rPr>
          <w:rFonts w:ascii="Arial" w:hAnsi="Arial" w:cs="Arial"/>
        </w:rPr>
      </w:pPr>
      <w:r w:rsidRPr="0057034A">
        <w:rPr>
          <w:rFonts w:ascii="Arial" w:hAnsi="Arial" w:cs="Arial"/>
        </w:rPr>
        <w:t>1.4. JUSTIFICACIÓN</w:t>
      </w:r>
    </w:p>
    <w:p w:rsidR="0057034A" w:rsidRPr="0057034A" w:rsidRDefault="0057034A" w:rsidP="0057034A">
      <w:pPr>
        <w:pStyle w:val="Ttulo5"/>
        <w:spacing w:line="360" w:lineRule="auto"/>
        <w:rPr>
          <w:rFonts w:ascii="Arial" w:hAnsi="Arial" w:cs="Arial"/>
        </w:rPr>
      </w:pPr>
      <w:r w:rsidRPr="0057034A">
        <w:rPr>
          <w:rFonts w:ascii="Arial" w:hAnsi="Arial" w:cs="Arial"/>
        </w:rPr>
        <w:t>1.4.1. Justificación práctica</w:t>
      </w:r>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Según Bernal Torres (2010), una investigación tiene justificación práctica cuando su desarrollo ayuda a resolver un problema concreto o propone estrategias aplicables para abordarlo. La correcta administración de la base de datos municipal tiene un impacto directo en la continuidad del servicio de recaudación y en la capacidad del gobierno municipal de sostener sus ingresos </w:t>
      </w:r>
      <w:r w:rsidRPr="0057034A">
        <w:rPr>
          <w:rFonts w:ascii="Arial" w:hAnsi="Arial" w:cs="Arial"/>
        </w:rPr>
        <w:lastRenderedPageBreak/>
        <w:t>fiscales. Un sistema que colapsa en fechas de alta demanda no solo genera pérdida de tiempo para el contribuyente, sino también un riesgo de incumplimiento tributario. Este proyecto responde a esa necesidad aplicando, sobre un caso simulado, las prácticas profesionales de administración que un motor como SQL Server pone a disposición del administrador.</w:t>
      </w:r>
    </w:p>
    <w:p w:rsidR="0057034A" w:rsidRPr="0057034A" w:rsidRDefault="0057034A" w:rsidP="0057034A">
      <w:pPr>
        <w:pStyle w:val="Ttulo5"/>
        <w:spacing w:line="360" w:lineRule="auto"/>
        <w:rPr>
          <w:rFonts w:ascii="Arial" w:hAnsi="Arial" w:cs="Arial"/>
        </w:rPr>
      </w:pPr>
      <w:r w:rsidRPr="0057034A">
        <w:rPr>
          <w:rFonts w:ascii="Arial" w:hAnsi="Arial" w:cs="Arial"/>
        </w:rPr>
        <w:t>1.4.2. Justificación teórica</w:t>
      </w:r>
    </w:p>
    <w:p w:rsidR="0057034A" w:rsidRPr="0057034A" w:rsidRDefault="0057034A" w:rsidP="0057034A">
      <w:pPr>
        <w:pStyle w:val="NormalWeb"/>
        <w:spacing w:line="360" w:lineRule="auto"/>
        <w:rPr>
          <w:rFonts w:ascii="Arial" w:hAnsi="Arial" w:cs="Arial"/>
        </w:rPr>
      </w:pPr>
      <w:r w:rsidRPr="0057034A">
        <w:rPr>
          <w:rFonts w:ascii="Arial" w:hAnsi="Arial" w:cs="Arial"/>
        </w:rPr>
        <w:t>Según Hernández Sampieri et al. (2014), la justificación teórica consiste en explicar cómo el proyecto se fundamenta en conceptos y categorías que sustentan el enfoque del estudio desde el punto de vista del conocimiento técnico existente. El proyecto se fundamenta en los conceptos de administración de bases de datos relacionales, control de acceso basado en roles, automatización mediante agentes programados y estrategias de respaldo y recuperación ante desastres. Estos conceptos proporcionan el marco técnico necesario para estructurar la solución propuesta y están directamente vinculados con el problema planteado.</w:t>
      </w:r>
    </w:p>
    <w:p w:rsidR="0057034A" w:rsidRPr="0057034A" w:rsidRDefault="0057034A" w:rsidP="0057034A">
      <w:pPr>
        <w:pStyle w:val="Ttulo5"/>
        <w:spacing w:line="360" w:lineRule="auto"/>
        <w:rPr>
          <w:rFonts w:ascii="Arial" w:hAnsi="Arial" w:cs="Arial"/>
        </w:rPr>
      </w:pPr>
      <w:r w:rsidRPr="0057034A">
        <w:rPr>
          <w:rFonts w:ascii="Arial" w:hAnsi="Arial" w:cs="Arial"/>
        </w:rPr>
        <w:t>1.4.3. Justificación metodológica</w:t>
      </w:r>
    </w:p>
    <w:p w:rsidR="0057034A" w:rsidRPr="0057034A" w:rsidRDefault="0057034A" w:rsidP="0057034A">
      <w:pPr>
        <w:pStyle w:val="NormalWeb"/>
        <w:spacing w:line="360" w:lineRule="auto"/>
        <w:rPr>
          <w:rFonts w:ascii="Arial" w:hAnsi="Arial" w:cs="Arial"/>
        </w:rPr>
      </w:pPr>
      <w:r w:rsidRPr="0057034A">
        <w:rPr>
          <w:rFonts w:ascii="Arial" w:hAnsi="Arial" w:cs="Arial"/>
        </w:rPr>
        <w:t>Según Hernández Sampieri et al. (2014), la justificación metodológica se da cuando se emplea un procedimiento estructurado que puede servir de referencia para investigaciones o proyectos futuros. El proyecto adopta esta justificación al emplear un procedimiento de trabajo estructurado en fases de diseño, desarrollo, automatización y evaluación, que garantiza que el resultado final sea una base de datos funcional y validada, y sirve como referencia metodológica para proyectos similares de administración de bases de datos en el sector público.</w:t>
      </w:r>
    </w:p>
    <w:p w:rsidR="0057034A" w:rsidRPr="0057034A" w:rsidRDefault="0057034A" w:rsidP="0057034A">
      <w:pPr>
        <w:pStyle w:val="Ttulo4"/>
        <w:spacing w:line="360" w:lineRule="auto"/>
        <w:rPr>
          <w:rFonts w:ascii="Arial" w:hAnsi="Arial" w:cs="Arial"/>
        </w:rPr>
      </w:pPr>
      <w:r w:rsidRPr="0057034A">
        <w:rPr>
          <w:rFonts w:ascii="Arial" w:hAnsi="Arial" w:cs="Arial"/>
        </w:rPr>
        <w:t>1.5. DELIMITACIÓN DEL PROYECTO</w:t>
      </w:r>
    </w:p>
    <w:p w:rsidR="0057034A" w:rsidRPr="0057034A" w:rsidRDefault="0057034A" w:rsidP="0057034A">
      <w:pPr>
        <w:pStyle w:val="Ttulo5"/>
        <w:spacing w:line="360" w:lineRule="auto"/>
        <w:rPr>
          <w:rFonts w:ascii="Arial" w:hAnsi="Arial" w:cs="Arial"/>
        </w:rPr>
      </w:pPr>
      <w:r w:rsidRPr="0057034A">
        <w:rPr>
          <w:rFonts w:ascii="Arial" w:hAnsi="Arial" w:cs="Arial"/>
        </w:rPr>
        <w:t>1.5.1. Temporal</w:t>
      </w:r>
    </w:p>
    <w:p w:rsidR="0057034A" w:rsidRPr="0057034A" w:rsidRDefault="0057034A" w:rsidP="0057034A">
      <w:pPr>
        <w:pStyle w:val="NormalWeb"/>
        <w:spacing w:line="360" w:lineRule="auto"/>
        <w:rPr>
          <w:rFonts w:ascii="Arial" w:hAnsi="Arial" w:cs="Arial"/>
        </w:rPr>
      </w:pPr>
      <w:r w:rsidRPr="0057034A">
        <w:rPr>
          <w:rFonts w:ascii="Arial" w:hAnsi="Arial" w:cs="Arial"/>
        </w:rPr>
        <w:t>El proyecto se desarrolla en un plazo de dos semanas, del 14 al 27 de septiembre de 2026, en el marco de la asignatura Administración de Base de Datos I.</w:t>
      </w:r>
    </w:p>
    <w:p w:rsidR="0057034A" w:rsidRPr="0057034A" w:rsidRDefault="0057034A" w:rsidP="0057034A">
      <w:pPr>
        <w:pStyle w:val="Ttulo5"/>
        <w:spacing w:line="360" w:lineRule="auto"/>
        <w:rPr>
          <w:rFonts w:ascii="Arial" w:hAnsi="Arial" w:cs="Arial"/>
        </w:rPr>
      </w:pPr>
      <w:r w:rsidRPr="0057034A">
        <w:rPr>
          <w:rFonts w:ascii="Arial" w:hAnsi="Arial" w:cs="Arial"/>
        </w:rPr>
        <w:lastRenderedPageBreak/>
        <w:t>1.5.2. Geográfica</w:t>
      </w:r>
    </w:p>
    <w:p w:rsidR="0057034A" w:rsidRPr="0057034A" w:rsidRDefault="0057034A" w:rsidP="0057034A">
      <w:pPr>
        <w:pStyle w:val="NormalWeb"/>
        <w:spacing w:line="360" w:lineRule="auto"/>
        <w:rPr>
          <w:rFonts w:ascii="Arial" w:hAnsi="Arial" w:cs="Arial"/>
        </w:rPr>
      </w:pPr>
      <w:r w:rsidRPr="0057034A">
        <w:rPr>
          <w:rFonts w:ascii="Arial" w:hAnsi="Arial" w:cs="Arial"/>
        </w:rPr>
        <w:t>El proyecto se desarrolla en la ciudad de Sucre – Bolivia, dentro del marco académico de la asignatura, utilizando un entorno de laboratorio con Microsoft SQL Server (</w:t>
      </w:r>
      <w:proofErr w:type="spellStart"/>
      <w:r w:rsidRPr="0057034A">
        <w:rPr>
          <w:rFonts w:ascii="Arial" w:hAnsi="Arial" w:cs="Arial"/>
        </w:rPr>
        <w:t>Developer</w:t>
      </w:r>
      <w:proofErr w:type="spellEnd"/>
      <w:r w:rsidRPr="0057034A">
        <w:rPr>
          <w:rFonts w:ascii="Arial" w:hAnsi="Arial" w:cs="Arial"/>
        </w:rPr>
        <w:t xml:space="preserve"> </w:t>
      </w:r>
      <w:proofErr w:type="spellStart"/>
      <w:r w:rsidRPr="0057034A">
        <w:rPr>
          <w:rFonts w:ascii="Arial" w:hAnsi="Arial" w:cs="Arial"/>
        </w:rPr>
        <w:t>Edition</w:t>
      </w:r>
      <w:proofErr w:type="spellEnd"/>
      <w:r w:rsidRPr="0057034A">
        <w:rPr>
          <w:rFonts w:ascii="Arial" w:hAnsi="Arial" w:cs="Arial"/>
        </w:rPr>
        <w:t>) instalado localmente por cada integrante del equipo.</w:t>
      </w:r>
    </w:p>
    <w:p w:rsidR="0057034A" w:rsidRPr="0057034A" w:rsidRDefault="0057034A" w:rsidP="0057034A">
      <w:pPr>
        <w:pStyle w:val="Ttulo4"/>
        <w:spacing w:line="360" w:lineRule="auto"/>
        <w:rPr>
          <w:rFonts w:ascii="Arial" w:hAnsi="Arial" w:cs="Arial"/>
        </w:rPr>
      </w:pPr>
      <w:r w:rsidRPr="0057034A">
        <w:rPr>
          <w:rFonts w:ascii="Arial" w:hAnsi="Arial" w:cs="Arial"/>
        </w:rPr>
        <w:t>1.6. METODOLOGÍA</w:t>
      </w:r>
    </w:p>
    <w:p w:rsidR="0057034A" w:rsidRPr="0057034A" w:rsidRDefault="0057034A" w:rsidP="0057034A">
      <w:pPr>
        <w:pStyle w:val="Ttulo5"/>
        <w:spacing w:line="360" w:lineRule="auto"/>
        <w:rPr>
          <w:rFonts w:ascii="Arial" w:hAnsi="Arial" w:cs="Arial"/>
        </w:rPr>
      </w:pPr>
      <w:r w:rsidRPr="0057034A">
        <w:rPr>
          <w:rFonts w:ascii="Arial" w:hAnsi="Arial" w:cs="Arial"/>
        </w:rPr>
        <w:t>1.6.1. Enfoque de trabajo</w:t>
      </w:r>
    </w:p>
    <w:p w:rsidR="0057034A" w:rsidRPr="0057034A" w:rsidRDefault="0057034A" w:rsidP="0057034A">
      <w:pPr>
        <w:pStyle w:val="NormalWeb"/>
        <w:spacing w:line="360" w:lineRule="auto"/>
        <w:rPr>
          <w:rFonts w:ascii="Arial" w:hAnsi="Arial" w:cs="Arial"/>
        </w:rPr>
      </w:pPr>
      <w:r w:rsidRPr="0057034A">
        <w:rPr>
          <w:rFonts w:ascii="Arial" w:hAnsi="Arial" w:cs="Arial"/>
        </w:rPr>
        <w:t>El equipo adoptó un enfoque de trabajo incremental y distribuido, organizando las tareas en tres frentes técnicos complementarios: arquitectura y modelado de datos, migración y automatización, y seguridad con continuidad operativa. El desarrollo del esquema de base de datos se estableció como hito bloqueante inicial, dado que las tareas de los demás integrantes dependen de su disponibilidad.</w:t>
      </w:r>
    </w:p>
    <w:p w:rsidR="0057034A" w:rsidRPr="0057034A" w:rsidRDefault="0057034A" w:rsidP="0057034A">
      <w:pPr>
        <w:pStyle w:val="Ttulo5"/>
        <w:spacing w:line="360" w:lineRule="auto"/>
        <w:rPr>
          <w:rFonts w:ascii="Arial" w:hAnsi="Arial" w:cs="Arial"/>
        </w:rPr>
      </w:pPr>
      <w:r w:rsidRPr="0057034A">
        <w:rPr>
          <w:rFonts w:ascii="Arial" w:hAnsi="Arial" w:cs="Arial"/>
        </w:rPr>
        <w:t>1.6.2. Técnicas y herramientas</w:t>
      </w:r>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Se utilizaron scripts T-SQL para la creación y configuración de la base de datos, la utilidad </w:t>
      </w:r>
      <w:r w:rsidRPr="0057034A">
        <w:rPr>
          <w:rStyle w:val="CdigoHTML"/>
          <w:rFonts w:ascii="Arial" w:eastAsiaTheme="majorEastAsia" w:hAnsi="Arial" w:cs="Arial"/>
          <w:sz w:val="24"/>
          <w:szCs w:val="24"/>
        </w:rPr>
        <w:t>BULK INSERT</w:t>
      </w:r>
      <w:r w:rsidRPr="0057034A">
        <w:rPr>
          <w:rFonts w:ascii="Arial" w:hAnsi="Arial" w:cs="Arial"/>
        </w:rPr>
        <w:t xml:space="preserve"> para la carga masiva de datos, el Agente de SQL Server para la automatización de tareas de mantenimiento, y la función nativa </w:t>
      </w:r>
      <w:r w:rsidRPr="0057034A">
        <w:rPr>
          <w:rStyle w:val="CdigoHTML"/>
          <w:rFonts w:ascii="Arial" w:eastAsiaTheme="majorEastAsia" w:hAnsi="Arial" w:cs="Arial"/>
          <w:sz w:val="24"/>
          <w:szCs w:val="24"/>
        </w:rPr>
        <w:t>SQL Server Audit</w:t>
      </w:r>
      <w:r w:rsidRPr="0057034A">
        <w:rPr>
          <w:rFonts w:ascii="Arial" w:hAnsi="Arial" w:cs="Arial"/>
        </w:rPr>
        <w:t xml:space="preserve"> para el registro de auditoría. La coordinación del equipo se realizó mediante un repositorio en GitHub, utilizando </w:t>
      </w:r>
      <w:r w:rsidRPr="0057034A">
        <w:rPr>
          <w:rStyle w:val="nfasis"/>
          <w:rFonts w:ascii="Arial" w:eastAsiaTheme="majorEastAsia" w:hAnsi="Arial" w:cs="Arial"/>
        </w:rPr>
        <w:t>Issues</w:t>
      </w:r>
      <w:r w:rsidRPr="0057034A">
        <w:rPr>
          <w:rFonts w:ascii="Arial" w:hAnsi="Arial" w:cs="Arial"/>
        </w:rPr>
        <w:t xml:space="preserve"> para el seguimiento de tareas y </w:t>
      </w:r>
      <w:proofErr w:type="spellStart"/>
      <w:r w:rsidRPr="0057034A">
        <w:rPr>
          <w:rStyle w:val="nfasis"/>
          <w:rFonts w:ascii="Arial" w:eastAsiaTheme="majorEastAsia" w:hAnsi="Arial" w:cs="Arial"/>
        </w:rPr>
        <w:t>Milestones</w:t>
      </w:r>
      <w:proofErr w:type="spellEnd"/>
      <w:r w:rsidRPr="0057034A">
        <w:rPr>
          <w:rFonts w:ascii="Arial" w:hAnsi="Arial" w:cs="Arial"/>
        </w:rPr>
        <w:t xml:space="preserve"> para las entregas semanales.</w:t>
      </w:r>
    </w:p>
    <w:p w:rsidR="0057034A" w:rsidRPr="0057034A" w:rsidRDefault="0057034A" w:rsidP="0057034A">
      <w:pPr>
        <w:pStyle w:val="Ttulo5"/>
        <w:spacing w:line="360" w:lineRule="auto"/>
        <w:rPr>
          <w:rFonts w:ascii="Arial" w:hAnsi="Arial" w:cs="Arial"/>
        </w:rPr>
      </w:pPr>
      <w:r w:rsidRPr="0057034A">
        <w:rPr>
          <w:rFonts w:ascii="Arial" w:hAnsi="Arial" w:cs="Arial"/>
        </w:rPr>
        <w:t>1.6.3. Instrumentos de trabajo</w:t>
      </w:r>
    </w:p>
    <w:p w:rsidR="0057034A" w:rsidRPr="0057034A" w:rsidRDefault="0057034A" w:rsidP="0057034A">
      <w:pPr>
        <w:pStyle w:val="NormalWeb"/>
        <w:spacing w:line="360" w:lineRule="auto"/>
        <w:rPr>
          <w:rFonts w:ascii="Arial" w:hAnsi="Arial" w:cs="Arial"/>
        </w:rPr>
      </w:pPr>
      <w:r w:rsidRPr="0057034A">
        <w:rPr>
          <w:rFonts w:ascii="Arial" w:hAnsi="Arial" w:cs="Arial"/>
        </w:rPr>
        <w:t>Se emplearon SQL Server Management Studio (SSMS) como herramienta principal de administración, dbdiagram.io para el modelado del diagrama entidad-relación, y un archivo de datos de prueba (</w:t>
      </w:r>
      <w:r w:rsidRPr="0057034A">
        <w:rPr>
          <w:rStyle w:val="CdigoHTML"/>
          <w:rFonts w:ascii="Arial" w:eastAsiaTheme="majorEastAsia" w:hAnsi="Arial" w:cs="Arial"/>
          <w:sz w:val="24"/>
          <w:szCs w:val="24"/>
        </w:rPr>
        <w:t>padron_contribuyentes.csv</w:t>
      </w:r>
      <w:r w:rsidRPr="0057034A">
        <w:rPr>
          <w:rFonts w:ascii="Arial" w:hAnsi="Arial" w:cs="Arial"/>
        </w:rPr>
        <w:t>) generado de forma sintética para validar los procedimientos de carga masiva.</w:t>
      </w:r>
    </w:p>
    <w:p w:rsidR="0057034A" w:rsidRPr="0057034A" w:rsidRDefault="0057034A" w:rsidP="0057034A">
      <w:pPr>
        <w:spacing w:line="360" w:lineRule="auto"/>
        <w:rPr>
          <w:rFonts w:ascii="Arial" w:hAnsi="Arial" w:cs="Arial"/>
        </w:rPr>
      </w:pPr>
      <w:r w:rsidRPr="0057034A">
        <w:rPr>
          <w:rFonts w:ascii="Arial" w:hAnsi="Arial" w:cs="Arial"/>
        </w:rPr>
        <w:pict>
          <v:rect id="_x0000_i1025" style="width:0;height:1.5pt" o:hralign="center" o:hrstd="t" o:hr="t" fillcolor="#a0a0a0" stroked="f"/>
        </w:pict>
      </w:r>
    </w:p>
    <w:p w:rsidR="0057034A" w:rsidRPr="0057034A" w:rsidRDefault="0057034A" w:rsidP="0057034A">
      <w:pPr>
        <w:pStyle w:val="Ttulo2"/>
        <w:spacing w:line="360" w:lineRule="auto"/>
        <w:rPr>
          <w:rFonts w:ascii="Arial" w:hAnsi="Arial" w:cs="Arial"/>
          <w:sz w:val="24"/>
          <w:szCs w:val="24"/>
        </w:rPr>
      </w:pPr>
      <w:r w:rsidRPr="0057034A">
        <w:rPr>
          <w:rFonts w:ascii="Arial" w:hAnsi="Arial" w:cs="Arial"/>
          <w:sz w:val="24"/>
          <w:szCs w:val="24"/>
        </w:rPr>
        <w:lastRenderedPageBreak/>
        <w:t>BIBLIOGRAFÍA</w:t>
      </w:r>
    </w:p>
    <w:p w:rsidR="0057034A" w:rsidRPr="0057034A" w:rsidRDefault="0057034A" w:rsidP="0057034A">
      <w:pPr>
        <w:pStyle w:val="NormalWeb"/>
        <w:spacing w:line="360" w:lineRule="auto"/>
        <w:rPr>
          <w:rFonts w:ascii="Arial" w:hAnsi="Arial" w:cs="Arial"/>
        </w:rPr>
      </w:pPr>
      <w:r w:rsidRPr="0057034A">
        <w:rPr>
          <w:rStyle w:val="nfasis"/>
          <w:rFonts w:ascii="Arial" w:eastAsiaTheme="majorEastAsia" w:hAnsi="Arial" w:cs="Arial"/>
        </w:rPr>
        <w:t>(Esta sección va como capítulo aparte, al final del documento completo — no dentro del Capítulo I. Por ahora solo contiene las fuentes citadas en este capítulo; cada integrante debe agregar aquí las suyas conforme avance con el Cap. II y los demás apartados, manteniendo el orden alfabético.)</w:t>
      </w:r>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Bernal Torres, C. A. (2010). </w:t>
      </w:r>
      <w:r w:rsidRPr="0057034A">
        <w:rPr>
          <w:rStyle w:val="nfasis"/>
          <w:rFonts w:ascii="Arial" w:eastAsiaTheme="majorEastAsia" w:hAnsi="Arial" w:cs="Arial"/>
        </w:rPr>
        <w:t>Metodología de la investigación: administración, economía, humanidades y ciencias sociales</w:t>
      </w:r>
      <w:r w:rsidRPr="0057034A">
        <w:rPr>
          <w:rFonts w:ascii="Arial" w:hAnsi="Arial" w:cs="Arial"/>
        </w:rPr>
        <w:t xml:space="preserve"> (3.ª ed.). Pearson Educación.</w:t>
      </w:r>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Hernández Sampieri, R., Fernández Collado, C., &amp; Baptista Lucio, P. (2014). </w:t>
      </w:r>
      <w:r w:rsidRPr="0057034A">
        <w:rPr>
          <w:rStyle w:val="nfasis"/>
          <w:rFonts w:ascii="Arial" w:eastAsiaTheme="majorEastAsia" w:hAnsi="Arial" w:cs="Arial"/>
        </w:rPr>
        <w:t>Metodología de la investigación</w:t>
      </w:r>
      <w:r w:rsidRPr="0057034A">
        <w:rPr>
          <w:rFonts w:ascii="Arial" w:hAnsi="Arial" w:cs="Arial"/>
        </w:rPr>
        <w:t xml:space="preserve"> (6.ª ed.). McGraw-Hill </w:t>
      </w:r>
      <w:proofErr w:type="spellStart"/>
      <w:r w:rsidRPr="0057034A">
        <w:rPr>
          <w:rFonts w:ascii="Arial" w:hAnsi="Arial" w:cs="Arial"/>
        </w:rPr>
        <w:t>Education</w:t>
      </w:r>
      <w:proofErr w:type="spellEnd"/>
      <w:r w:rsidRPr="0057034A">
        <w:rPr>
          <w:rFonts w:ascii="Arial" w:hAnsi="Arial" w:cs="Arial"/>
        </w:rPr>
        <w:t>.</w:t>
      </w:r>
    </w:p>
    <w:p w:rsidR="0057034A" w:rsidRPr="0057034A" w:rsidRDefault="0057034A" w:rsidP="0057034A">
      <w:pPr>
        <w:pStyle w:val="NormalWeb"/>
        <w:spacing w:line="360" w:lineRule="auto"/>
        <w:rPr>
          <w:rFonts w:ascii="Arial" w:hAnsi="Arial" w:cs="Arial"/>
          <w:lang w:val="en-US"/>
        </w:rPr>
      </w:pPr>
      <w:proofErr w:type="spellStart"/>
      <w:r w:rsidRPr="0057034A">
        <w:rPr>
          <w:rFonts w:ascii="Arial" w:hAnsi="Arial" w:cs="Arial"/>
        </w:rPr>
        <w:t>Navicat</w:t>
      </w:r>
      <w:proofErr w:type="spellEnd"/>
      <w:r w:rsidRPr="0057034A">
        <w:rPr>
          <w:rFonts w:ascii="Arial" w:hAnsi="Arial" w:cs="Arial"/>
        </w:rPr>
        <w:t xml:space="preserve">. (2025). </w:t>
      </w:r>
      <w:r w:rsidRPr="0057034A">
        <w:rPr>
          <w:rStyle w:val="nfasis"/>
          <w:rFonts w:ascii="Arial" w:eastAsiaTheme="majorEastAsia" w:hAnsi="Arial" w:cs="Arial"/>
        </w:rPr>
        <w:t>Control de acceso basado en roles en entornos de bases de datos: entendiéndolo bien</w:t>
      </w:r>
      <w:r w:rsidRPr="0057034A">
        <w:rPr>
          <w:rFonts w:ascii="Arial" w:hAnsi="Arial" w:cs="Arial"/>
        </w:rPr>
        <w:t xml:space="preserve">. </w:t>
      </w:r>
      <w:proofErr w:type="spellStart"/>
      <w:r w:rsidRPr="0057034A">
        <w:rPr>
          <w:rFonts w:ascii="Arial" w:hAnsi="Arial" w:cs="Arial"/>
          <w:lang w:val="en-US"/>
        </w:rPr>
        <w:t>Navicat</w:t>
      </w:r>
      <w:proofErr w:type="spellEnd"/>
      <w:r w:rsidRPr="0057034A">
        <w:rPr>
          <w:rFonts w:ascii="Arial" w:hAnsi="Arial" w:cs="Arial"/>
          <w:lang w:val="en-US"/>
        </w:rPr>
        <w:t xml:space="preserve"> Blog. </w:t>
      </w:r>
      <w:hyperlink r:id="rId5" w:history="1">
        <w:r w:rsidRPr="0057034A">
          <w:rPr>
            <w:rStyle w:val="Hipervnculo"/>
            <w:rFonts w:ascii="Arial" w:hAnsi="Arial" w:cs="Arial"/>
            <w:lang w:val="en-US"/>
          </w:rPr>
          <w:t>https://www.navicat.com/es/company/aboutus/blog/3800-control-de-acceso-basado-en-roles-en-entornos-de-bases-de-datos-entendiendolo-bien.html</w:t>
        </w:r>
      </w:hyperlink>
    </w:p>
    <w:p w:rsidR="0057034A" w:rsidRPr="0057034A" w:rsidRDefault="0057034A" w:rsidP="0057034A">
      <w:pPr>
        <w:pStyle w:val="NormalWeb"/>
        <w:spacing w:line="360" w:lineRule="auto"/>
        <w:rPr>
          <w:rFonts w:ascii="Arial" w:hAnsi="Arial" w:cs="Arial"/>
        </w:rPr>
      </w:pPr>
      <w:r w:rsidRPr="0057034A">
        <w:rPr>
          <w:rFonts w:ascii="Arial" w:hAnsi="Arial" w:cs="Arial"/>
        </w:rPr>
        <w:t xml:space="preserve">Santos-Intriago, J., &amp; Bravo-Giler, M. (2025). La gestión tributaria y su incidencia en la recaudación de la Patente Municipal, del cantón El Carmen-Ecuador. </w:t>
      </w:r>
      <w:r w:rsidRPr="0057034A">
        <w:rPr>
          <w:rStyle w:val="nfasis"/>
          <w:rFonts w:ascii="Arial" w:eastAsiaTheme="majorEastAsia" w:hAnsi="Arial" w:cs="Arial"/>
        </w:rPr>
        <w:t xml:space="preserve">593 </w:t>
      </w:r>
      <w:proofErr w:type="gramStart"/>
      <w:r w:rsidRPr="0057034A">
        <w:rPr>
          <w:rStyle w:val="nfasis"/>
          <w:rFonts w:ascii="Arial" w:eastAsiaTheme="majorEastAsia" w:hAnsi="Arial" w:cs="Arial"/>
        </w:rPr>
        <w:t>Digital</w:t>
      </w:r>
      <w:proofErr w:type="gramEnd"/>
      <w:r w:rsidRPr="0057034A">
        <w:rPr>
          <w:rStyle w:val="nfasis"/>
          <w:rFonts w:ascii="Arial" w:eastAsiaTheme="majorEastAsia" w:hAnsi="Arial" w:cs="Arial"/>
        </w:rPr>
        <w:t xml:space="preserve"> Publisher CEIT</w:t>
      </w:r>
      <w:r w:rsidRPr="0057034A">
        <w:rPr>
          <w:rFonts w:ascii="Arial" w:hAnsi="Arial" w:cs="Arial"/>
        </w:rPr>
        <w:t xml:space="preserve">, </w:t>
      </w:r>
      <w:r w:rsidRPr="0057034A">
        <w:rPr>
          <w:rStyle w:val="nfasis"/>
          <w:rFonts w:ascii="Arial" w:eastAsiaTheme="majorEastAsia" w:hAnsi="Arial" w:cs="Arial"/>
        </w:rPr>
        <w:t>10</w:t>
      </w:r>
      <w:r w:rsidRPr="0057034A">
        <w:rPr>
          <w:rFonts w:ascii="Arial" w:hAnsi="Arial" w:cs="Arial"/>
        </w:rPr>
        <w:t xml:space="preserve">(5). </w:t>
      </w:r>
      <w:hyperlink r:id="rId6" w:history="1">
        <w:r w:rsidRPr="0057034A">
          <w:rPr>
            <w:rStyle w:val="Hipervnculo"/>
            <w:rFonts w:ascii="Arial" w:hAnsi="Arial" w:cs="Arial"/>
          </w:rPr>
          <w:t>https://doi.org/10.33386/593dp.2025.5.3574</w:t>
        </w:r>
      </w:hyperlink>
    </w:p>
    <w:p w:rsidR="005B6DF5" w:rsidRDefault="005B6DF5"/>
    <w:sectPr w:rsidR="005B6D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32134B"/>
    <w:multiLevelType w:val="multilevel"/>
    <w:tmpl w:val="D266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11345"/>
    <w:multiLevelType w:val="multilevel"/>
    <w:tmpl w:val="F304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75A5E"/>
    <w:multiLevelType w:val="multilevel"/>
    <w:tmpl w:val="303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34A"/>
    <w:rsid w:val="00205B92"/>
    <w:rsid w:val="0057034A"/>
    <w:rsid w:val="005B6DF5"/>
    <w:rsid w:val="00790B1E"/>
    <w:rsid w:val="00F360D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F0294-0B03-4798-A158-FCBDEEF7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57034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57034A"/>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link w:val="Ttulo4Car"/>
    <w:uiPriority w:val="9"/>
    <w:qFormat/>
    <w:rsid w:val="0057034A"/>
    <w:pPr>
      <w:spacing w:before="100" w:beforeAutospacing="1" w:after="100" w:afterAutospacing="1" w:line="240" w:lineRule="auto"/>
      <w:outlineLvl w:val="3"/>
    </w:pPr>
    <w:rPr>
      <w:rFonts w:ascii="Times New Roman" w:eastAsia="Times New Roman" w:hAnsi="Times New Roman" w:cs="Times New Roman"/>
      <w:b/>
      <w:bCs/>
      <w:kern w:val="0"/>
      <w:lang w:eastAsia="es-BO"/>
      <w14:ligatures w14:val="none"/>
    </w:rPr>
  </w:style>
  <w:style w:type="paragraph" w:styleId="Ttulo5">
    <w:name w:val="heading 5"/>
    <w:basedOn w:val="Normal"/>
    <w:next w:val="Normal"/>
    <w:link w:val="Ttulo5Car"/>
    <w:uiPriority w:val="9"/>
    <w:semiHidden/>
    <w:unhideWhenUsed/>
    <w:qFormat/>
    <w:rsid w:val="0057034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57034A"/>
    <w:rPr>
      <w:rFonts w:ascii="Times New Roman" w:eastAsia="Times New Roman" w:hAnsi="Times New Roman" w:cs="Times New Roman"/>
      <w:b/>
      <w:bCs/>
      <w:kern w:val="0"/>
      <w:lang w:eastAsia="es-BO"/>
      <w14:ligatures w14:val="none"/>
    </w:rPr>
  </w:style>
  <w:style w:type="paragraph" w:styleId="NormalWeb">
    <w:name w:val="Normal (Web)"/>
    <w:basedOn w:val="Normal"/>
    <w:uiPriority w:val="99"/>
    <w:semiHidden/>
    <w:unhideWhenUsed/>
    <w:rsid w:val="0057034A"/>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character" w:styleId="Textoennegrita">
    <w:name w:val="Strong"/>
    <w:basedOn w:val="Fuentedeprrafopredeter"/>
    <w:uiPriority w:val="22"/>
    <w:qFormat/>
    <w:rsid w:val="0057034A"/>
    <w:rPr>
      <w:b/>
      <w:bCs/>
    </w:rPr>
  </w:style>
  <w:style w:type="character" w:styleId="nfasis">
    <w:name w:val="Emphasis"/>
    <w:basedOn w:val="Fuentedeprrafopredeter"/>
    <w:uiPriority w:val="20"/>
    <w:qFormat/>
    <w:rsid w:val="0057034A"/>
    <w:rPr>
      <w:i/>
      <w:iCs/>
    </w:rPr>
  </w:style>
  <w:style w:type="character" w:styleId="CdigoHTML">
    <w:name w:val="HTML Code"/>
    <w:basedOn w:val="Fuentedeprrafopredeter"/>
    <w:uiPriority w:val="99"/>
    <w:semiHidden/>
    <w:unhideWhenUsed/>
    <w:rsid w:val="0057034A"/>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57034A"/>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57034A"/>
    <w:rPr>
      <w:rFonts w:asciiTheme="majorHAnsi" w:eastAsiaTheme="majorEastAsia" w:hAnsiTheme="majorHAnsi" w:cstheme="majorBidi"/>
      <w:color w:val="0A2F40" w:themeColor="accent1" w:themeShade="7F"/>
    </w:rPr>
  </w:style>
  <w:style w:type="character" w:customStyle="1" w:styleId="Ttulo5Car">
    <w:name w:val="Título 5 Car"/>
    <w:basedOn w:val="Fuentedeprrafopredeter"/>
    <w:link w:val="Ttulo5"/>
    <w:uiPriority w:val="9"/>
    <w:semiHidden/>
    <w:rsid w:val="0057034A"/>
    <w:rPr>
      <w:rFonts w:asciiTheme="majorHAnsi" w:eastAsiaTheme="majorEastAsia" w:hAnsiTheme="majorHAnsi" w:cstheme="majorBidi"/>
      <w:color w:val="0F4761" w:themeColor="accent1" w:themeShade="BF"/>
    </w:rPr>
  </w:style>
  <w:style w:type="character" w:styleId="Hipervnculo">
    <w:name w:val="Hyperlink"/>
    <w:basedOn w:val="Fuentedeprrafopredeter"/>
    <w:uiPriority w:val="99"/>
    <w:semiHidden/>
    <w:unhideWhenUsed/>
    <w:rsid w:val="005703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65779">
      <w:bodyDiv w:val="1"/>
      <w:marLeft w:val="0"/>
      <w:marRight w:val="0"/>
      <w:marTop w:val="0"/>
      <w:marBottom w:val="0"/>
      <w:divBdr>
        <w:top w:val="none" w:sz="0" w:space="0" w:color="auto"/>
        <w:left w:val="none" w:sz="0" w:space="0" w:color="auto"/>
        <w:bottom w:val="none" w:sz="0" w:space="0" w:color="auto"/>
        <w:right w:val="none" w:sz="0" w:space="0" w:color="auto"/>
      </w:divBdr>
    </w:div>
    <w:div w:id="124919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386/593dp.2025.5.3574" TargetMode="External"/><Relationship Id="rId5" Type="http://schemas.openxmlformats.org/officeDocument/2006/relationships/hyperlink" Target="https://www.navicat.com/es/company/aboutus/blog/3800-control-de-acceso-basado-en-roles-en-entornos-de-bases-de-datos-entendiendolo-bien.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1560</Words>
  <Characters>8580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Villegas</dc:creator>
  <cp:keywords/>
  <dc:description/>
  <cp:lastModifiedBy>Juan Villegas</cp:lastModifiedBy>
  <cp:revision>1</cp:revision>
  <dcterms:created xsi:type="dcterms:W3CDTF">2026-09-26T01:24:00Z</dcterms:created>
  <dcterms:modified xsi:type="dcterms:W3CDTF">2026-09-26T01:41:00Z</dcterms:modified>
</cp:coreProperties>
</file>