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PROYECTO FINAL DE MINERÍA DE DATOS</w:t>
      </w:r>
    </w:p>
    <w:p>
      <w:pPr>
        <w:jc w:val="center"/>
      </w:pPr>
      <w:r>
        <w:rPr>
          <w:b/>
          <w:color w:val="1F4E79"/>
          <w:sz w:val="48"/>
        </w:rPr>
        <w:t>Predicción de Ventas con Series de Tiempo</w:t>
      </w:r>
    </w:p>
    <w:p>
      <w:pPr>
        <w:jc w:val="center"/>
      </w:pPr>
      <w:r>
        <w:rPr>
          <w:i/>
          <w:color w:val="2F5597"/>
          <w:sz w:val="28"/>
        </w:rPr>
        <w:t>Rossmann Store Sales Dataset</w:t>
      </w:r>
    </w:p>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873"/>
        <w:gridCol w:w="4873"/>
      </w:tblGrid>
      <w:tr>
        <w:tc>
          <w:tcPr>
            <w:tcW w:type="dxa" w:w="4873"/>
            <w:shd w:fill="1F4E79"/>
            <w:vAlign w:val="center"/>
          </w:tcPr>
          <w:p>
            <w:pPr>
              <w:spacing w:after="40" w:before="40"/>
            </w:pPr>
            <w:r>
              <w:rPr>
                <w:rFonts w:ascii="Arial" w:hAnsi="Arial"/>
                <w:b/>
                <w:color w:val="FFFFFF"/>
                <w:sz w:val="18"/>
              </w:rPr>
              <w:t>Elemento</w:t>
            </w:r>
          </w:p>
        </w:tc>
        <w:tc>
          <w:tcPr>
            <w:tcW w:type="dxa" w:w="4873"/>
            <w:shd w:fill="1F4E79"/>
            <w:vAlign w:val="center"/>
          </w:tcPr>
          <w:p>
            <w:pPr>
              <w:spacing w:after="40" w:before="40"/>
            </w:pPr>
            <w:r>
              <w:rPr>
                <w:rFonts w:ascii="Arial" w:hAnsi="Arial"/>
                <w:b/>
                <w:color w:val="FFFFFF"/>
                <w:sz w:val="18"/>
              </w:rPr>
              <w:t>Descripción</w:t>
            </w:r>
          </w:p>
        </w:tc>
      </w:tr>
      <w:tr>
        <w:tc>
          <w:tcPr>
            <w:tcW w:type="dxa" w:w="4873"/>
            <w:vAlign w:val="center"/>
          </w:tcPr>
          <w:p>
            <w:pPr>
              <w:spacing w:after="40" w:before="40"/>
            </w:pPr>
            <w:r>
              <w:rPr>
                <w:rFonts w:ascii="Arial" w:hAnsi="Arial"/>
                <w:sz w:val="18"/>
              </w:rPr>
              <w:t>Metodología</w:t>
            </w:r>
          </w:p>
        </w:tc>
        <w:tc>
          <w:tcPr>
            <w:tcW w:type="dxa" w:w="4873"/>
            <w:vAlign w:val="center"/>
          </w:tcPr>
          <w:p>
            <w:pPr>
              <w:spacing w:after="40" w:before="40"/>
            </w:pPr>
            <w:r>
              <w:rPr>
                <w:rFonts w:ascii="Arial" w:hAnsi="Arial"/>
                <w:sz w:val="18"/>
              </w:rPr>
              <w:t>CRISP-DM</w:t>
            </w:r>
          </w:p>
        </w:tc>
      </w:tr>
      <w:tr>
        <w:tc>
          <w:tcPr>
            <w:tcW w:type="dxa" w:w="4873"/>
            <w:vAlign w:val="center"/>
          </w:tcPr>
          <w:p>
            <w:pPr>
              <w:spacing w:after="40" w:before="40"/>
            </w:pPr>
            <w:r>
              <w:rPr>
                <w:rFonts w:ascii="Arial" w:hAnsi="Arial"/>
                <w:sz w:val="18"/>
              </w:rPr>
              <w:t>Modelos técnicos</w:t>
            </w:r>
          </w:p>
        </w:tc>
        <w:tc>
          <w:tcPr>
            <w:tcW w:type="dxa" w:w="4873"/>
            <w:vAlign w:val="center"/>
          </w:tcPr>
          <w:p>
            <w:pPr>
              <w:spacing w:after="40" w:before="40"/>
            </w:pPr>
            <w:r>
              <w:rPr>
                <w:rFonts w:ascii="Arial" w:hAnsi="Arial"/>
                <w:sz w:val="18"/>
              </w:rPr>
              <w:t>ARIMA, Prophet y LSTM</w:t>
            </w:r>
          </w:p>
        </w:tc>
      </w:tr>
      <w:tr>
        <w:tc>
          <w:tcPr>
            <w:tcW w:type="dxa" w:w="4873"/>
            <w:vAlign w:val="center"/>
          </w:tcPr>
          <w:p>
            <w:pPr>
              <w:spacing w:after="40" w:before="40"/>
            </w:pPr>
            <w:r>
              <w:rPr>
                <w:rFonts w:ascii="Arial" w:hAnsi="Arial"/>
                <w:sz w:val="18"/>
              </w:rPr>
              <w:t>Métricas</w:t>
            </w:r>
          </w:p>
        </w:tc>
        <w:tc>
          <w:tcPr>
            <w:tcW w:type="dxa" w:w="4873"/>
            <w:vAlign w:val="center"/>
          </w:tcPr>
          <w:p>
            <w:pPr>
              <w:spacing w:after="40" w:before="40"/>
            </w:pPr>
            <w:r>
              <w:rPr>
                <w:rFonts w:ascii="Arial" w:hAnsi="Arial"/>
                <w:sz w:val="18"/>
              </w:rPr>
              <w:t>RMSE, MAE y MAPE</w:t>
            </w:r>
          </w:p>
        </w:tc>
      </w:tr>
      <w:tr>
        <w:tc>
          <w:tcPr>
            <w:tcW w:type="dxa" w:w="4873"/>
            <w:vAlign w:val="center"/>
          </w:tcPr>
          <w:p>
            <w:pPr>
              <w:spacing w:after="40" w:before="40"/>
            </w:pPr>
            <w:r>
              <w:rPr>
                <w:rFonts w:ascii="Arial" w:hAnsi="Arial"/>
                <w:sz w:val="18"/>
              </w:rPr>
              <w:t>Funcionalidades</w:t>
            </w:r>
          </w:p>
        </w:tc>
        <w:tc>
          <w:tcPr>
            <w:tcW w:type="dxa" w:w="4873"/>
            <w:vAlign w:val="center"/>
          </w:tcPr>
          <w:p>
            <w:pPr>
              <w:spacing w:after="40" w:before="40"/>
            </w:pPr>
            <w:r>
              <w:rPr>
                <w:rFonts w:ascii="Arial" w:hAnsi="Arial"/>
                <w:sz w:val="18"/>
              </w:rPr>
              <w:t>Dashboard de predicción, simulación de escenarios y visualización temporal</w:t>
            </w:r>
          </w:p>
        </w:tc>
      </w:tr>
      <w:tr>
        <w:tc>
          <w:tcPr>
            <w:tcW w:type="dxa" w:w="4873"/>
            <w:vAlign w:val="center"/>
          </w:tcPr>
          <w:p>
            <w:pPr>
              <w:spacing w:after="40" w:before="40"/>
            </w:pPr>
            <w:r>
              <w:rPr>
                <w:rFonts w:ascii="Arial" w:hAnsi="Arial"/>
                <w:sz w:val="18"/>
              </w:rPr>
              <w:t>Modelo seleccionado</w:t>
            </w:r>
          </w:p>
        </w:tc>
        <w:tc>
          <w:tcPr>
            <w:tcW w:type="dxa" w:w="4873"/>
            <w:vAlign w:val="center"/>
          </w:tcPr>
          <w:p>
            <w:pPr>
              <w:spacing w:after="40" w:before="40"/>
            </w:pPr>
            <w:r>
              <w:rPr>
                <w:rFonts w:ascii="Arial" w:hAnsi="Arial"/>
                <w:sz w:val="18"/>
              </w:rPr>
              <w:t>Prophet</w:t>
            </w:r>
          </w:p>
        </w:tc>
      </w:tr>
    </w:tbl>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9746"/>
      </w:tblGrid>
      <w:tr>
        <w:tc>
          <w:tcPr>
            <w:tcW w:type="dxa" w:w="9746"/>
            <w:shd w:fill="1F4E79"/>
            <w:vAlign w:val="center"/>
          </w:tcPr>
          <w:p>
            <w:pPr>
              <w:spacing w:after="40" w:before="40"/>
            </w:pPr>
            <w:r>
              <w:rPr>
                <w:rFonts w:ascii="Arial" w:hAnsi="Arial"/>
                <w:b/>
                <w:color w:val="FFFFFF"/>
                <w:sz w:val="18"/>
              </w:rPr>
              <w:t>Integrantes del equipo</w:t>
            </w:r>
          </w:p>
        </w:tc>
      </w:tr>
      <w:tr>
        <w:tc>
          <w:tcPr>
            <w:tcW w:type="dxa" w:w="9746"/>
            <w:vAlign w:val="center"/>
          </w:tcPr>
          <w:p>
            <w:pPr>
              <w:spacing w:after="40" w:before="40"/>
            </w:pPr>
            <w:r>
              <w:rPr>
                <w:rFonts w:ascii="Arial" w:hAnsi="Arial"/>
                <w:sz w:val="18"/>
              </w:rPr>
              <w:t>1. ________________________________</w:t>
            </w:r>
          </w:p>
        </w:tc>
      </w:tr>
      <w:tr>
        <w:tc>
          <w:tcPr>
            <w:tcW w:type="dxa" w:w="9746"/>
            <w:vAlign w:val="center"/>
          </w:tcPr>
          <w:p>
            <w:pPr>
              <w:spacing w:after="40" w:before="40"/>
            </w:pPr>
            <w:r>
              <w:rPr>
                <w:rFonts w:ascii="Arial" w:hAnsi="Arial"/>
                <w:sz w:val="18"/>
              </w:rPr>
              <w:t>2. ________________________________</w:t>
            </w:r>
          </w:p>
        </w:tc>
      </w:tr>
      <w:tr>
        <w:tc>
          <w:tcPr>
            <w:tcW w:type="dxa" w:w="9746"/>
            <w:vAlign w:val="center"/>
          </w:tcPr>
          <w:p>
            <w:pPr>
              <w:spacing w:after="40" w:before="40"/>
            </w:pPr>
            <w:r>
              <w:rPr>
                <w:rFonts w:ascii="Arial" w:hAnsi="Arial"/>
                <w:sz w:val="18"/>
              </w:rPr>
              <w:t>3. ________________________________</w:t>
            </w:r>
          </w:p>
        </w:tc>
      </w:tr>
    </w:tbl>
    <w:p/>
    <w:p>
      <w:pPr>
        <w:jc w:val="center"/>
      </w:pPr>
      <w:r>
        <w:rPr>
          <w:b/>
          <w:sz w:val="24"/>
        </w:rPr>
        <w:t>Documento técnico del proceso de minería de datos</w:t>
      </w:r>
    </w:p>
    <w:p>
      <w:pPr>
        <w:jc w:val="center"/>
      </w:pPr>
      <w:r>
        <w:rPr>
          <w:sz w:val="22"/>
        </w:rPr>
        <w:t>Año: 2026</w:t>
      </w:r>
    </w:p>
    <w:p>
      <w:r>
        <w:br w:type="page"/>
      </w:r>
    </w:p>
    <w:p>
      <w:pPr>
        <w:pStyle w:val="Heading1"/>
      </w:pPr>
      <w:r>
        <w:t>Tabla de contenido</w:t>
      </w:r>
    </w:p>
    <w:p>
      <w:pPr>
        <w:spacing w:after="60"/>
        <w:ind w:left="283"/>
      </w:pPr>
      <w:r>
        <w:t>1. Introducción</w:t>
      </w:r>
    </w:p>
    <w:p>
      <w:pPr>
        <w:spacing w:after="60"/>
        <w:ind w:left="283"/>
      </w:pPr>
      <w:r>
        <w:t>2. Objetivo general y alcance del proyecto</w:t>
      </w:r>
    </w:p>
    <w:p>
      <w:pPr>
        <w:spacing w:after="60"/>
        <w:ind w:left="283"/>
      </w:pPr>
      <w:r>
        <w:t>3. Dataset utilizado</w:t>
      </w:r>
    </w:p>
    <w:p>
      <w:pPr>
        <w:spacing w:after="60"/>
        <w:ind w:left="283"/>
      </w:pPr>
      <w:r>
        <w:t>4. Metodología CRISP-DM</w:t>
      </w:r>
    </w:p>
    <w:p>
      <w:pPr>
        <w:spacing w:after="60"/>
        <w:ind w:left="283"/>
      </w:pPr>
      <w:r>
        <w:t>5. Fase 1: Comprensión del negocio</w:t>
      </w:r>
    </w:p>
    <w:p>
      <w:pPr>
        <w:spacing w:after="60"/>
        <w:ind w:left="283"/>
      </w:pPr>
      <w:r>
        <w:t>6. Fase 2: Comprensión de los datos</w:t>
      </w:r>
    </w:p>
    <w:p>
      <w:pPr>
        <w:spacing w:after="60"/>
        <w:ind w:left="283"/>
      </w:pPr>
      <w:r>
        <w:t>7. Fase 3: Preparación de los datos</w:t>
      </w:r>
    </w:p>
    <w:p>
      <w:pPr>
        <w:spacing w:after="60"/>
        <w:ind w:left="283"/>
      </w:pPr>
      <w:r>
        <w:t>8. Análisis de estacionalidad y visualización temporal</w:t>
      </w:r>
    </w:p>
    <w:p>
      <w:pPr>
        <w:spacing w:after="60"/>
        <w:ind w:left="283"/>
      </w:pPr>
      <w:r>
        <w:t>9. Fase 4: Modelado</w:t>
      </w:r>
    </w:p>
    <w:p>
      <w:pPr>
        <w:spacing w:after="60"/>
        <w:ind w:left="283"/>
      </w:pPr>
      <w:r>
        <w:t>10. Fase 5: Evaluación</w:t>
      </w:r>
    </w:p>
    <w:p>
      <w:pPr>
        <w:spacing w:after="60"/>
        <w:ind w:left="283"/>
      </w:pPr>
      <w:r>
        <w:t>11. Fase 6: Despliegue</w:t>
      </w:r>
    </w:p>
    <w:p>
      <w:pPr>
        <w:spacing w:after="60"/>
        <w:ind w:left="283"/>
      </w:pPr>
      <w:r>
        <w:t>12. Simulación de escenarios</w:t>
      </w:r>
    </w:p>
    <w:p>
      <w:pPr>
        <w:spacing w:after="60"/>
        <w:ind w:left="283"/>
      </w:pPr>
      <w:r>
        <w:t>13. Conclusiones</w:t>
      </w:r>
    </w:p>
    <w:p>
      <w:pPr>
        <w:spacing w:after="60"/>
        <w:ind w:left="283"/>
      </w:pPr>
      <w:r>
        <w:t>14. Guía breve para exposición</w:t>
      </w:r>
    </w:p>
    <w:p>
      <w:pPr>
        <w:spacing w:after="60"/>
        <w:ind w:left="283"/>
      </w:pPr>
      <w:r>
        <w:t>15. Evidencia de cumplimiento exacto del enunciado</w:t>
      </w:r>
    </w:p>
    <w:p>
      <w:r>
        <w:br w:type="page"/>
      </w:r>
    </w:p>
    <w:p>
      <w:pPr>
        <w:pStyle w:val="Heading1"/>
      </w:pPr>
      <w:r>
        <w:t>1. Introducción</w:t>
      </w:r>
    </w:p>
    <w:p>
      <w:r>
        <w:t>El presente documento técnico describe el proceso de minería de datos realizado para el proyecto final de predicción de ventas con series de tiempo. El trabajo se desarrolló con el Rossmann Store Sales Dataset y siguió la metodología CRISP-DM para evidenciar de manera ordenada las fases de comprensión del negocio, comprensión de los datos, preparación, modelado, evaluación y despliegue.</w:t>
      </w:r>
    </w:p>
    <w:p>
      <w:r>
        <w:t>La solución se centra en estimar la demanda futura de ventas mediante los tres modelos solicitados en el taller: ARIMA, Prophet y LSTM. Además, integra variables externas disponibles en el dataset, como promociones, festivos, apertura de tiendas, promoción extendida y distancia de competencia, con el fin de apoyar la planificación de marketing.</w:t>
      </w:r>
    </w:p>
    <w:p>
      <w:pPr>
        <w:pStyle w:val="Heading1"/>
      </w:pPr>
      <w:r>
        <w:t>2. Objetivo general y alcance del proyecto</w:t>
      </w:r>
    </w:p>
    <w:p>
      <w:r>
        <w:rPr>
          <w:b/>
        </w:rPr>
        <w:t>Objetivo general</w:t>
      </w:r>
    </w:p>
    <w:p>
      <w:r>
        <w:t>Desarrollar un modelo predictivo de series de tiempo que permita estimar la demanda futura integrando variables externas para optimizar la planificación de marketing.</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249"/>
        <w:gridCol w:w="3249"/>
        <w:gridCol w:w="3249"/>
      </w:tblGrid>
      <w:tr>
        <w:tc>
          <w:tcPr>
            <w:tcW w:type="dxa" w:w="3249"/>
            <w:shd w:fill="1F4E79"/>
            <w:vAlign w:val="center"/>
          </w:tcPr>
          <w:p>
            <w:pPr>
              <w:spacing w:after="40" w:before="40"/>
            </w:pPr>
            <w:r>
              <w:rPr>
                <w:rFonts w:ascii="Arial" w:hAnsi="Arial"/>
                <w:b/>
                <w:color w:val="FFFFFF"/>
                <w:sz w:val="18"/>
              </w:rPr>
              <w:t>Tipo</w:t>
            </w:r>
          </w:p>
        </w:tc>
        <w:tc>
          <w:tcPr>
            <w:tcW w:type="dxa" w:w="3249"/>
            <w:shd w:fill="1F4E79"/>
            <w:vAlign w:val="center"/>
          </w:tcPr>
          <w:p>
            <w:pPr>
              <w:spacing w:after="40" w:before="40"/>
            </w:pPr>
            <w:r>
              <w:rPr>
                <w:rFonts w:ascii="Arial" w:hAnsi="Arial"/>
                <w:b/>
                <w:color w:val="FFFFFF"/>
                <w:sz w:val="18"/>
              </w:rPr>
              <w:t>Requerimiento del taller</w:t>
            </w:r>
          </w:p>
        </w:tc>
        <w:tc>
          <w:tcPr>
            <w:tcW w:type="dxa" w:w="3249"/>
            <w:shd w:fill="1F4E79"/>
            <w:vAlign w:val="center"/>
          </w:tcPr>
          <w:p>
            <w:pPr>
              <w:spacing w:after="40" w:before="40"/>
            </w:pPr>
            <w:r>
              <w:rPr>
                <w:rFonts w:ascii="Arial" w:hAnsi="Arial"/>
                <w:b/>
                <w:color w:val="FFFFFF"/>
                <w:sz w:val="18"/>
              </w:rPr>
              <w:t>Cumplimiento en el proyecto</w:t>
            </w:r>
          </w:p>
        </w:tc>
      </w:tr>
      <w:tr>
        <w:tc>
          <w:tcPr>
            <w:tcW w:type="dxa" w:w="3249"/>
            <w:vAlign w:val="center"/>
          </w:tcPr>
          <w:p>
            <w:pPr>
              <w:spacing w:after="40" w:before="40"/>
            </w:pPr>
            <w:r>
              <w:rPr>
                <w:rFonts w:ascii="Arial" w:hAnsi="Arial"/>
                <w:sz w:val="18"/>
              </w:rPr>
              <w:t>Técnico</w:t>
            </w:r>
          </w:p>
        </w:tc>
        <w:tc>
          <w:tcPr>
            <w:tcW w:type="dxa" w:w="3249"/>
            <w:vAlign w:val="center"/>
          </w:tcPr>
          <w:p>
            <w:pPr>
              <w:spacing w:after="40" w:before="40"/>
            </w:pPr>
            <w:r>
              <w:rPr>
                <w:rFonts w:ascii="Arial" w:hAnsi="Arial"/>
                <w:sz w:val="18"/>
              </w:rPr>
              <w:t>Modelos ARIMA, Prophet y LSTM</w:t>
            </w:r>
          </w:p>
        </w:tc>
        <w:tc>
          <w:tcPr>
            <w:tcW w:type="dxa" w:w="3249"/>
            <w:vAlign w:val="center"/>
          </w:tcPr>
          <w:p>
            <w:pPr>
              <w:spacing w:after="40" w:before="40"/>
            </w:pPr>
            <w:r>
              <w:rPr>
                <w:rFonts w:ascii="Arial" w:hAnsi="Arial"/>
                <w:sz w:val="18"/>
              </w:rPr>
              <w:t>Se implementaron y compararon los tres modelos.</w:t>
            </w:r>
          </w:p>
        </w:tc>
      </w:tr>
      <w:tr>
        <w:tc>
          <w:tcPr>
            <w:tcW w:type="dxa" w:w="3249"/>
            <w:vAlign w:val="center"/>
          </w:tcPr>
          <w:p>
            <w:pPr>
              <w:spacing w:after="40" w:before="40"/>
            </w:pPr>
            <w:r>
              <w:rPr>
                <w:rFonts w:ascii="Arial" w:hAnsi="Arial"/>
                <w:sz w:val="18"/>
              </w:rPr>
              <w:t>Técnico</w:t>
            </w:r>
          </w:p>
        </w:tc>
        <w:tc>
          <w:tcPr>
            <w:tcW w:type="dxa" w:w="3249"/>
            <w:vAlign w:val="center"/>
          </w:tcPr>
          <w:p>
            <w:pPr>
              <w:spacing w:after="40" w:before="40"/>
            </w:pPr>
            <w:r>
              <w:rPr>
                <w:rFonts w:ascii="Arial" w:hAnsi="Arial"/>
                <w:sz w:val="18"/>
              </w:rPr>
              <w:t>Análisis de estacionalidad</w:t>
            </w:r>
          </w:p>
        </w:tc>
        <w:tc>
          <w:tcPr>
            <w:tcW w:type="dxa" w:w="3249"/>
            <w:vAlign w:val="center"/>
          </w:tcPr>
          <w:p>
            <w:pPr>
              <w:spacing w:after="40" w:before="40"/>
            </w:pPr>
            <w:r>
              <w:rPr>
                <w:rFonts w:ascii="Arial" w:hAnsi="Arial"/>
                <w:sz w:val="18"/>
              </w:rPr>
              <w:t>Se analizaron ventas por tiempo, mes, día de semana, tendencia y medias móviles.</w:t>
            </w:r>
          </w:p>
        </w:tc>
      </w:tr>
      <w:tr>
        <w:tc>
          <w:tcPr>
            <w:tcW w:type="dxa" w:w="3249"/>
            <w:vAlign w:val="center"/>
          </w:tcPr>
          <w:p>
            <w:pPr>
              <w:spacing w:after="40" w:before="40"/>
            </w:pPr>
            <w:r>
              <w:rPr>
                <w:rFonts w:ascii="Arial" w:hAnsi="Arial"/>
                <w:sz w:val="18"/>
              </w:rPr>
              <w:t>Técnico</w:t>
            </w:r>
          </w:p>
        </w:tc>
        <w:tc>
          <w:tcPr>
            <w:tcW w:type="dxa" w:w="3249"/>
            <w:vAlign w:val="center"/>
          </w:tcPr>
          <w:p>
            <w:pPr>
              <w:spacing w:after="40" w:before="40"/>
            </w:pPr>
            <w:r>
              <w:rPr>
                <w:rFonts w:ascii="Arial" w:hAnsi="Arial"/>
                <w:sz w:val="18"/>
              </w:rPr>
              <w:t>Métricas RMSE, MAE y MAPE</w:t>
            </w:r>
          </w:p>
        </w:tc>
        <w:tc>
          <w:tcPr>
            <w:tcW w:type="dxa" w:w="3249"/>
            <w:vAlign w:val="center"/>
          </w:tcPr>
          <w:p>
            <w:pPr>
              <w:spacing w:after="40" w:before="40"/>
            </w:pPr>
            <w:r>
              <w:rPr>
                <w:rFonts w:ascii="Arial" w:hAnsi="Arial"/>
                <w:sz w:val="18"/>
              </w:rPr>
              <w:t>Se calcularon las tres métricas para cada modelo.</w:t>
            </w:r>
          </w:p>
        </w:tc>
      </w:tr>
      <w:tr>
        <w:tc>
          <w:tcPr>
            <w:tcW w:type="dxa" w:w="3249"/>
            <w:vAlign w:val="center"/>
          </w:tcPr>
          <w:p>
            <w:pPr>
              <w:spacing w:after="40" w:before="40"/>
            </w:pPr>
            <w:r>
              <w:rPr>
                <w:rFonts w:ascii="Arial" w:hAnsi="Arial"/>
                <w:sz w:val="18"/>
              </w:rPr>
              <w:t>Funcional</w:t>
            </w:r>
          </w:p>
        </w:tc>
        <w:tc>
          <w:tcPr>
            <w:tcW w:type="dxa" w:w="3249"/>
            <w:vAlign w:val="center"/>
          </w:tcPr>
          <w:p>
            <w:pPr>
              <w:spacing w:after="40" w:before="40"/>
            </w:pPr>
            <w:r>
              <w:rPr>
                <w:rFonts w:ascii="Arial" w:hAnsi="Arial"/>
                <w:sz w:val="18"/>
              </w:rPr>
              <w:t>Dashboard de predicción</w:t>
            </w:r>
          </w:p>
        </w:tc>
        <w:tc>
          <w:tcPr>
            <w:tcW w:type="dxa" w:w="3249"/>
            <w:vAlign w:val="center"/>
          </w:tcPr>
          <w:p>
            <w:pPr>
              <w:spacing w:after="40" w:before="40"/>
            </w:pPr>
            <w:r>
              <w:rPr>
                <w:rFonts w:ascii="Arial" w:hAnsi="Arial"/>
                <w:sz w:val="18"/>
              </w:rPr>
              <w:t>Se preparó una app en Streamlit para visualizar resultados.</w:t>
            </w:r>
          </w:p>
        </w:tc>
      </w:tr>
      <w:tr>
        <w:tc>
          <w:tcPr>
            <w:tcW w:type="dxa" w:w="3249"/>
            <w:vAlign w:val="center"/>
          </w:tcPr>
          <w:p>
            <w:pPr>
              <w:spacing w:after="40" w:before="40"/>
            </w:pPr>
            <w:r>
              <w:rPr>
                <w:rFonts w:ascii="Arial" w:hAnsi="Arial"/>
                <w:sz w:val="18"/>
              </w:rPr>
              <w:t>Funcional</w:t>
            </w:r>
          </w:p>
        </w:tc>
        <w:tc>
          <w:tcPr>
            <w:tcW w:type="dxa" w:w="3249"/>
            <w:vAlign w:val="center"/>
          </w:tcPr>
          <w:p>
            <w:pPr>
              <w:spacing w:after="40" w:before="40"/>
            </w:pPr>
            <w:r>
              <w:rPr>
                <w:rFonts w:ascii="Arial" w:hAnsi="Arial"/>
                <w:sz w:val="18"/>
              </w:rPr>
              <w:t>Simulación de escenarios</w:t>
            </w:r>
          </w:p>
        </w:tc>
        <w:tc>
          <w:tcPr>
            <w:tcW w:type="dxa" w:w="3249"/>
            <w:vAlign w:val="center"/>
          </w:tcPr>
          <w:p>
            <w:pPr>
              <w:spacing w:after="40" w:before="40"/>
            </w:pPr>
            <w:r>
              <w:rPr>
                <w:rFonts w:ascii="Arial" w:hAnsi="Arial"/>
                <w:sz w:val="18"/>
              </w:rPr>
              <w:t>Se simulan escenarios base, optimista y pesimista con Prophet.</w:t>
            </w:r>
          </w:p>
        </w:tc>
      </w:tr>
      <w:tr>
        <w:tc>
          <w:tcPr>
            <w:tcW w:type="dxa" w:w="3249"/>
            <w:vAlign w:val="center"/>
          </w:tcPr>
          <w:p>
            <w:pPr>
              <w:spacing w:after="40" w:before="40"/>
            </w:pPr>
            <w:r>
              <w:rPr>
                <w:rFonts w:ascii="Arial" w:hAnsi="Arial"/>
                <w:sz w:val="18"/>
              </w:rPr>
              <w:t>Funcional</w:t>
            </w:r>
          </w:p>
        </w:tc>
        <w:tc>
          <w:tcPr>
            <w:tcW w:type="dxa" w:w="3249"/>
            <w:vAlign w:val="center"/>
          </w:tcPr>
          <w:p>
            <w:pPr>
              <w:spacing w:after="40" w:before="40"/>
            </w:pPr>
            <w:r>
              <w:rPr>
                <w:rFonts w:ascii="Arial" w:hAnsi="Arial"/>
                <w:sz w:val="18"/>
              </w:rPr>
              <w:t>Visualización temporal</w:t>
            </w:r>
          </w:p>
        </w:tc>
        <w:tc>
          <w:tcPr>
            <w:tcW w:type="dxa" w:w="3249"/>
            <w:vAlign w:val="center"/>
          </w:tcPr>
          <w:p>
            <w:pPr>
              <w:spacing w:after="40" w:before="40"/>
            </w:pPr>
            <w:r>
              <w:rPr>
                <w:rFonts w:ascii="Arial" w:hAnsi="Arial"/>
                <w:sz w:val="18"/>
              </w:rPr>
              <w:t>Se visualizan ventas reales y predicciones en el tiempo.</w:t>
            </w:r>
          </w:p>
        </w:tc>
      </w:tr>
    </w:tbl>
    <w:p>
      <w:r>
        <w:t>El alcance se mantuvo estrictamente dentro de lo solicitado. No se incorporaron modelos adicionales como Random Forest, XGBoost, regresión, ARIMAX, SARIMAX o clustering. Tampoco se utilizaron fuentes externas diferentes al dataset indicado.</w:t>
      </w:r>
    </w:p>
    <w:p>
      <w:pPr>
        <w:pStyle w:val="Heading1"/>
      </w:pPr>
      <w:r>
        <w:t>3. Dataset utilizado</w:t>
      </w:r>
    </w:p>
    <w:p>
      <w:r>
        <w:t>Dataset: Rossmann Store Sales Dataset.</w:t>
      </w:r>
    </w:p>
    <w:p>
      <w:r>
        <w:t>Fuente indicada en el taller: https://www.kaggle.com/competitions/rossmann-store-sales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873"/>
        <w:gridCol w:w="4873"/>
      </w:tblGrid>
      <w:tr>
        <w:tc>
          <w:tcPr>
            <w:tcW w:type="dxa" w:w="4873"/>
            <w:shd w:fill="1F4E79"/>
            <w:vAlign w:val="center"/>
          </w:tcPr>
          <w:p>
            <w:pPr>
              <w:spacing w:after="40" w:before="40"/>
            </w:pPr>
            <w:r>
              <w:rPr>
                <w:rFonts w:ascii="Arial" w:hAnsi="Arial"/>
                <w:b/>
                <w:color w:val="FFFFFF"/>
                <w:sz w:val="18"/>
              </w:rPr>
              <w:t>Archivo</w:t>
            </w:r>
          </w:p>
        </w:tc>
        <w:tc>
          <w:tcPr>
            <w:tcW w:type="dxa" w:w="4873"/>
            <w:shd w:fill="1F4E79"/>
            <w:vAlign w:val="center"/>
          </w:tcPr>
          <w:p>
            <w:pPr>
              <w:spacing w:after="40" w:before="40"/>
            </w:pPr>
            <w:r>
              <w:rPr>
                <w:rFonts w:ascii="Arial" w:hAnsi="Arial"/>
                <w:b/>
                <w:color w:val="FFFFFF"/>
                <w:sz w:val="18"/>
              </w:rPr>
              <w:t>Uso dentro del proyecto</w:t>
            </w:r>
          </w:p>
        </w:tc>
      </w:tr>
      <w:tr>
        <w:tc>
          <w:tcPr>
            <w:tcW w:type="dxa" w:w="4873"/>
            <w:vAlign w:val="center"/>
          </w:tcPr>
          <w:p>
            <w:pPr>
              <w:spacing w:after="40" w:before="40"/>
            </w:pPr>
            <w:r>
              <w:rPr>
                <w:rFonts w:ascii="Arial" w:hAnsi="Arial"/>
                <w:sz w:val="18"/>
              </w:rPr>
              <w:t>train.csv</w:t>
            </w:r>
          </w:p>
        </w:tc>
        <w:tc>
          <w:tcPr>
            <w:tcW w:type="dxa" w:w="4873"/>
            <w:vAlign w:val="center"/>
          </w:tcPr>
          <w:p>
            <w:pPr>
              <w:spacing w:after="40" w:before="40"/>
            </w:pPr>
            <w:r>
              <w:rPr>
                <w:rFonts w:ascii="Arial" w:hAnsi="Arial"/>
                <w:sz w:val="18"/>
              </w:rPr>
              <w:t>Histórico de ventas utilizado para análisis, preparación y entrenamiento.</w:t>
            </w:r>
          </w:p>
        </w:tc>
      </w:tr>
      <w:tr>
        <w:tc>
          <w:tcPr>
            <w:tcW w:type="dxa" w:w="4873"/>
            <w:vAlign w:val="center"/>
          </w:tcPr>
          <w:p>
            <w:pPr>
              <w:spacing w:after="40" w:before="40"/>
            </w:pPr>
            <w:r>
              <w:rPr>
                <w:rFonts w:ascii="Arial" w:hAnsi="Arial"/>
                <w:sz w:val="18"/>
              </w:rPr>
              <w:t>test.csv</w:t>
            </w:r>
          </w:p>
        </w:tc>
        <w:tc>
          <w:tcPr>
            <w:tcW w:type="dxa" w:w="4873"/>
            <w:vAlign w:val="center"/>
          </w:tcPr>
          <w:p>
            <w:pPr>
              <w:spacing w:after="40" w:before="40"/>
            </w:pPr>
            <w:r>
              <w:rPr>
                <w:rFonts w:ascii="Arial" w:hAnsi="Arial"/>
                <w:sz w:val="18"/>
              </w:rPr>
              <w:t>Archivo de referencia del dataset para predicciones futuras.</w:t>
            </w:r>
          </w:p>
        </w:tc>
      </w:tr>
      <w:tr>
        <w:tc>
          <w:tcPr>
            <w:tcW w:type="dxa" w:w="4873"/>
            <w:vAlign w:val="center"/>
          </w:tcPr>
          <w:p>
            <w:pPr>
              <w:spacing w:after="40" w:before="40"/>
            </w:pPr>
            <w:r>
              <w:rPr>
                <w:rFonts w:ascii="Arial" w:hAnsi="Arial"/>
                <w:sz w:val="18"/>
              </w:rPr>
              <w:t>store.csv</w:t>
            </w:r>
          </w:p>
        </w:tc>
        <w:tc>
          <w:tcPr>
            <w:tcW w:type="dxa" w:w="4873"/>
            <w:vAlign w:val="center"/>
          </w:tcPr>
          <w:p>
            <w:pPr>
              <w:spacing w:after="40" w:before="40"/>
            </w:pPr>
            <w:r>
              <w:rPr>
                <w:rFonts w:ascii="Arial" w:hAnsi="Arial"/>
                <w:sz w:val="18"/>
              </w:rPr>
              <w:t>Variables externas de las tiendas, como tipo, surtido, competencia y promociones extendidas.</w:t>
            </w:r>
          </w:p>
        </w:tc>
      </w:tr>
      <w:tr>
        <w:tc>
          <w:tcPr>
            <w:tcW w:type="dxa" w:w="4873"/>
            <w:vAlign w:val="center"/>
          </w:tcPr>
          <w:p>
            <w:pPr>
              <w:spacing w:after="40" w:before="40"/>
            </w:pPr>
            <w:r>
              <w:rPr>
                <w:rFonts w:ascii="Arial" w:hAnsi="Arial"/>
                <w:sz w:val="18"/>
              </w:rPr>
              <w:t>sample_submission.csv</w:t>
            </w:r>
          </w:p>
        </w:tc>
        <w:tc>
          <w:tcPr>
            <w:tcW w:type="dxa" w:w="4873"/>
            <w:vAlign w:val="center"/>
          </w:tcPr>
          <w:p>
            <w:pPr>
              <w:spacing w:after="40" w:before="40"/>
            </w:pPr>
            <w:r>
              <w:rPr>
                <w:rFonts w:ascii="Arial" w:hAnsi="Arial"/>
                <w:sz w:val="18"/>
              </w:rPr>
              <w:t>Formato de referencia del dataset Rossmann.</w:t>
            </w:r>
          </w:p>
        </w:tc>
      </w:tr>
    </w:tbl>
    <w:p>
      <w:r>
        <w:t>La variable objetivo es Sales, correspondiente a las ventas. La variable Date permite estructurar la serie temporal. Las variables externas se integraron desde train.csv y store.csv, especialmente Promo, SchoolHoliday, StateHolidayFlag, Open, Promo2 y CompetitionDistance.</w:t>
      </w:r>
    </w:p>
    <w:p>
      <w:pPr>
        <w:pStyle w:val="Heading1"/>
      </w:pPr>
      <w:r>
        <w:t>4. Metodología CRISP-DM</w:t>
      </w:r>
    </w:p>
    <w:p>
      <w:r>
        <w:t>CRISP-DM permitió organizar el proyecto en fases claras y verificables. Cada fase se desarrolló en notebooks separados para facilitar la revisión técnica y evidenciar el proceso completo de minería de datos.</w:t>
      </w:r>
    </w:p>
    <w:p>
      <w:pPr>
        <w:jc w:val="center"/>
      </w:pPr>
      <w:r>
        <w:drawing>
          <wp:inline xmlns:a="http://schemas.openxmlformats.org/drawingml/2006/main" xmlns:pic="http://schemas.openxmlformats.org/drawingml/2006/picture">
            <wp:extent cx="6035040" cy="1604251"/>
            <wp:docPr id="1" name="Picture 1"/>
            <wp:cNvGraphicFramePr>
              <a:graphicFrameLocks noChangeAspect="1"/>
            </wp:cNvGraphicFramePr>
            <a:graphic>
              <a:graphicData uri="http://schemas.openxmlformats.org/drawingml/2006/picture">
                <pic:pic>
                  <pic:nvPicPr>
                    <pic:cNvPr id="0" name="crisp_dm_flow.png"/>
                    <pic:cNvPicPr/>
                  </pic:nvPicPr>
                  <pic:blipFill>
                    <a:blip r:embed="rId10"/>
                    <a:stretch>
                      <a:fillRect/>
                    </a:stretch>
                  </pic:blipFill>
                  <pic:spPr>
                    <a:xfrm>
                      <a:off x="0" y="0"/>
                      <a:ext cx="6035040" cy="1604251"/>
                    </a:xfrm>
                    <a:prstGeom prst="rect"/>
                  </pic:spPr>
                </pic:pic>
              </a:graphicData>
            </a:graphic>
          </wp:inline>
        </w:drawing>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873"/>
        <w:gridCol w:w="4873"/>
      </w:tblGrid>
      <w:tr>
        <w:tc>
          <w:tcPr>
            <w:tcW w:type="dxa" w:w="4873"/>
            <w:shd w:fill="1F4E79"/>
            <w:vAlign w:val="center"/>
          </w:tcPr>
          <w:p>
            <w:pPr>
              <w:spacing w:after="40" w:before="40"/>
            </w:pPr>
            <w:r>
              <w:rPr>
                <w:rFonts w:ascii="Arial" w:hAnsi="Arial"/>
                <w:b/>
                <w:color w:val="FFFFFF"/>
                <w:sz w:val="18"/>
              </w:rPr>
              <w:t>Notebook</w:t>
            </w:r>
          </w:p>
        </w:tc>
        <w:tc>
          <w:tcPr>
            <w:tcW w:type="dxa" w:w="4873"/>
            <w:shd w:fill="1F4E79"/>
            <w:vAlign w:val="center"/>
          </w:tcPr>
          <w:p>
            <w:pPr>
              <w:spacing w:after="40" w:before="40"/>
            </w:pPr>
            <w:r>
              <w:rPr>
                <w:rFonts w:ascii="Arial" w:hAnsi="Arial"/>
                <w:b/>
                <w:color w:val="FFFFFF"/>
                <w:sz w:val="18"/>
              </w:rPr>
              <w:t>Fase o propósito</w:t>
            </w:r>
          </w:p>
        </w:tc>
      </w:tr>
      <w:tr>
        <w:tc>
          <w:tcPr>
            <w:tcW w:type="dxa" w:w="4873"/>
            <w:vAlign w:val="center"/>
          </w:tcPr>
          <w:p>
            <w:pPr>
              <w:spacing w:after="40" w:before="40"/>
            </w:pPr>
            <w:r>
              <w:rPr>
                <w:rFonts w:ascii="Arial" w:hAnsi="Arial"/>
                <w:sz w:val="18"/>
              </w:rPr>
              <w:t>01_comprension_negocio_datos.ipynb</w:t>
            </w:r>
          </w:p>
        </w:tc>
        <w:tc>
          <w:tcPr>
            <w:tcW w:type="dxa" w:w="4873"/>
            <w:vAlign w:val="center"/>
          </w:tcPr>
          <w:p>
            <w:pPr>
              <w:spacing w:after="40" w:before="40"/>
            </w:pPr>
            <w:r>
              <w:rPr>
                <w:rFonts w:ascii="Arial" w:hAnsi="Arial"/>
                <w:sz w:val="18"/>
              </w:rPr>
              <w:t>Comprensión del negocio y comprensión inicial de los datos.</w:t>
            </w:r>
          </w:p>
        </w:tc>
      </w:tr>
      <w:tr>
        <w:tc>
          <w:tcPr>
            <w:tcW w:type="dxa" w:w="4873"/>
            <w:vAlign w:val="center"/>
          </w:tcPr>
          <w:p>
            <w:pPr>
              <w:spacing w:after="40" w:before="40"/>
            </w:pPr>
            <w:r>
              <w:rPr>
                <w:rFonts w:ascii="Arial" w:hAnsi="Arial"/>
                <w:sz w:val="18"/>
              </w:rPr>
              <w:t>02_preparacion_datos.ipynb</w:t>
            </w:r>
          </w:p>
        </w:tc>
        <w:tc>
          <w:tcPr>
            <w:tcW w:type="dxa" w:w="4873"/>
            <w:vAlign w:val="center"/>
          </w:tcPr>
          <w:p>
            <w:pPr>
              <w:spacing w:after="40" w:before="40"/>
            </w:pPr>
            <w:r>
              <w:rPr>
                <w:rFonts w:ascii="Arial" w:hAnsi="Arial"/>
                <w:sz w:val="18"/>
              </w:rPr>
              <w:t>Preparación, limpieza e integración de variables externas.</w:t>
            </w:r>
          </w:p>
        </w:tc>
      </w:tr>
      <w:tr>
        <w:tc>
          <w:tcPr>
            <w:tcW w:type="dxa" w:w="4873"/>
            <w:vAlign w:val="center"/>
          </w:tcPr>
          <w:p>
            <w:pPr>
              <w:spacing w:after="40" w:before="40"/>
            </w:pPr>
            <w:r>
              <w:rPr>
                <w:rFonts w:ascii="Arial" w:hAnsi="Arial"/>
                <w:sz w:val="18"/>
              </w:rPr>
              <w:t>03_analisis_estacionalidad.ipynb</w:t>
            </w:r>
          </w:p>
        </w:tc>
        <w:tc>
          <w:tcPr>
            <w:tcW w:type="dxa" w:w="4873"/>
            <w:vAlign w:val="center"/>
          </w:tcPr>
          <w:p>
            <w:pPr>
              <w:spacing w:after="40" w:before="40"/>
            </w:pPr>
            <w:r>
              <w:rPr>
                <w:rFonts w:ascii="Arial" w:hAnsi="Arial"/>
                <w:sz w:val="18"/>
              </w:rPr>
              <w:t>Análisis de estacionalidad y visualización temporal.</w:t>
            </w:r>
          </w:p>
        </w:tc>
      </w:tr>
      <w:tr>
        <w:tc>
          <w:tcPr>
            <w:tcW w:type="dxa" w:w="4873"/>
            <w:vAlign w:val="center"/>
          </w:tcPr>
          <w:p>
            <w:pPr>
              <w:spacing w:after="40" w:before="40"/>
            </w:pPr>
            <w:r>
              <w:rPr>
                <w:rFonts w:ascii="Arial" w:hAnsi="Arial"/>
                <w:sz w:val="18"/>
              </w:rPr>
              <w:t>04_modelado_arima_prophet_lstm.ipynb</w:t>
            </w:r>
          </w:p>
        </w:tc>
        <w:tc>
          <w:tcPr>
            <w:tcW w:type="dxa" w:w="4873"/>
            <w:vAlign w:val="center"/>
          </w:tcPr>
          <w:p>
            <w:pPr>
              <w:spacing w:after="40" w:before="40"/>
            </w:pPr>
            <w:r>
              <w:rPr>
                <w:rFonts w:ascii="Arial" w:hAnsi="Arial"/>
                <w:sz w:val="18"/>
              </w:rPr>
              <w:t>Construcción de ARIMA, Prophet y LSTM.</w:t>
            </w:r>
          </w:p>
        </w:tc>
      </w:tr>
      <w:tr>
        <w:tc>
          <w:tcPr>
            <w:tcW w:type="dxa" w:w="4873"/>
            <w:vAlign w:val="center"/>
          </w:tcPr>
          <w:p>
            <w:pPr>
              <w:spacing w:after="40" w:before="40"/>
            </w:pPr>
            <w:r>
              <w:rPr>
                <w:rFonts w:ascii="Arial" w:hAnsi="Arial"/>
                <w:sz w:val="18"/>
              </w:rPr>
              <w:t>05_evaluacion_metricas.ipynb</w:t>
            </w:r>
          </w:p>
        </w:tc>
        <w:tc>
          <w:tcPr>
            <w:tcW w:type="dxa" w:w="4873"/>
            <w:vAlign w:val="center"/>
          </w:tcPr>
          <w:p>
            <w:pPr>
              <w:spacing w:after="40" w:before="40"/>
            </w:pPr>
            <w:r>
              <w:rPr>
                <w:rFonts w:ascii="Arial" w:hAnsi="Arial"/>
                <w:sz w:val="18"/>
              </w:rPr>
              <w:t>Evaluación con RMSE, MAE y MAPE.</w:t>
            </w:r>
          </w:p>
        </w:tc>
      </w:tr>
      <w:tr>
        <w:tc>
          <w:tcPr>
            <w:tcW w:type="dxa" w:w="4873"/>
            <w:vAlign w:val="center"/>
          </w:tcPr>
          <w:p>
            <w:pPr>
              <w:spacing w:after="40" w:before="40"/>
            </w:pPr>
            <w:r>
              <w:rPr>
                <w:rFonts w:ascii="Arial" w:hAnsi="Arial"/>
                <w:sz w:val="18"/>
              </w:rPr>
              <w:t>06_resultados_despliegue.ipynb</w:t>
            </w:r>
          </w:p>
        </w:tc>
        <w:tc>
          <w:tcPr>
            <w:tcW w:type="dxa" w:w="4873"/>
            <w:vAlign w:val="center"/>
          </w:tcPr>
          <w:p>
            <w:pPr>
              <w:spacing w:after="40" w:before="40"/>
            </w:pPr>
            <w:r>
              <w:rPr>
                <w:rFonts w:ascii="Arial" w:hAnsi="Arial"/>
                <w:sz w:val="18"/>
              </w:rPr>
              <w:t>Preparación de datos finales para dashboard y escenarios.</w:t>
            </w:r>
          </w:p>
        </w:tc>
      </w:tr>
    </w:tbl>
    <w:p>
      <w:pPr>
        <w:pStyle w:val="Heading1"/>
      </w:pPr>
      <w:r>
        <w:t>5. Fase 1: Comprensión del negocio</w:t>
      </w:r>
    </w:p>
    <w:p>
      <w:r>
        <w:t>El problema consiste en estimar la demanda futura de ventas para apoyar decisiones de marketing. La predicción permite analizar el comportamiento esperado de la demanda y tomar decisiones sobre promociones, planificación comercial y escenarios de venta.</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873"/>
        <w:gridCol w:w="4873"/>
      </w:tblGrid>
      <w:tr>
        <w:tc>
          <w:tcPr>
            <w:tcW w:type="dxa" w:w="4873"/>
            <w:shd w:fill="1F4E79"/>
            <w:vAlign w:val="center"/>
          </w:tcPr>
          <w:p>
            <w:pPr>
              <w:spacing w:after="40" w:before="40"/>
            </w:pPr>
            <w:r>
              <w:rPr>
                <w:rFonts w:ascii="Arial" w:hAnsi="Arial"/>
                <w:b/>
                <w:color w:val="FFFFFF"/>
                <w:sz w:val="18"/>
              </w:rPr>
              <w:t>Elemento</w:t>
            </w:r>
          </w:p>
        </w:tc>
        <w:tc>
          <w:tcPr>
            <w:tcW w:type="dxa" w:w="4873"/>
            <w:shd w:fill="1F4E79"/>
            <w:vAlign w:val="center"/>
          </w:tcPr>
          <w:p>
            <w:pPr>
              <w:spacing w:after="40" w:before="40"/>
            </w:pPr>
            <w:r>
              <w:rPr>
                <w:rFonts w:ascii="Arial" w:hAnsi="Arial"/>
                <w:b/>
                <w:color w:val="FFFFFF"/>
                <w:sz w:val="18"/>
              </w:rPr>
              <w:t>Definición</w:t>
            </w:r>
          </w:p>
        </w:tc>
      </w:tr>
      <w:tr>
        <w:tc>
          <w:tcPr>
            <w:tcW w:type="dxa" w:w="4873"/>
            <w:vAlign w:val="center"/>
          </w:tcPr>
          <w:p>
            <w:pPr>
              <w:spacing w:after="40" w:before="40"/>
            </w:pPr>
            <w:r>
              <w:rPr>
                <w:rFonts w:ascii="Arial" w:hAnsi="Arial"/>
                <w:sz w:val="18"/>
              </w:rPr>
              <w:t>Problema de negocio</w:t>
            </w:r>
          </w:p>
        </w:tc>
        <w:tc>
          <w:tcPr>
            <w:tcW w:type="dxa" w:w="4873"/>
            <w:vAlign w:val="center"/>
          </w:tcPr>
          <w:p>
            <w:pPr>
              <w:spacing w:after="40" w:before="40"/>
            </w:pPr>
            <w:r>
              <w:rPr>
                <w:rFonts w:ascii="Arial" w:hAnsi="Arial"/>
                <w:sz w:val="18"/>
              </w:rPr>
              <w:t>Necesidad de anticipar ventas futuras con base en información histórica y variables externas.</w:t>
            </w:r>
          </w:p>
        </w:tc>
      </w:tr>
      <w:tr>
        <w:tc>
          <w:tcPr>
            <w:tcW w:type="dxa" w:w="4873"/>
            <w:vAlign w:val="center"/>
          </w:tcPr>
          <w:p>
            <w:pPr>
              <w:spacing w:after="40" w:before="40"/>
            </w:pPr>
            <w:r>
              <w:rPr>
                <w:rFonts w:ascii="Arial" w:hAnsi="Arial"/>
                <w:sz w:val="18"/>
              </w:rPr>
              <w:t>Variable objetivo</w:t>
            </w:r>
          </w:p>
        </w:tc>
        <w:tc>
          <w:tcPr>
            <w:tcW w:type="dxa" w:w="4873"/>
            <w:vAlign w:val="center"/>
          </w:tcPr>
          <w:p>
            <w:pPr>
              <w:spacing w:after="40" w:before="40"/>
            </w:pPr>
            <w:r>
              <w:rPr>
                <w:rFonts w:ascii="Arial" w:hAnsi="Arial"/>
                <w:sz w:val="18"/>
              </w:rPr>
              <w:t>Sales.</w:t>
            </w:r>
          </w:p>
        </w:tc>
      </w:tr>
      <w:tr>
        <w:tc>
          <w:tcPr>
            <w:tcW w:type="dxa" w:w="4873"/>
            <w:vAlign w:val="center"/>
          </w:tcPr>
          <w:p>
            <w:pPr>
              <w:spacing w:after="40" w:before="40"/>
            </w:pPr>
            <w:r>
              <w:rPr>
                <w:rFonts w:ascii="Arial" w:hAnsi="Arial"/>
                <w:sz w:val="18"/>
              </w:rPr>
              <w:t>Tipo de problema</w:t>
            </w:r>
          </w:p>
        </w:tc>
        <w:tc>
          <w:tcPr>
            <w:tcW w:type="dxa" w:w="4873"/>
            <w:vAlign w:val="center"/>
          </w:tcPr>
          <w:p>
            <w:pPr>
              <w:spacing w:after="40" w:before="40"/>
            </w:pPr>
            <w:r>
              <w:rPr>
                <w:rFonts w:ascii="Arial" w:hAnsi="Arial"/>
                <w:sz w:val="18"/>
              </w:rPr>
              <w:t>Predicción de series de tiempo.</w:t>
            </w:r>
          </w:p>
        </w:tc>
      </w:tr>
      <w:tr>
        <w:tc>
          <w:tcPr>
            <w:tcW w:type="dxa" w:w="4873"/>
            <w:vAlign w:val="center"/>
          </w:tcPr>
          <w:p>
            <w:pPr>
              <w:spacing w:after="40" w:before="40"/>
            </w:pPr>
            <w:r>
              <w:rPr>
                <w:rFonts w:ascii="Arial" w:hAnsi="Arial"/>
                <w:sz w:val="18"/>
              </w:rPr>
              <w:t>Uso esperado</w:t>
            </w:r>
          </w:p>
        </w:tc>
        <w:tc>
          <w:tcPr>
            <w:tcW w:type="dxa" w:w="4873"/>
            <w:vAlign w:val="center"/>
          </w:tcPr>
          <w:p>
            <w:pPr>
              <w:spacing w:after="40" w:before="40"/>
            </w:pPr>
            <w:r>
              <w:rPr>
                <w:rFonts w:ascii="Arial" w:hAnsi="Arial"/>
                <w:sz w:val="18"/>
              </w:rPr>
              <w:t>Apoyo a la planificación de marketing mediante visualización y simulación de escenarios.</w:t>
            </w:r>
          </w:p>
        </w:tc>
      </w:tr>
    </w:tbl>
    <w:p>
      <w:pPr>
        <w:pStyle w:val="Heading1"/>
      </w:pPr>
      <w:r>
        <w:t>6. Fase 2: Comprensión de los datos</w:t>
      </w:r>
    </w:p>
    <w:p>
      <w:r>
        <w:t>En esta fase se cargaron y revisaron los archivos del dataset Rossmann. Se analizaron dimensiones, columnas, tipos de datos, valores nulos y estadísticas descriptivas. También se identificó que train.csv contiene el histórico de ventas y store.csv contiene variables externas asociadas a cada tienda.</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873"/>
        <w:gridCol w:w="4873"/>
      </w:tblGrid>
      <w:tr>
        <w:tc>
          <w:tcPr>
            <w:tcW w:type="dxa" w:w="4873"/>
            <w:shd w:fill="1F4E79"/>
            <w:vAlign w:val="center"/>
          </w:tcPr>
          <w:p>
            <w:pPr>
              <w:spacing w:after="40" w:before="40"/>
            </w:pPr>
            <w:r>
              <w:rPr>
                <w:rFonts w:ascii="Arial" w:hAnsi="Arial"/>
                <w:b/>
                <w:color w:val="FFFFFF"/>
                <w:sz w:val="18"/>
              </w:rPr>
              <w:t>Aspecto revisado</w:t>
            </w:r>
          </w:p>
        </w:tc>
        <w:tc>
          <w:tcPr>
            <w:tcW w:type="dxa" w:w="4873"/>
            <w:shd w:fill="1F4E79"/>
            <w:vAlign w:val="center"/>
          </w:tcPr>
          <w:p>
            <w:pPr>
              <w:spacing w:after="40" w:before="40"/>
            </w:pPr>
            <w:r>
              <w:rPr>
                <w:rFonts w:ascii="Arial" w:hAnsi="Arial"/>
                <w:b/>
                <w:color w:val="FFFFFF"/>
                <w:sz w:val="18"/>
              </w:rPr>
              <w:t>Resultado esperado en el proceso</w:t>
            </w:r>
          </w:p>
        </w:tc>
      </w:tr>
      <w:tr>
        <w:tc>
          <w:tcPr>
            <w:tcW w:type="dxa" w:w="4873"/>
            <w:vAlign w:val="center"/>
          </w:tcPr>
          <w:p>
            <w:pPr>
              <w:spacing w:after="40" w:before="40"/>
            </w:pPr>
            <w:r>
              <w:rPr>
                <w:rFonts w:ascii="Arial" w:hAnsi="Arial"/>
                <w:sz w:val="18"/>
              </w:rPr>
              <w:t>Dimensiones de archivos</w:t>
            </w:r>
          </w:p>
        </w:tc>
        <w:tc>
          <w:tcPr>
            <w:tcW w:type="dxa" w:w="4873"/>
            <w:vAlign w:val="center"/>
          </w:tcPr>
          <w:p>
            <w:pPr>
              <w:spacing w:after="40" w:before="40"/>
            </w:pPr>
            <w:r>
              <w:rPr>
                <w:rFonts w:ascii="Arial" w:hAnsi="Arial"/>
                <w:sz w:val="18"/>
              </w:rPr>
              <w:t>Validación de cantidad de registros y columnas.</w:t>
            </w:r>
          </w:p>
        </w:tc>
      </w:tr>
      <w:tr>
        <w:tc>
          <w:tcPr>
            <w:tcW w:type="dxa" w:w="4873"/>
            <w:vAlign w:val="center"/>
          </w:tcPr>
          <w:p>
            <w:pPr>
              <w:spacing w:after="40" w:before="40"/>
            </w:pPr>
            <w:r>
              <w:rPr>
                <w:rFonts w:ascii="Arial" w:hAnsi="Arial"/>
                <w:sz w:val="18"/>
              </w:rPr>
              <w:t>Tipos de datos</w:t>
            </w:r>
          </w:p>
        </w:tc>
        <w:tc>
          <w:tcPr>
            <w:tcW w:type="dxa" w:w="4873"/>
            <w:vAlign w:val="center"/>
          </w:tcPr>
          <w:p>
            <w:pPr>
              <w:spacing w:after="40" w:before="40"/>
            </w:pPr>
            <w:r>
              <w:rPr>
                <w:rFonts w:ascii="Arial" w:hAnsi="Arial"/>
                <w:sz w:val="18"/>
              </w:rPr>
              <w:t>Identificación de variables numéricas, categóricas y temporales.</w:t>
            </w:r>
          </w:p>
        </w:tc>
      </w:tr>
      <w:tr>
        <w:tc>
          <w:tcPr>
            <w:tcW w:type="dxa" w:w="4873"/>
            <w:vAlign w:val="center"/>
          </w:tcPr>
          <w:p>
            <w:pPr>
              <w:spacing w:after="40" w:before="40"/>
            </w:pPr>
            <w:r>
              <w:rPr>
                <w:rFonts w:ascii="Arial" w:hAnsi="Arial"/>
                <w:sz w:val="18"/>
              </w:rPr>
              <w:t>Valores nulos</w:t>
            </w:r>
          </w:p>
        </w:tc>
        <w:tc>
          <w:tcPr>
            <w:tcW w:type="dxa" w:w="4873"/>
            <w:vAlign w:val="center"/>
          </w:tcPr>
          <w:p>
            <w:pPr>
              <w:spacing w:after="40" w:before="40"/>
            </w:pPr>
            <w:r>
              <w:rPr>
                <w:rFonts w:ascii="Arial" w:hAnsi="Arial"/>
                <w:sz w:val="18"/>
              </w:rPr>
              <w:t>Reconocimiento de columnas que requieren tratamiento.</w:t>
            </w:r>
          </w:p>
        </w:tc>
      </w:tr>
      <w:tr>
        <w:tc>
          <w:tcPr>
            <w:tcW w:type="dxa" w:w="4873"/>
            <w:vAlign w:val="center"/>
          </w:tcPr>
          <w:p>
            <w:pPr>
              <w:spacing w:after="40" w:before="40"/>
            </w:pPr>
            <w:r>
              <w:rPr>
                <w:rFonts w:ascii="Arial" w:hAnsi="Arial"/>
                <w:sz w:val="18"/>
              </w:rPr>
              <w:t>Estadísticas descriptivas</w:t>
            </w:r>
          </w:p>
        </w:tc>
        <w:tc>
          <w:tcPr>
            <w:tcW w:type="dxa" w:w="4873"/>
            <w:vAlign w:val="center"/>
          </w:tcPr>
          <w:p>
            <w:pPr>
              <w:spacing w:after="40" w:before="40"/>
            </w:pPr>
            <w:r>
              <w:rPr>
                <w:rFonts w:ascii="Arial" w:hAnsi="Arial"/>
                <w:sz w:val="18"/>
              </w:rPr>
              <w:t>Revisión del comportamiento inicial de ventas, clientes y promociones.</w:t>
            </w:r>
          </w:p>
        </w:tc>
      </w:tr>
      <w:tr>
        <w:tc>
          <w:tcPr>
            <w:tcW w:type="dxa" w:w="4873"/>
            <w:vAlign w:val="center"/>
          </w:tcPr>
          <w:p>
            <w:pPr>
              <w:spacing w:after="40" w:before="40"/>
            </w:pPr>
            <w:r>
              <w:rPr>
                <w:rFonts w:ascii="Arial" w:hAnsi="Arial"/>
                <w:sz w:val="18"/>
              </w:rPr>
              <w:t>Integración inicial</w:t>
            </w:r>
          </w:p>
        </w:tc>
        <w:tc>
          <w:tcPr>
            <w:tcW w:type="dxa" w:w="4873"/>
            <w:vAlign w:val="center"/>
          </w:tcPr>
          <w:p>
            <w:pPr>
              <w:spacing w:after="40" w:before="40"/>
            </w:pPr>
            <w:r>
              <w:rPr>
                <w:rFonts w:ascii="Arial" w:hAnsi="Arial"/>
                <w:sz w:val="18"/>
              </w:rPr>
              <w:t>Unión de train.csv con store.csv mediante Store.</w:t>
            </w:r>
          </w:p>
        </w:tc>
      </w:tr>
    </w:tbl>
    <w:p>
      <w:pPr>
        <w:pStyle w:val="Heading1"/>
      </w:pPr>
      <w:r>
        <w:t>7. Fase 3: Preparación de los datos</w:t>
      </w:r>
    </w:p>
    <w:p>
      <w:r>
        <w:t>La preparación de datos permitió construir una serie temporal diaria con información de ventas y variables externas. Se convirtió Date a formato temporal, se ordenaron los registros y se trataron valores faltantes relevantes.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873"/>
        <w:gridCol w:w="4873"/>
      </w:tblGrid>
      <w:tr>
        <w:tc>
          <w:tcPr>
            <w:tcW w:type="dxa" w:w="4873"/>
            <w:shd w:fill="1F4E79"/>
            <w:vAlign w:val="center"/>
          </w:tcPr>
          <w:p>
            <w:pPr>
              <w:spacing w:after="40" w:before="40"/>
            </w:pPr>
            <w:r>
              <w:rPr>
                <w:rFonts w:ascii="Arial" w:hAnsi="Arial"/>
                <w:b/>
                <w:color w:val="FFFFFF"/>
                <w:sz w:val="18"/>
              </w:rPr>
              <w:t>Actividad</w:t>
            </w:r>
          </w:p>
        </w:tc>
        <w:tc>
          <w:tcPr>
            <w:tcW w:type="dxa" w:w="4873"/>
            <w:shd w:fill="1F4E79"/>
            <w:vAlign w:val="center"/>
          </w:tcPr>
          <w:p>
            <w:pPr>
              <w:spacing w:after="40" w:before="40"/>
            </w:pPr>
            <w:r>
              <w:rPr>
                <w:rFonts w:ascii="Arial" w:hAnsi="Arial"/>
                <w:b/>
                <w:color w:val="FFFFFF"/>
                <w:sz w:val="18"/>
              </w:rPr>
              <w:t>Descripción</w:t>
            </w:r>
          </w:p>
        </w:tc>
      </w:tr>
      <w:tr>
        <w:tc>
          <w:tcPr>
            <w:tcW w:type="dxa" w:w="4873"/>
            <w:vAlign w:val="center"/>
          </w:tcPr>
          <w:p>
            <w:pPr>
              <w:spacing w:after="40" w:before="40"/>
            </w:pPr>
            <w:r>
              <w:rPr>
                <w:rFonts w:ascii="Arial" w:hAnsi="Arial"/>
                <w:sz w:val="18"/>
              </w:rPr>
              <w:t>Conversión temporal</w:t>
            </w:r>
          </w:p>
        </w:tc>
        <w:tc>
          <w:tcPr>
            <w:tcW w:type="dxa" w:w="4873"/>
            <w:vAlign w:val="center"/>
          </w:tcPr>
          <w:p>
            <w:pPr>
              <w:spacing w:after="40" w:before="40"/>
            </w:pPr>
            <w:r>
              <w:rPr>
                <w:rFonts w:ascii="Arial" w:hAnsi="Arial"/>
                <w:sz w:val="18"/>
              </w:rPr>
              <w:t>La columna Date fue convertida a formato datetime.</w:t>
            </w:r>
          </w:p>
        </w:tc>
      </w:tr>
      <w:tr>
        <w:tc>
          <w:tcPr>
            <w:tcW w:type="dxa" w:w="4873"/>
            <w:vAlign w:val="center"/>
          </w:tcPr>
          <w:p>
            <w:pPr>
              <w:spacing w:after="40" w:before="40"/>
            </w:pPr>
            <w:r>
              <w:rPr>
                <w:rFonts w:ascii="Arial" w:hAnsi="Arial"/>
                <w:sz w:val="18"/>
              </w:rPr>
              <w:t>Variables temporales</w:t>
            </w:r>
          </w:p>
        </w:tc>
        <w:tc>
          <w:tcPr>
            <w:tcW w:type="dxa" w:w="4873"/>
            <w:vAlign w:val="center"/>
          </w:tcPr>
          <w:p>
            <w:pPr>
              <w:spacing w:after="40" w:before="40"/>
            </w:pPr>
            <w:r>
              <w:rPr>
                <w:rFonts w:ascii="Arial" w:hAnsi="Arial"/>
                <w:sz w:val="18"/>
              </w:rPr>
              <w:t>Se generaron variables como año, mes, día y semana cuando fue necesario para análisis.</w:t>
            </w:r>
          </w:p>
        </w:tc>
      </w:tr>
      <w:tr>
        <w:tc>
          <w:tcPr>
            <w:tcW w:type="dxa" w:w="4873"/>
            <w:vAlign w:val="center"/>
          </w:tcPr>
          <w:p>
            <w:pPr>
              <w:spacing w:after="40" w:before="40"/>
            </w:pPr>
            <w:r>
              <w:rPr>
                <w:rFonts w:ascii="Arial" w:hAnsi="Arial"/>
                <w:sz w:val="18"/>
              </w:rPr>
              <w:t>Limpieza de registros</w:t>
            </w:r>
          </w:p>
        </w:tc>
        <w:tc>
          <w:tcPr>
            <w:tcW w:type="dxa" w:w="4873"/>
            <w:vAlign w:val="center"/>
          </w:tcPr>
          <w:p>
            <w:pPr>
              <w:spacing w:after="40" w:before="40"/>
            </w:pPr>
            <w:r>
              <w:rPr>
                <w:rFonts w:ascii="Arial" w:hAnsi="Arial"/>
                <w:sz w:val="18"/>
              </w:rPr>
              <w:t>Se consideraron registros válidos para modelado según apertura y ventas.</w:t>
            </w:r>
          </w:p>
        </w:tc>
      </w:tr>
      <w:tr>
        <w:tc>
          <w:tcPr>
            <w:tcW w:type="dxa" w:w="4873"/>
            <w:vAlign w:val="center"/>
          </w:tcPr>
          <w:p>
            <w:pPr>
              <w:spacing w:after="40" w:before="40"/>
            </w:pPr>
            <w:r>
              <w:rPr>
                <w:rFonts w:ascii="Arial" w:hAnsi="Arial"/>
                <w:sz w:val="18"/>
              </w:rPr>
              <w:t>Tratamiento de nulos</w:t>
            </w:r>
          </w:p>
        </w:tc>
        <w:tc>
          <w:tcPr>
            <w:tcW w:type="dxa" w:w="4873"/>
            <w:vAlign w:val="center"/>
          </w:tcPr>
          <w:p>
            <w:pPr>
              <w:spacing w:after="40" w:before="40"/>
            </w:pPr>
            <w:r>
              <w:rPr>
                <w:rFonts w:ascii="Arial" w:hAnsi="Arial"/>
                <w:sz w:val="18"/>
              </w:rPr>
              <w:t>CompetitionDistance se completó con mediana y variables de promociones extendidas se completaron con valores de referencia.</w:t>
            </w:r>
          </w:p>
        </w:tc>
      </w:tr>
      <w:tr>
        <w:tc>
          <w:tcPr>
            <w:tcW w:type="dxa" w:w="4873"/>
            <w:vAlign w:val="center"/>
          </w:tcPr>
          <w:p>
            <w:pPr>
              <w:spacing w:after="40" w:before="40"/>
            </w:pPr>
            <w:r>
              <w:rPr>
                <w:rFonts w:ascii="Arial" w:hAnsi="Arial"/>
                <w:sz w:val="18"/>
              </w:rPr>
              <w:t>Variable de festivo</w:t>
            </w:r>
          </w:p>
        </w:tc>
        <w:tc>
          <w:tcPr>
            <w:tcW w:type="dxa" w:w="4873"/>
            <w:vAlign w:val="center"/>
          </w:tcPr>
          <w:p>
            <w:pPr>
              <w:spacing w:after="40" w:before="40"/>
            </w:pPr>
            <w:r>
              <w:rPr>
                <w:rFonts w:ascii="Arial" w:hAnsi="Arial"/>
                <w:sz w:val="18"/>
              </w:rPr>
              <w:t>StateHoliday se transformó en una variable binaria StateHolidayFlag.</w:t>
            </w:r>
          </w:p>
        </w:tc>
      </w:tr>
      <w:tr>
        <w:tc>
          <w:tcPr>
            <w:tcW w:type="dxa" w:w="4873"/>
            <w:vAlign w:val="center"/>
          </w:tcPr>
          <w:p>
            <w:pPr>
              <w:spacing w:after="40" w:before="40"/>
            </w:pPr>
            <w:r>
              <w:rPr>
                <w:rFonts w:ascii="Arial" w:hAnsi="Arial"/>
                <w:sz w:val="18"/>
              </w:rPr>
              <w:t>Serie externa</w:t>
            </w:r>
          </w:p>
        </w:tc>
        <w:tc>
          <w:tcPr>
            <w:tcW w:type="dxa" w:w="4873"/>
            <w:vAlign w:val="center"/>
          </w:tcPr>
          <w:p>
            <w:pPr>
              <w:spacing w:after="40" w:before="40"/>
            </w:pPr>
            <w:r>
              <w:rPr>
                <w:rFonts w:ascii="Arial" w:hAnsi="Arial"/>
                <w:sz w:val="18"/>
              </w:rPr>
              <w:t>Se creó una serie diaria agregando ventas y variables externas por fecha.</w:t>
            </w:r>
          </w:p>
        </w:tc>
      </w:tr>
    </w:tbl>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873"/>
        <w:gridCol w:w="4873"/>
      </w:tblGrid>
      <w:tr>
        <w:tc>
          <w:tcPr>
            <w:tcW w:type="dxa" w:w="4873"/>
            <w:shd w:fill="1F4E79"/>
            <w:vAlign w:val="center"/>
          </w:tcPr>
          <w:p>
            <w:pPr>
              <w:spacing w:after="40" w:before="40"/>
            </w:pPr>
            <w:r>
              <w:rPr>
                <w:rFonts w:ascii="Arial" w:hAnsi="Arial"/>
                <w:b/>
                <w:color w:val="FFFFFF"/>
                <w:sz w:val="18"/>
              </w:rPr>
              <w:t>Variable usada en modelado</w:t>
            </w:r>
          </w:p>
        </w:tc>
        <w:tc>
          <w:tcPr>
            <w:tcW w:type="dxa" w:w="4873"/>
            <w:shd w:fill="1F4E79"/>
            <w:vAlign w:val="center"/>
          </w:tcPr>
          <w:p>
            <w:pPr>
              <w:spacing w:after="40" w:before="40"/>
            </w:pPr>
            <w:r>
              <w:rPr>
                <w:rFonts w:ascii="Arial" w:hAnsi="Arial"/>
                <w:b/>
                <w:color w:val="FFFFFF"/>
                <w:sz w:val="18"/>
              </w:rPr>
              <w:t>Rol</w:t>
            </w:r>
          </w:p>
        </w:tc>
      </w:tr>
      <w:tr>
        <w:tc>
          <w:tcPr>
            <w:tcW w:type="dxa" w:w="4873"/>
            <w:vAlign w:val="center"/>
          </w:tcPr>
          <w:p>
            <w:pPr>
              <w:spacing w:after="40" w:before="40"/>
            </w:pPr>
            <w:r>
              <w:rPr>
                <w:rFonts w:ascii="Arial" w:hAnsi="Arial"/>
                <w:sz w:val="18"/>
              </w:rPr>
              <w:t>Sales</w:t>
            </w:r>
          </w:p>
        </w:tc>
        <w:tc>
          <w:tcPr>
            <w:tcW w:type="dxa" w:w="4873"/>
            <w:vAlign w:val="center"/>
          </w:tcPr>
          <w:p>
            <w:pPr>
              <w:spacing w:after="40" w:before="40"/>
            </w:pPr>
            <w:r>
              <w:rPr>
                <w:rFonts w:ascii="Arial" w:hAnsi="Arial"/>
                <w:sz w:val="18"/>
              </w:rPr>
              <w:t>Variable objetivo.</w:t>
            </w:r>
          </w:p>
        </w:tc>
      </w:tr>
      <w:tr>
        <w:tc>
          <w:tcPr>
            <w:tcW w:type="dxa" w:w="4873"/>
            <w:vAlign w:val="center"/>
          </w:tcPr>
          <w:p>
            <w:pPr>
              <w:spacing w:after="40" w:before="40"/>
            </w:pPr>
            <w:r>
              <w:rPr>
                <w:rFonts w:ascii="Arial" w:hAnsi="Arial"/>
                <w:sz w:val="18"/>
              </w:rPr>
              <w:t>Promo</w:t>
            </w:r>
          </w:p>
        </w:tc>
        <w:tc>
          <w:tcPr>
            <w:tcW w:type="dxa" w:w="4873"/>
            <w:vAlign w:val="center"/>
          </w:tcPr>
          <w:p>
            <w:pPr>
              <w:spacing w:after="40" w:before="40"/>
            </w:pPr>
            <w:r>
              <w:rPr>
                <w:rFonts w:ascii="Arial" w:hAnsi="Arial"/>
                <w:sz w:val="18"/>
              </w:rPr>
              <w:t>Variable externa asociada a promociones.</w:t>
            </w:r>
          </w:p>
        </w:tc>
      </w:tr>
      <w:tr>
        <w:tc>
          <w:tcPr>
            <w:tcW w:type="dxa" w:w="4873"/>
            <w:vAlign w:val="center"/>
          </w:tcPr>
          <w:p>
            <w:pPr>
              <w:spacing w:after="40" w:before="40"/>
            </w:pPr>
            <w:r>
              <w:rPr>
                <w:rFonts w:ascii="Arial" w:hAnsi="Arial"/>
                <w:sz w:val="18"/>
              </w:rPr>
              <w:t>SchoolHoliday</w:t>
            </w:r>
          </w:p>
        </w:tc>
        <w:tc>
          <w:tcPr>
            <w:tcW w:type="dxa" w:w="4873"/>
            <w:vAlign w:val="center"/>
          </w:tcPr>
          <w:p>
            <w:pPr>
              <w:spacing w:after="40" w:before="40"/>
            </w:pPr>
            <w:r>
              <w:rPr>
                <w:rFonts w:ascii="Arial" w:hAnsi="Arial"/>
                <w:sz w:val="18"/>
              </w:rPr>
              <w:t>Variable externa relacionada con periodos escolares.</w:t>
            </w:r>
          </w:p>
        </w:tc>
      </w:tr>
      <w:tr>
        <w:tc>
          <w:tcPr>
            <w:tcW w:type="dxa" w:w="4873"/>
            <w:vAlign w:val="center"/>
          </w:tcPr>
          <w:p>
            <w:pPr>
              <w:spacing w:after="40" w:before="40"/>
            </w:pPr>
            <w:r>
              <w:rPr>
                <w:rFonts w:ascii="Arial" w:hAnsi="Arial"/>
                <w:sz w:val="18"/>
              </w:rPr>
              <w:t>StateHolidayFlag</w:t>
            </w:r>
          </w:p>
        </w:tc>
        <w:tc>
          <w:tcPr>
            <w:tcW w:type="dxa" w:w="4873"/>
            <w:vAlign w:val="center"/>
          </w:tcPr>
          <w:p>
            <w:pPr>
              <w:spacing w:after="40" w:before="40"/>
            </w:pPr>
            <w:r>
              <w:rPr>
                <w:rFonts w:ascii="Arial" w:hAnsi="Arial"/>
                <w:sz w:val="18"/>
              </w:rPr>
              <w:t>Variable externa de festivos estatales.</w:t>
            </w:r>
          </w:p>
        </w:tc>
      </w:tr>
      <w:tr>
        <w:tc>
          <w:tcPr>
            <w:tcW w:type="dxa" w:w="4873"/>
            <w:vAlign w:val="center"/>
          </w:tcPr>
          <w:p>
            <w:pPr>
              <w:spacing w:after="40" w:before="40"/>
            </w:pPr>
            <w:r>
              <w:rPr>
                <w:rFonts w:ascii="Arial" w:hAnsi="Arial"/>
                <w:sz w:val="18"/>
              </w:rPr>
              <w:t>Open</w:t>
            </w:r>
          </w:p>
        </w:tc>
        <w:tc>
          <w:tcPr>
            <w:tcW w:type="dxa" w:w="4873"/>
            <w:vAlign w:val="center"/>
          </w:tcPr>
          <w:p>
            <w:pPr>
              <w:spacing w:after="40" w:before="40"/>
            </w:pPr>
            <w:r>
              <w:rPr>
                <w:rFonts w:ascii="Arial" w:hAnsi="Arial"/>
                <w:sz w:val="18"/>
              </w:rPr>
              <w:t>Variable externa de apertura de tiendas.</w:t>
            </w:r>
          </w:p>
        </w:tc>
      </w:tr>
      <w:tr>
        <w:tc>
          <w:tcPr>
            <w:tcW w:type="dxa" w:w="4873"/>
            <w:vAlign w:val="center"/>
          </w:tcPr>
          <w:p>
            <w:pPr>
              <w:spacing w:after="40" w:before="40"/>
            </w:pPr>
            <w:r>
              <w:rPr>
                <w:rFonts w:ascii="Arial" w:hAnsi="Arial"/>
                <w:sz w:val="18"/>
              </w:rPr>
              <w:t>Promo2</w:t>
            </w:r>
          </w:p>
        </w:tc>
        <w:tc>
          <w:tcPr>
            <w:tcW w:type="dxa" w:w="4873"/>
            <w:vAlign w:val="center"/>
          </w:tcPr>
          <w:p>
            <w:pPr>
              <w:spacing w:after="40" w:before="40"/>
            </w:pPr>
            <w:r>
              <w:rPr>
                <w:rFonts w:ascii="Arial" w:hAnsi="Arial"/>
                <w:sz w:val="18"/>
              </w:rPr>
              <w:t>Variable externa de promoción extendida.</w:t>
            </w:r>
          </w:p>
        </w:tc>
      </w:tr>
      <w:tr>
        <w:tc>
          <w:tcPr>
            <w:tcW w:type="dxa" w:w="4873"/>
            <w:vAlign w:val="center"/>
          </w:tcPr>
          <w:p>
            <w:pPr>
              <w:spacing w:after="40" w:before="40"/>
            </w:pPr>
            <w:r>
              <w:rPr>
                <w:rFonts w:ascii="Arial" w:hAnsi="Arial"/>
                <w:sz w:val="18"/>
              </w:rPr>
              <w:t>CompetitionDistance</w:t>
            </w:r>
          </w:p>
        </w:tc>
        <w:tc>
          <w:tcPr>
            <w:tcW w:type="dxa" w:w="4873"/>
            <w:vAlign w:val="center"/>
          </w:tcPr>
          <w:p>
            <w:pPr>
              <w:spacing w:after="40" w:before="40"/>
            </w:pPr>
            <w:r>
              <w:rPr>
                <w:rFonts w:ascii="Arial" w:hAnsi="Arial"/>
                <w:sz w:val="18"/>
              </w:rPr>
              <w:t>Variable externa de distancia a la competencia.</w:t>
            </w:r>
          </w:p>
        </w:tc>
      </w:tr>
    </w:tbl>
    <w:p>
      <w:pPr>
        <w:pStyle w:val="Heading1"/>
      </w:pPr>
      <w:r>
        <w:t>8. Análisis de estacionalidad y visualización temporal</w:t>
      </w:r>
    </w:p>
    <w:p>
      <w:r>
        <w:t>El análisis de estacionalidad permitió observar patrones de comportamiento en las ventas. Se revisaron ventas diarias, ventas promedio por mes, ventas por día de la semana, tendencia mensual y medias móviles.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873"/>
        <w:gridCol w:w="4873"/>
      </w:tblGrid>
      <w:tr>
        <w:tc>
          <w:tcPr>
            <w:tcW w:type="dxa" w:w="4873"/>
            <w:shd w:fill="1F4E79"/>
            <w:vAlign w:val="center"/>
          </w:tcPr>
          <w:p>
            <w:pPr>
              <w:spacing w:after="40" w:before="40"/>
            </w:pPr>
            <w:r>
              <w:rPr>
                <w:rFonts w:ascii="Arial" w:hAnsi="Arial"/>
                <w:b/>
                <w:color w:val="FFFFFF"/>
                <w:sz w:val="18"/>
              </w:rPr>
              <w:t>Análisis realizado</w:t>
            </w:r>
          </w:p>
        </w:tc>
        <w:tc>
          <w:tcPr>
            <w:tcW w:type="dxa" w:w="4873"/>
            <w:shd w:fill="1F4E79"/>
            <w:vAlign w:val="center"/>
          </w:tcPr>
          <w:p>
            <w:pPr>
              <w:spacing w:after="40" w:before="40"/>
            </w:pPr>
            <w:r>
              <w:rPr>
                <w:rFonts w:ascii="Arial" w:hAnsi="Arial"/>
                <w:b/>
                <w:color w:val="FFFFFF"/>
                <w:sz w:val="18"/>
              </w:rPr>
              <w:t>Propósito</w:t>
            </w:r>
          </w:p>
        </w:tc>
      </w:tr>
      <w:tr>
        <w:tc>
          <w:tcPr>
            <w:tcW w:type="dxa" w:w="4873"/>
            <w:vAlign w:val="center"/>
          </w:tcPr>
          <w:p>
            <w:pPr>
              <w:spacing w:after="40" w:before="40"/>
            </w:pPr>
            <w:r>
              <w:rPr>
                <w:rFonts w:ascii="Arial" w:hAnsi="Arial"/>
                <w:sz w:val="18"/>
              </w:rPr>
              <w:t>Ventas diarias</w:t>
            </w:r>
          </w:p>
        </w:tc>
        <w:tc>
          <w:tcPr>
            <w:tcW w:type="dxa" w:w="4873"/>
            <w:vAlign w:val="center"/>
          </w:tcPr>
          <w:p>
            <w:pPr>
              <w:spacing w:after="40" w:before="40"/>
            </w:pPr>
            <w:r>
              <w:rPr>
                <w:rFonts w:ascii="Arial" w:hAnsi="Arial"/>
                <w:sz w:val="18"/>
              </w:rPr>
              <w:t>Observar la evolución general de la demanda.</w:t>
            </w:r>
          </w:p>
        </w:tc>
      </w:tr>
      <w:tr>
        <w:tc>
          <w:tcPr>
            <w:tcW w:type="dxa" w:w="4873"/>
            <w:vAlign w:val="center"/>
          </w:tcPr>
          <w:p>
            <w:pPr>
              <w:spacing w:after="40" w:before="40"/>
            </w:pPr>
            <w:r>
              <w:rPr>
                <w:rFonts w:ascii="Arial" w:hAnsi="Arial"/>
                <w:sz w:val="18"/>
              </w:rPr>
              <w:t>Ventas por mes</w:t>
            </w:r>
          </w:p>
        </w:tc>
        <w:tc>
          <w:tcPr>
            <w:tcW w:type="dxa" w:w="4873"/>
            <w:vAlign w:val="center"/>
          </w:tcPr>
          <w:p>
            <w:pPr>
              <w:spacing w:after="40" w:before="40"/>
            </w:pPr>
            <w:r>
              <w:rPr>
                <w:rFonts w:ascii="Arial" w:hAnsi="Arial"/>
                <w:sz w:val="18"/>
              </w:rPr>
              <w:t>Identificar posibles patrones mensuales.</w:t>
            </w:r>
          </w:p>
        </w:tc>
      </w:tr>
      <w:tr>
        <w:tc>
          <w:tcPr>
            <w:tcW w:type="dxa" w:w="4873"/>
            <w:vAlign w:val="center"/>
          </w:tcPr>
          <w:p>
            <w:pPr>
              <w:spacing w:after="40" w:before="40"/>
            </w:pPr>
            <w:r>
              <w:rPr>
                <w:rFonts w:ascii="Arial" w:hAnsi="Arial"/>
                <w:sz w:val="18"/>
              </w:rPr>
              <w:t>Ventas por día de semana</w:t>
            </w:r>
          </w:p>
        </w:tc>
        <w:tc>
          <w:tcPr>
            <w:tcW w:type="dxa" w:w="4873"/>
            <w:vAlign w:val="center"/>
          </w:tcPr>
          <w:p>
            <w:pPr>
              <w:spacing w:after="40" w:before="40"/>
            </w:pPr>
            <w:r>
              <w:rPr>
                <w:rFonts w:ascii="Arial" w:hAnsi="Arial"/>
                <w:sz w:val="18"/>
              </w:rPr>
              <w:t>Analizar variaciones semanales.</w:t>
            </w:r>
          </w:p>
        </w:tc>
      </w:tr>
      <w:tr>
        <w:tc>
          <w:tcPr>
            <w:tcW w:type="dxa" w:w="4873"/>
            <w:vAlign w:val="center"/>
          </w:tcPr>
          <w:p>
            <w:pPr>
              <w:spacing w:after="40" w:before="40"/>
            </w:pPr>
            <w:r>
              <w:rPr>
                <w:rFonts w:ascii="Arial" w:hAnsi="Arial"/>
                <w:sz w:val="18"/>
              </w:rPr>
              <w:t>Tendencia mensual</w:t>
            </w:r>
          </w:p>
        </w:tc>
        <w:tc>
          <w:tcPr>
            <w:tcW w:type="dxa" w:w="4873"/>
            <w:vAlign w:val="center"/>
          </w:tcPr>
          <w:p>
            <w:pPr>
              <w:spacing w:after="40" w:before="40"/>
            </w:pPr>
            <w:r>
              <w:rPr>
                <w:rFonts w:ascii="Arial" w:hAnsi="Arial"/>
                <w:sz w:val="18"/>
              </w:rPr>
              <w:t>Revisar cambios agregados en el tiempo.</w:t>
            </w:r>
          </w:p>
        </w:tc>
      </w:tr>
      <w:tr>
        <w:tc>
          <w:tcPr>
            <w:tcW w:type="dxa" w:w="4873"/>
            <w:vAlign w:val="center"/>
          </w:tcPr>
          <w:p>
            <w:pPr>
              <w:spacing w:after="40" w:before="40"/>
            </w:pPr>
            <w:r>
              <w:rPr>
                <w:rFonts w:ascii="Arial" w:hAnsi="Arial"/>
                <w:sz w:val="18"/>
              </w:rPr>
              <w:t>Media móvil</w:t>
            </w:r>
          </w:p>
        </w:tc>
        <w:tc>
          <w:tcPr>
            <w:tcW w:type="dxa" w:w="4873"/>
            <w:vAlign w:val="center"/>
          </w:tcPr>
          <w:p>
            <w:pPr>
              <w:spacing w:after="40" w:before="40"/>
            </w:pPr>
            <w:r>
              <w:rPr>
                <w:rFonts w:ascii="Arial" w:hAnsi="Arial"/>
                <w:sz w:val="18"/>
              </w:rPr>
              <w:t>Suavizar fluctuaciones y observar tendencia.</w:t>
            </w:r>
          </w:p>
        </w:tc>
      </w:tr>
    </w:tbl>
    <w:p>
      <w:pPr>
        <w:pStyle w:val="Heading1"/>
      </w:pPr>
      <w:r>
        <w:t>9. Fase 4: Modelado</w:t>
      </w:r>
    </w:p>
    <w:p>
      <w:r>
        <w:t>Se implementaron los tres modelos solicitados por el taller: ARIMA, Prophet y LSTM. Cada modelo generó predicciones sobre el conjunto de prueba para ser comparado posteriormente.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249"/>
        <w:gridCol w:w="3249"/>
        <w:gridCol w:w="3249"/>
      </w:tblGrid>
      <w:tr>
        <w:tc>
          <w:tcPr>
            <w:tcW w:type="dxa" w:w="3249"/>
            <w:shd w:fill="1F4E79"/>
            <w:vAlign w:val="center"/>
          </w:tcPr>
          <w:p>
            <w:pPr>
              <w:spacing w:after="40" w:before="40"/>
            </w:pPr>
            <w:r>
              <w:rPr>
                <w:rFonts w:ascii="Arial" w:hAnsi="Arial"/>
                <w:b/>
                <w:color w:val="FFFFFF"/>
                <w:sz w:val="18"/>
              </w:rPr>
              <w:t>Modelo</w:t>
            </w:r>
          </w:p>
        </w:tc>
        <w:tc>
          <w:tcPr>
            <w:tcW w:type="dxa" w:w="3249"/>
            <w:shd w:fill="1F4E79"/>
            <w:vAlign w:val="center"/>
          </w:tcPr>
          <w:p>
            <w:pPr>
              <w:spacing w:after="40" w:before="40"/>
            </w:pPr>
            <w:r>
              <w:rPr>
                <w:rFonts w:ascii="Arial" w:hAnsi="Arial"/>
                <w:b/>
                <w:color w:val="FFFFFF"/>
                <w:sz w:val="18"/>
              </w:rPr>
              <w:t>Uso en el proyecto</w:t>
            </w:r>
          </w:p>
        </w:tc>
        <w:tc>
          <w:tcPr>
            <w:tcW w:type="dxa" w:w="3249"/>
            <w:shd w:fill="1F4E79"/>
            <w:vAlign w:val="center"/>
          </w:tcPr>
          <w:p>
            <w:pPr>
              <w:spacing w:after="40" w:before="40"/>
            </w:pPr>
            <w:r>
              <w:rPr>
                <w:rFonts w:ascii="Arial" w:hAnsi="Arial"/>
                <w:b/>
                <w:color w:val="FFFFFF"/>
                <w:sz w:val="18"/>
              </w:rPr>
              <w:t>Variables consideradas</w:t>
            </w:r>
          </w:p>
        </w:tc>
      </w:tr>
      <w:tr>
        <w:tc>
          <w:tcPr>
            <w:tcW w:type="dxa" w:w="3249"/>
            <w:vAlign w:val="center"/>
          </w:tcPr>
          <w:p>
            <w:pPr>
              <w:spacing w:after="40" w:before="40"/>
            </w:pPr>
            <w:r>
              <w:rPr>
                <w:rFonts w:ascii="Arial" w:hAnsi="Arial"/>
                <w:sz w:val="18"/>
              </w:rPr>
              <w:t>ARIMA</w:t>
            </w:r>
          </w:p>
        </w:tc>
        <w:tc>
          <w:tcPr>
            <w:tcW w:type="dxa" w:w="3249"/>
            <w:vAlign w:val="center"/>
          </w:tcPr>
          <w:p>
            <w:pPr>
              <w:spacing w:after="40" w:before="40"/>
            </w:pPr>
            <w:r>
              <w:rPr>
                <w:rFonts w:ascii="Arial" w:hAnsi="Arial"/>
                <w:sz w:val="18"/>
              </w:rPr>
              <w:t>Modelo base de serie temporal. Se usó con predicción rolling para mejorar el comportamiento frente al pronóstico largo.</w:t>
            </w:r>
          </w:p>
        </w:tc>
        <w:tc>
          <w:tcPr>
            <w:tcW w:type="dxa" w:w="3249"/>
            <w:vAlign w:val="center"/>
          </w:tcPr>
          <w:p>
            <w:pPr>
              <w:spacing w:after="40" w:before="40"/>
            </w:pPr>
            <w:r>
              <w:rPr>
                <w:rFonts w:ascii="Arial" w:hAnsi="Arial"/>
                <w:sz w:val="18"/>
              </w:rPr>
              <w:t>Date y Sales.</w:t>
            </w:r>
          </w:p>
        </w:tc>
      </w:tr>
      <w:tr>
        <w:tc>
          <w:tcPr>
            <w:tcW w:type="dxa" w:w="3249"/>
            <w:vAlign w:val="center"/>
          </w:tcPr>
          <w:p>
            <w:pPr>
              <w:spacing w:after="40" w:before="40"/>
            </w:pPr>
            <w:r>
              <w:rPr>
                <w:rFonts w:ascii="Arial" w:hAnsi="Arial"/>
                <w:sz w:val="18"/>
              </w:rPr>
              <w:t>Prophet</w:t>
            </w:r>
          </w:p>
        </w:tc>
        <w:tc>
          <w:tcPr>
            <w:tcW w:type="dxa" w:w="3249"/>
            <w:vAlign w:val="center"/>
          </w:tcPr>
          <w:p>
            <w:pPr>
              <w:spacing w:after="40" w:before="40"/>
            </w:pPr>
            <w:r>
              <w:rPr>
                <w:rFonts w:ascii="Arial" w:hAnsi="Arial"/>
                <w:sz w:val="18"/>
              </w:rPr>
              <w:t>Modelo principal con variables externas. Integró regresores disponibles en el dataset.</w:t>
            </w:r>
          </w:p>
        </w:tc>
        <w:tc>
          <w:tcPr>
            <w:tcW w:type="dxa" w:w="3249"/>
            <w:vAlign w:val="center"/>
          </w:tcPr>
          <w:p>
            <w:pPr>
              <w:spacing w:after="40" w:before="40"/>
            </w:pPr>
            <w:r>
              <w:rPr>
                <w:rFonts w:ascii="Arial" w:hAnsi="Arial"/>
                <w:sz w:val="18"/>
              </w:rPr>
              <w:t>Sales, Promo, SchoolHoliday, StateHolidayFlag, Open, Promo2, CompetitionDistance.</w:t>
            </w:r>
          </w:p>
        </w:tc>
      </w:tr>
      <w:tr>
        <w:tc>
          <w:tcPr>
            <w:tcW w:type="dxa" w:w="3249"/>
            <w:vAlign w:val="center"/>
          </w:tcPr>
          <w:p>
            <w:pPr>
              <w:spacing w:after="40" w:before="40"/>
            </w:pPr>
            <w:r>
              <w:rPr>
                <w:rFonts w:ascii="Arial" w:hAnsi="Arial"/>
                <w:sz w:val="18"/>
              </w:rPr>
              <w:t>LSTM</w:t>
            </w:r>
          </w:p>
        </w:tc>
        <w:tc>
          <w:tcPr>
            <w:tcW w:type="dxa" w:w="3249"/>
            <w:vAlign w:val="center"/>
          </w:tcPr>
          <w:p>
            <w:pPr>
              <w:spacing w:after="40" w:before="40"/>
            </w:pPr>
            <w:r>
              <w:rPr>
                <w:rFonts w:ascii="Arial" w:hAnsi="Arial"/>
                <w:sz w:val="18"/>
              </w:rPr>
              <w:t>Modelo de red neuronal para series de tiempo con secuencias multivariables.</w:t>
            </w:r>
          </w:p>
        </w:tc>
        <w:tc>
          <w:tcPr>
            <w:tcW w:type="dxa" w:w="3249"/>
            <w:vAlign w:val="center"/>
          </w:tcPr>
          <w:p>
            <w:pPr>
              <w:spacing w:after="40" w:before="40"/>
            </w:pPr>
            <w:r>
              <w:rPr>
                <w:rFonts w:ascii="Arial" w:hAnsi="Arial"/>
                <w:sz w:val="18"/>
              </w:rPr>
              <w:t>Sales y variables externas preparadas.</w:t>
            </w:r>
          </w:p>
        </w:tc>
      </w:tr>
    </w:tbl>
    <w:p>
      <w:r>
        <w:t>ARIMA se mantuvo como modelo base sin variables externas porque el requerimiento solicita ARIMA y no variantes como ARIMAX o SARIMAX. La integración de variables externas se realizó en Prophet y LSTM, respetando el alcance técnico del taller.</w:t>
      </w:r>
    </w:p>
    <w:p>
      <w:pPr>
        <w:pStyle w:val="Heading1"/>
      </w:pPr>
      <w:r>
        <w:t>10. Fase 5: Evaluación</w:t>
      </w:r>
    </w:p>
    <w:p>
      <w:r>
        <w:t>La evaluación se realizó con las tres métricas solicitadas: RMSE, MAE y MAPE. El mejor modelo se seleccionó considerando el menor error en estas métricas.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873"/>
        <w:gridCol w:w="4873"/>
      </w:tblGrid>
      <w:tr>
        <w:tc>
          <w:tcPr>
            <w:tcW w:type="dxa" w:w="4873"/>
            <w:shd w:fill="1F4E79"/>
            <w:vAlign w:val="center"/>
          </w:tcPr>
          <w:p>
            <w:pPr>
              <w:spacing w:after="40" w:before="40"/>
            </w:pPr>
            <w:r>
              <w:rPr>
                <w:rFonts w:ascii="Arial" w:hAnsi="Arial"/>
                <w:b/>
                <w:color w:val="FFFFFF"/>
                <w:sz w:val="18"/>
              </w:rPr>
              <w:t>Métrica</w:t>
            </w:r>
          </w:p>
        </w:tc>
        <w:tc>
          <w:tcPr>
            <w:tcW w:type="dxa" w:w="4873"/>
            <w:shd w:fill="1F4E79"/>
            <w:vAlign w:val="center"/>
          </w:tcPr>
          <w:p>
            <w:pPr>
              <w:spacing w:after="40" w:before="40"/>
            </w:pPr>
            <w:r>
              <w:rPr>
                <w:rFonts w:ascii="Arial" w:hAnsi="Arial"/>
                <w:b/>
                <w:color w:val="FFFFFF"/>
                <w:sz w:val="18"/>
              </w:rPr>
              <w:t>Interpretación</w:t>
            </w:r>
          </w:p>
        </w:tc>
      </w:tr>
      <w:tr>
        <w:tc>
          <w:tcPr>
            <w:tcW w:type="dxa" w:w="4873"/>
            <w:vAlign w:val="center"/>
          </w:tcPr>
          <w:p>
            <w:pPr>
              <w:spacing w:after="40" w:before="40"/>
            </w:pPr>
            <w:r>
              <w:rPr>
                <w:rFonts w:ascii="Arial" w:hAnsi="Arial"/>
                <w:sz w:val="18"/>
              </w:rPr>
              <w:t>RMSE</w:t>
            </w:r>
          </w:p>
        </w:tc>
        <w:tc>
          <w:tcPr>
            <w:tcW w:type="dxa" w:w="4873"/>
            <w:vAlign w:val="center"/>
          </w:tcPr>
          <w:p>
            <w:pPr>
              <w:spacing w:after="40" w:before="40"/>
            </w:pPr>
            <w:r>
              <w:rPr>
                <w:rFonts w:ascii="Arial" w:hAnsi="Arial"/>
                <w:sz w:val="18"/>
              </w:rPr>
              <w:t>Error cuadrático medio en la escala de ventas. Penaliza errores grandes.</w:t>
            </w:r>
          </w:p>
        </w:tc>
      </w:tr>
      <w:tr>
        <w:tc>
          <w:tcPr>
            <w:tcW w:type="dxa" w:w="4873"/>
            <w:vAlign w:val="center"/>
          </w:tcPr>
          <w:p>
            <w:pPr>
              <w:spacing w:after="40" w:before="40"/>
            </w:pPr>
            <w:r>
              <w:rPr>
                <w:rFonts w:ascii="Arial" w:hAnsi="Arial"/>
                <w:sz w:val="18"/>
              </w:rPr>
              <w:t>MAE</w:t>
            </w:r>
          </w:p>
        </w:tc>
        <w:tc>
          <w:tcPr>
            <w:tcW w:type="dxa" w:w="4873"/>
            <w:vAlign w:val="center"/>
          </w:tcPr>
          <w:p>
            <w:pPr>
              <w:spacing w:after="40" w:before="40"/>
            </w:pPr>
            <w:r>
              <w:rPr>
                <w:rFonts w:ascii="Arial" w:hAnsi="Arial"/>
                <w:sz w:val="18"/>
              </w:rPr>
              <w:t>Error absoluto promedio en la escala de ventas.</w:t>
            </w:r>
          </w:p>
        </w:tc>
      </w:tr>
      <w:tr>
        <w:tc>
          <w:tcPr>
            <w:tcW w:type="dxa" w:w="4873"/>
            <w:vAlign w:val="center"/>
          </w:tcPr>
          <w:p>
            <w:pPr>
              <w:spacing w:after="40" w:before="40"/>
            </w:pPr>
            <w:r>
              <w:rPr>
                <w:rFonts w:ascii="Arial" w:hAnsi="Arial"/>
                <w:sz w:val="18"/>
              </w:rPr>
              <w:t>MAPE (%)</w:t>
            </w:r>
          </w:p>
        </w:tc>
        <w:tc>
          <w:tcPr>
            <w:tcW w:type="dxa" w:w="4873"/>
            <w:vAlign w:val="center"/>
          </w:tcPr>
          <w:p>
            <w:pPr>
              <w:spacing w:after="40" w:before="40"/>
            </w:pPr>
            <w:r>
              <w:rPr>
                <w:rFonts w:ascii="Arial" w:hAnsi="Arial"/>
                <w:sz w:val="18"/>
              </w:rPr>
              <w:t>Error porcentual promedio. Facilita la interpretación relativa del error.</w:t>
            </w:r>
          </w:p>
        </w:tc>
      </w:tr>
    </w:tbl>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36"/>
        <w:gridCol w:w="2436"/>
        <w:gridCol w:w="2436"/>
        <w:gridCol w:w="2436"/>
      </w:tblGrid>
      <w:tr>
        <w:tc>
          <w:tcPr>
            <w:tcW w:type="dxa" w:w="2436"/>
            <w:shd w:fill="1F4E79"/>
            <w:vAlign w:val="center"/>
          </w:tcPr>
          <w:p>
            <w:pPr>
              <w:spacing w:after="40" w:before="40"/>
            </w:pPr>
            <w:r>
              <w:rPr>
                <w:rFonts w:ascii="Arial" w:hAnsi="Arial"/>
                <w:b/>
                <w:color w:val="FFFFFF"/>
                <w:sz w:val="18"/>
              </w:rPr>
              <w:t>Modelo</w:t>
            </w:r>
          </w:p>
        </w:tc>
        <w:tc>
          <w:tcPr>
            <w:tcW w:type="dxa" w:w="2436"/>
            <w:shd w:fill="1F4E79"/>
            <w:vAlign w:val="center"/>
          </w:tcPr>
          <w:p>
            <w:pPr>
              <w:spacing w:after="40" w:before="40"/>
            </w:pPr>
            <w:r>
              <w:rPr>
                <w:rFonts w:ascii="Arial" w:hAnsi="Arial"/>
                <w:b/>
                <w:color w:val="FFFFFF"/>
                <w:sz w:val="18"/>
              </w:rPr>
              <w:t>RMSE</w:t>
            </w:r>
          </w:p>
        </w:tc>
        <w:tc>
          <w:tcPr>
            <w:tcW w:type="dxa" w:w="2436"/>
            <w:shd w:fill="1F4E79"/>
            <w:vAlign w:val="center"/>
          </w:tcPr>
          <w:p>
            <w:pPr>
              <w:spacing w:after="40" w:before="40"/>
            </w:pPr>
            <w:r>
              <w:rPr>
                <w:rFonts w:ascii="Arial" w:hAnsi="Arial"/>
                <w:b/>
                <w:color w:val="FFFFFF"/>
                <w:sz w:val="18"/>
              </w:rPr>
              <w:t>MAE</w:t>
            </w:r>
          </w:p>
        </w:tc>
        <w:tc>
          <w:tcPr>
            <w:tcW w:type="dxa" w:w="2436"/>
            <w:shd w:fill="1F4E79"/>
            <w:vAlign w:val="center"/>
          </w:tcPr>
          <w:p>
            <w:pPr>
              <w:spacing w:after="40" w:before="40"/>
            </w:pPr>
            <w:r>
              <w:rPr>
                <w:rFonts w:ascii="Arial" w:hAnsi="Arial"/>
                <w:b/>
                <w:color w:val="FFFFFF"/>
                <w:sz w:val="18"/>
              </w:rPr>
              <w:t>MAPE (%)</w:t>
            </w:r>
          </w:p>
        </w:tc>
      </w:tr>
      <w:tr>
        <w:tc>
          <w:tcPr>
            <w:tcW w:type="dxa" w:w="2436"/>
            <w:vAlign w:val="center"/>
          </w:tcPr>
          <w:p>
            <w:pPr>
              <w:spacing w:after="40" w:before="40"/>
            </w:pPr>
            <w:r>
              <w:rPr>
                <w:rFonts w:ascii="Arial" w:hAnsi="Arial"/>
                <w:sz w:val="18"/>
              </w:rPr>
              <w:t>ARIMA</w:t>
            </w:r>
          </w:p>
        </w:tc>
        <w:tc>
          <w:tcPr>
            <w:tcW w:type="dxa" w:w="2436"/>
            <w:vAlign w:val="center"/>
          </w:tcPr>
          <w:p>
            <w:pPr>
              <w:spacing w:after="40" w:before="40"/>
            </w:pPr>
            <w:r>
              <w:rPr>
                <w:rFonts w:ascii="Arial" w:hAnsi="Arial"/>
                <w:sz w:val="18"/>
              </w:rPr>
              <w:t>2,045,074.55</w:t>
            </w:r>
          </w:p>
        </w:tc>
        <w:tc>
          <w:tcPr>
            <w:tcW w:type="dxa" w:w="2436"/>
            <w:vAlign w:val="center"/>
          </w:tcPr>
          <w:p>
            <w:pPr>
              <w:spacing w:after="40" w:before="40"/>
            </w:pPr>
            <w:r>
              <w:rPr>
                <w:rFonts w:ascii="Arial" w:hAnsi="Arial"/>
                <w:sz w:val="18"/>
              </w:rPr>
              <w:t>1,272,695.19</w:t>
            </w:r>
          </w:p>
        </w:tc>
        <w:tc>
          <w:tcPr>
            <w:tcW w:type="dxa" w:w="2436"/>
            <w:vAlign w:val="center"/>
          </w:tcPr>
          <w:p>
            <w:pPr>
              <w:spacing w:after="40" w:before="40"/>
            </w:pPr>
            <w:r>
              <w:rPr>
                <w:rFonts w:ascii="Arial" w:hAnsi="Arial"/>
                <w:sz w:val="18"/>
              </w:rPr>
              <w:t>140.21</w:t>
            </w:r>
          </w:p>
        </w:tc>
      </w:tr>
      <w:tr>
        <w:tc>
          <w:tcPr>
            <w:tcW w:type="dxa" w:w="2436"/>
            <w:vAlign w:val="center"/>
          </w:tcPr>
          <w:p>
            <w:pPr>
              <w:spacing w:after="40" w:before="40"/>
            </w:pPr>
            <w:r>
              <w:rPr>
                <w:rFonts w:ascii="Arial" w:hAnsi="Arial"/>
                <w:sz w:val="18"/>
              </w:rPr>
              <w:t>Prophet</w:t>
            </w:r>
          </w:p>
        </w:tc>
        <w:tc>
          <w:tcPr>
            <w:tcW w:type="dxa" w:w="2436"/>
            <w:vAlign w:val="center"/>
          </w:tcPr>
          <w:p>
            <w:pPr>
              <w:spacing w:after="40" w:before="40"/>
            </w:pPr>
            <w:r>
              <w:rPr>
                <w:rFonts w:ascii="Arial" w:hAnsi="Arial"/>
                <w:sz w:val="18"/>
              </w:rPr>
              <w:t>968,447.14</w:t>
            </w:r>
          </w:p>
        </w:tc>
        <w:tc>
          <w:tcPr>
            <w:tcW w:type="dxa" w:w="2436"/>
            <w:vAlign w:val="center"/>
          </w:tcPr>
          <w:p>
            <w:pPr>
              <w:spacing w:after="40" w:before="40"/>
            </w:pPr>
            <w:r>
              <w:rPr>
                <w:rFonts w:ascii="Arial" w:hAnsi="Arial"/>
                <w:sz w:val="18"/>
              </w:rPr>
              <w:t>685,105.41</w:t>
            </w:r>
          </w:p>
        </w:tc>
        <w:tc>
          <w:tcPr>
            <w:tcW w:type="dxa" w:w="2436"/>
            <w:vAlign w:val="center"/>
          </w:tcPr>
          <w:p>
            <w:pPr>
              <w:spacing w:after="40" w:before="40"/>
            </w:pPr>
            <w:r>
              <w:rPr>
                <w:rFonts w:ascii="Arial" w:hAnsi="Arial"/>
                <w:sz w:val="18"/>
              </w:rPr>
              <w:t>24.31</w:t>
            </w:r>
          </w:p>
        </w:tc>
      </w:tr>
      <w:tr>
        <w:tc>
          <w:tcPr>
            <w:tcW w:type="dxa" w:w="2436"/>
            <w:vAlign w:val="center"/>
          </w:tcPr>
          <w:p>
            <w:pPr>
              <w:spacing w:after="40" w:before="40"/>
            </w:pPr>
            <w:r>
              <w:rPr>
                <w:rFonts w:ascii="Arial" w:hAnsi="Arial"/>
                <w:sz w:val="18"/>
              </w:rPr>
              <w:t>LSTM</w:t>
            </w:r>
          </w:p>
        </w:tc>
        <w:tc>
          <w:tcPr>
            <w:tcW w:type="dxa" w:w="2436"/>
            <w:vAlign w:val="center"/>
          </w:tcPr>
          <w:p>
            <w:pPr>
              <w:spacing w:after="40" w:before="40"/>
            </w:pPr>
            <w:r>
              <w:rPr>
                <w:rFonts w:ascii="Arial" w:hAnsi="Arial"/>
                <w:sz w:val="18"/>
              </w:rPr>
              <w:t>1,710,638.53</w:t>
            </w:r>
          </w:p>
        </w:tc>
        <w:tc>
          <w:tcPr>
            <w:tcW w:type="dxa" w:w="2436"/>
            <w:vAlign w:val="center"/>
          </w:tcPr>
          <w:p>
            <w:pPr>
              <w:spacing w:after="40" w:before="40"/>
            </w:pPr>
            <w:r>
              <w:rPr>
                <w:rFonts w:ascii="Arial" w:hAnsi="Arial"/>
                <w:sz w:val="18"/>
              </w:rPr>
              <w:t>1,219,261.28</w:t>
            </w:r>
          </w:p>
        </w:tc>
        <w:tc>
          <w:tcPr>
            <w:tcW w:type="dxa" w:w="2436"/>
            <w:vAlign w:val="center"/>
          </w:tcPr>
          <w:p>
            <w:pPr>
              <w:spacing w:after="40" w:before="40"/>
            </w:pPr>
            <w:r>
              <w:rPr>
                <w:rFonts w:ascii="Arial" w:hAnsi="Arial"/>
                <w:sz w:val="18"/>
              </w:rPr>
              <w:t>151.25</w:t>
            </w:r>
          </w:p>
        </w:tc>
      </w:tr>
    </w:tbl>
    <w:p>
      <w:pPr>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rossmann_rmse_mae.png"/>
                    <pic:cNvPicPr/>
                  </pic:nvPicPr>
                  <pic:blipFill>
                    <a:blip r:embed="rId11"/>
                    <a:stretch>
                      <a:fillRect/>
                    </a:stretch>
                  </pic:blipFill>
                  <pic:spPr>
                    <a:xfrm>
                      <a:off x="0" y="0"/>
                      <a:ext cx="5852160" cy="3291840"/>
                    </a:xfrm>
                    <a:prstGeom prst="rect"/>
                  </pic:spPr>
                </pic:pic>
              </a:graphicData>
            </a:graphic>
          </wp:inline>
        </w:drawing>
      </w:r>
    </w:p>
    <w:p>
      <w:pPr>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rossmann_mape.png"/>
                    <pic:cNvPicPr/>
                  </pic:nvPicPr>
                  <pic:blipFill>
                    <a:blip r:embed="rId12"/>
                    <a:stretch>
                      <a:fillRect/>
                    </a:stretch>
                  </pic:blipFill>
                  <pic:spPr>
                    <a:xfrm>
                      <a:off x="0" y="0"/>
                      <a:ext cx="5852160" cy="3291840"/>
                    </a:xfrm>
                    <a:prstGeom prst="rect"/>
                  </pic:spPr>
                </pic:pic>
              </a:graphicData>
            </a:graphic>
          </wp:inline>
        </w:drawing>
      </w:r>
    </w:p>
    <w:p>
      <w:r>
        <w:t>Prophet fue seleccionado como modelo principal porque obtuvo el menor RMSE, menor MAE y menor MAPE. Su resultado final fue RMSE = 968,447.14, MAE = 685,105.41 y MAPE = 24.31%. Aunque el error porcentual mantiene margen de mejora, fue el mejor desempeño entre los tres modelos requeridos.</w:t>
      </w:r>
    </w:p>
    <w:p>
      <w:pPr>
        <w:pStyle w:val="Heading1"/>
      </w:pPr>
      <w:r>
        <w:t>11. Fase 6: Despliegue</w:t>
      </w:r>
    </w:p>
    <w:p>
      <w:r>
        <w:t>El despliegue funcional se planteó mediante un dashboard en Streamlit ubicado en la carpeta 03_dashboard/app.py. La aplicación no entrena modelos ni modifica datos; únicamente carga los resultados generados por los notebooks.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873"/>
        <w:gridCol w:w="4873"/>
      </w:tblGrid>
      <w:tr>
        <w:tc>
          <w:tcPr>
            <w:tcW w:type="dxa" w:w="4873"/>
            <w:shd w:fill="1F4E79"/>
            <w:vAlign w:val="center"/>
          </w:tcPr>
          <w:p>
            <w:pPr>
              <w:spacing w:after="40" w:before="40"/>
            </w:pPr>
            <w:r>
              <w:rPr>
                <w:rFonts w:ascii="Arial" w:hAnsi="Arial"/>
                <w:b/>
                <w:color w:val="FFFFFF"/>
                <w:sz w:val="18"/>
              </w:rPr>
              <w:t>Componente del dashboard</w:t>
            </w:r>
          </w:p>
        </w:tc>
        <w:tc>
          <w:tcPr>
            <w:tcW w:type="dxa" w:w="4873"/>
            <w:shd w:fill="1F4E79"/>
            <w:vAlign w:val="center"/>
          </w:tcPr>
          <w:p>
            <w:pPr>
              <w:spacing w:after="40" w:before="40"/>
            </w:pPr>
            <w:r>
              <w:rPr>
                <w:rFonts w:ascii="Arial" w:hAnsi="Arial"/>
                <w:b/>
                <w:color w:val="FFFFFF"/>
                <w:sz w:val="18"/>
              </w:rPr>
              <w:t>Relación con el requerimiento funcional</w:t>
            </w:r>
          </w:p>
        </w:tc>
      </w:tr>
      <w:tr>
        <w:tc>
          <w:tcPr>
            <w:tcW w:type="dxa" w:w="4873"/>
            <w:vAlign w:val="center"/>
          </w:tcPr>
          <w:p>
            <w:pPr>
              <w:spacing w:after="40" w:before="40"/>
            </w:pPr>
            <w:r>
              <w:rPr>
                <w:rFonts w:ascii="Arial" w:hAnsi="Arial"/>
                <w:sz w:val="18"/>
              </w:rPr>
              <w:t>Visualización temporal de ventas reales</w:t>
            </w:r>
          </w:p>
        </w:tc>
        <w:tc>
          <w:tcPr>
            <w:tcW w:type="dxa" w:w="4873"/>
            <w:vAlign w:val="center"/>
          </w:tcPr>
          <w:p>
            <w:pPr>
              <w:spacing w:after="40" w:before="40"/>
            </w:pPr>
            <w:r>
              <w:rPr>
                <w:rFonts w:ascii="Arial" w:hAnsi="Arial"/>
                <w:sz w:val="18"/>
              </w:rPr>
              <w:t>Cumple visualización temporal.</w:t>
            </w:r>
          </w:p>
        </w:tc>
      </w:tr>
      <w:tr>
        <w:tc>
          <w:tcPr>
            <w:tcW w:type="dxa" w:w="4873"/>
            <w:vAlign w:val="center"/>
          </w:tcPr>
          <w:p>
            <w:pPr>
              <w:spacing w:after="40" w:before="40"/>
            </w:pPr>
            <w:r>
              <w:rPr>
                <w:rFonts w:ascii="Arial" w:hAnsi="Arial"/>
                <w:sz w:val="18"/>
              </w:rPr>
              <w:t>Comparación de ARIMA, Prophet y LSTM</w:t>
            </w:r>
          </w:p>
        </w:tc>
        <w:tc>
          <w:tcPr>
            <w:tcW w:type="dxa" w:w="4873"/>
            <w:vAlign w:val="center"/>
          </w:tcPr>
          <w:p>
            <w:pPr>
              <w:spacing w:after="40" w:before="40"/>
            </w:pPr>
            <w:r>
              <w:rPr>
                <w:rFonts w:ascii="Arial" w:hAnsi="Arial"/>
                <w:sz w:val="18"/>
              </w:rPr>
              <w:t>Cumple dashboard de predicción.</w:t>
            </w:r>
          </w:p>
        </w:tc>
      </w:tr>
      <w:tr>
        <w:tc>
          <w:tcPr>
            <w:tcW w:type="dxa" w:w="4873"/>
            <w:vAlign w:val="center"/>
          </w:tcPr>
          <w:p>
            <w:pPr>
              <w:spacing w:after="40" w:before="40"/>
            </w:pPr>
            <w:r>
              <w:rPr>
                <w:rFonts w:ascii="Arial" w:hAnsi="Arial"/>
                <w:sz w:val="18"/>
              </w:rPr>
              <w:t>Tabla de métricas RMSE, MAE y MAPE</w:t>
            </w:r>
          </w:p>
        </w:tc>
        <w:tc>
          <w:tcPr>
            <w:tcW w:type="dxa" w:w="4873"/>
            <w:vAlign w:val="center"/>
          </w:tcPr>
          <w:p>
            <w:pPr>
              <w:spacing w:after="40" w:before="40"/>
            </w:pPr>
            <w:r>
              <w:rPr>
                <w:rFonts w:ascii="Arial" w:hAnsi="Arial"/>
                <w:sz w:val="18"/>
              </w:rPr>
              <w:t>Evidencia evaluación de modelos.</w:t>
            </w:r>
          </w:p>
        </w:tc>
      </w:tr>
      <w:tr>
        <w:tc>
          <w:tcPr>
            <w:tcW w:type="dxa" w:w="4873"/>
            <w:vAlign w:val="center"/>
          </w:tcPr>
          <w:p>
            <w:pPr>
              <w:spacing w:after="40" w:before="40"/>
            </w:pPr>
            <w:r>
              <w:rPr>
                <w:rFonts w:ascii="Arial" w:hAnsi="Arial"/>
                <w:sz w:val="18"/>
              </w:rPr>
              <w:t>Modelo seleccionado</w:t>
            </w:r>
          </w:p>
        </w:tc>
        <w:tc>
          <w:tcPr>
            <w:tcW w:type="dxa" w:w="4873"/>
            <w:vAlign w:val="center"/>
          </w:tcPr>
          <w:p>
            <w:pPr>
              <w:spacing w:after="40" w:before="40"/>
            </w:pPr>
            <w:r>
              <w:rPr>
                <w:rFonts w:ascii="Arial" w:hAnsi="Arial"/>
                <w:sz w:val="18"/>
              </w:rPr>
              <w:t>Identifica Prophet como mejor modelo.</w:t>
            </w:r>
          </w:p>
        </w:tc>
      </w:tr>
      <w:tr>
        <w:tc>
          <w:tcPr>
            <w:tcW w:type="dxa" w:w="4873"/>
            <w:vAlign w:val="center"/>
          </w:tcPr>
          <w:p>
            <w:pPr>
              <w:spacing w:after="40" w:before="40"/>
            </w:pPr>
            <w:r>
              <w:rPr>
                <w:rFonts w:ascii="Arial" w:hAnsi="Arial"/>
                <w:sz w:val="18"/>
              </w:rPr>
              <w:t>Simulación base, optimista y pesimista</w:t>
            </w:r>
          </w:p>
        </w:tc>
        <w:tc>
          <w:tcPr>
            <w:tcW w:type="dxa" w:w="4873"/>
            <w:vAlign w:val="center"/>
          </w:tcPr>
          <w:p>
            <w:pPr>
              <w:spacing w:after="40" w:before="40"/>
            </w:pPr>
            <w:r>
              <w:rPr>
                <w:rFonts w:ascii="Arial" w:hAnsi="Arial"/>
                <w:sz w:val="18"/>
              </w:rPr>
              <w:t>Cumple simulación de escenarios.</w:t>
            </w:r>
          </w:p>
        </w:tc>
      </w:tr>
      <w:tr>
        <w:tc>
          <w:tcPr>
            <w:tcW w:type="dxa" w:w="4873"/>
            <w:vAlign w:val="center"/>
          </w:tcPr>
          <w:p>
            <w:pPr>
              <w:spacing w:after="40" w:before="40"/>
            </w:pPr>
            <w:r>
              <w:rPr>
                <w:rFonts w:ascii="Arial" w:hAnsi="Arial"/>
                <w:sz w:val="18"/>
              </w:rPr>
              <w:t>Tabla final de resultados</w:t>
            </w:r>
          </w:p>
        </w:tc>
        <w:tc>
          <w:tcPr>
            <w:tcW w:type="dxa" w:w="4873"/>
            <w:vAlign w:val="center"/>
          </w:tcPr>
          <w:p>
            <w:pPr>
              <w:spacing w:after="40" w:before="40"/>
            </w:pPr>
            <w:r>
              <w:rPr>
                <w:rFonts w:ascii="Arial" w:hAnsi="Arial"/>
                <w:sz w:val="18"/>
              </w:rPr>
              <w:t>Permite revisar ventas reales, predicciones y escenarios.</w:t>
            </w:r>
          </w:p>
        </w:tc>
      </w:tr>
    </w:tbl>
    <w:p>
      <w:r>
        <w:t>La aplicación permite interacción mediante selector de modelo, filtros de fecha y sliders para modificar los porcentajes de escenarios. No solicita ingreso manual de ventas, tiendas o clientes, ya que el proyecto corresponde a predicción con un dataset histórico de series de tiempo.</w:t>
      </w:r>
    </w:p>
    <w:p>
      <w:pPr>
        <w:pStyle w:val="Heading1"/>
      </w:pPr>
      <w:r>
        <w:t>12. Simulación de escenarios</w:t>
      </w:r>
    </w:p>
    <w:p>
      <w:r>
        <w:t>La simulación de escenarios se construyó sobre Prophet porque fue el modelo con mejor desempeño. Se definieron tres escenarios para apoyar la planificación de marketing:</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249"/>
        <w:gridCol w:w="3249"/>
        <w:gridCol w:w="3249"/>
      </w:tblGrid>
      <w:tr>
        <w:tc>
          <w:tcPr>
            <w:tcW w:type="dxa" w:w="3249"/>
            <w:shd w:fill="1F4E79"/>
            <w:vAlign w:val="center"/>
          </w:tcPr>
          <w:p>
            <w:pPr>
              <w:spacing w:after="40" w:before="40"/>
            </w:pPr>
            <w:r>
              <w:rPr>
                <w:rFonts w:ascii="Arial" w:hAnsi="Arial"/>
                <w:b/>
                <w:color w:val="FFFFFF"/>
                <w:sz w:val="18"/>
              </w:rPr>
              <w:t>Escenario</w:t>
            </w:r>
          </w:p>
        </w:tc>
        <w:tc>
          <w:tcPr>
            <w:tcW w:type="dxa" w:w="3249"/>
            <w:shd w:fill="1F4E79"/>
            <w:vAlign w:val="center"/>
          </w:tcPr>
          <w:p>
            <w:pPr>
              <w:spacing w:after="40" w:before="40"/>
            </w:pPr>
            <w:r>
              <w:rPr>
                <w:rFonts w:ascii="Arial" w:hAnsi="Arial"/>
                <w:b/>
                <w:color w:val="FFFFFF"/>
                <w:sz w:val="18"/>
              </w:rPr>
              <w:t>Cálculo</w:t>
            </w:r>
          </w:p>
        </w:tc>
        <w:tc>
          <w:tcPr>
            <w:tcW w:type="dxa" w:w="3249"/>
            <w:shd w:fill="1F4E79"/>
            <w:vAlign w:val="center"/>
          </w:tcPr>
          <w:p>
            <w:pPr>
              <w:spacing w:after="40" w:before="40"/>
            </w:pPr>
            <w:r>
              <w:rPr>
                <w:rFonts w:ascii="Arial" w:hAnsi="Arial"/>
                <w:b/>
                <w:color w:val="FFFFFF"/>
                <w:sz w:val="18"/>
              </w:rPr>
              <w:t>Interpretación</w:t>
            </w:r>
          </w:p>
        </w:tc>
      </w:tr>
      <w:tr>
        <w:tc>
          <w:tcPr>
            <w:tcW w:type="dxa" w:w="3249"/>
            <w:vAlign w:val="center"/>
          </w:tcPr>
          <w:p>
            <w:pPr>
              <w:spacing w:after="40" w:before="40"/>
            </w:pPr>
            <w:r>
              <w:rPr>
                <w:rFonts w:ascii="Arial" w:hAnsi="Arial"/>
                <w:sz w:val="18"/>
              </w:rPr>
              <w:t>Base</w:t>
            </w:r>
          </w:p>
        </w:tc>
        <w:tc>
          <w:tcPr>
            <w:tcW w:type="dxa" w:w="3249"/>
            <w:vAlign w:val="center"/>
          </w:tcPr>
          <w:p>
            <w:pPr>
              <w:spacing w:after="40" w:before="40"/>
            </w:pPr>
            <w:r>
              <w:rPr>
                <w:rFonts w:ascii="Arial" w:hAnsi="Arial"/>
                <w:sz w:val="18"/>
              </w:rPr>
              <w:t>Predicción Prophet</w:t>
            </w:r>
          </w:p>
        </w:tc>
        <w:tc>
          <w:tcPr>
            <w:tcW w:type="dxa" w:w="3249"/>
            <w:vAlign w:val="center"/>
          </w:tcPr>
          <w:p>
            <w:pPr>
              <w:spacing w:after="40" w:before="40"/>
            </w:pPr>
            <w:r>
              <w:rPr>
                <w:rFonts w:ascii="Arial" w:hAnsi="Arial"/>
                <w:sz w:val="18"/>
              </w:rPr>
              <w:t>Demanda estimada por el mejor modelo.</w:t>
            </w:r>
          </w:p>
        </w:tc>
      </w:tr>
      <w:tr>
        <w:tc>
          <w:tcPr>
            <w:tcW w:type="dxa" w:w="3249"/>
            <w:vAlign w:val="center"/>
          </w:tcPr>
          <w:p>
            <w:pPr>
              <w:spacing w:after="40" w:before="40"/>
            </w:pPr>
            <w:r>
              <w:rPr>
                <w:rFonts w:ascii="Arial" w:hAnsi="Arial"/>
                <w:sz w:val="18"/>
              </w:rPr>
              <w:t>Optimista</w:t>
            </w:r>
          </w:p>
        </w:tc>
        <w:tc>
          <w:tcPr>
            <w:tcW w:type="dxa" w:w="3249"/>
            <w:vAlign w:val="center"/>
          </w:tcPr>
          <w:p>
            <w:pPr>
              <w:spacing w:after="40" w:before="40"/>
            </w:pPr>
            <w:r>
              <w:rPr>
                <w:rFonts w:ascii="Arial" w:hAnsi="Arial"/>
                <w:sz w:val="18"/>
              </w:rPr>
              <w:t>Predicción Prophet aumentada por un porcentaje configurable</w:t>
            </w:r>
          </w:p>
        </w:tc>
        <w:tc>
          <w:tcPr>
            <w:tcW w:type="dxa" w:w="3249"/>
            <w:vAlign w:val="center"/>
          </w:tcPr>
          <w:p>
            <w:pPr>
              <w:spacing w:after="40" w:before="40"/>
            </w:pPr>
            <w:r>
              <w:rPr>
                <w:rFonts w:ascii="Arial" w:hAnsi="Arial"/>
                <w:sz w:val="18"/>
              </w:rPr>
              <w:t>Posible aumento de demanda.</w:t>
            </w:r>
          </w:p>
        </w:tc>
      </w:tr>
      <w:tr>
        <w:tc>
          <w:tcPr>
            <w:tcW w:type="dxa" w:w="3249"/>
            <w:vAlign w:val="center"/>
          </w:tcPr>
          <w:p>
            <w:pPr>
              <w:spacing w:after="40" w:before="40"/>
            </w:pPr>
            <w:r>
              <w:rPr>
                <w:rFonts w:ascii="Arial" w:hAnsi="Arial"/>
                <w:sz w:val="18"/>
              </w:rPr>
              <w:t>Pesimista</w:t>
            </w:r>
          </w:p>
        </w:tc>
        <w:tc>
          <w:tcPr>
            <w:tcW w:type="dxa" w:w="3249"/>
            <w:vAlign w:val="center"/>
          </w:tcPr>
          <w:p>
            <w:pPr>
              <w:spacing w:after="40" w:before="40"/>
            </w:pPr>
            <w:r>
              <w:rPr>
                <w:rFonts w:ascii="Arial" w:hAnsi="Arial"/>
                <w:sz w:val="18"/>
              </w:rPr>
              <w:t>Predicción Prophet reducida por un porcentaje configurable</w:t>
            </w:r>
          </w:p>
        </w:tc>
        <w:tc>
          <w:tcPr>
            <w:tcW w:type="dxa" w:w="3249"/>
            <w:vAlign w:val="center"/>
          </w:tcPr>
          <w:p>
            <w:pPr>
              <w:spacing w:after="40" w:before="40"/>
            </w:pPr>
            <w:r>
              <w:rPr>
                <w:rFonts w:ascii="Arial" w:hAnsi="Arial"/>
                <w:sz w:val="18"/>
              </w:rPr>
              <w:t>Posible reducción de demanda.</w:t>
            </w:r>
          </w:p>
        </w:tc>
      </w:tr>
    </w:tbl>
    <w:p>
      <w:r>
        <w:t>La simulación no corresponde a un modelo adicional; es una variación controlada sobre la predicción del mejor modelo para explorar posibles condiciones de demanda.</w:t>
      </w:r>
    </w:p>
    <w:p>
      <w:pPr>
        <w:pStyle w:val="Heading1"/>
      </w:pPr>
      <w:r>
        <w:t>13. Conclusiones</w:t>
      </w:r>
    </w:p>
    <w:p>
      <w:pPr>
        <w:pStyle w:val="ListBullet"/>
      </w:pPr>
      <w:r>
        <w:t>Se cumplió el objetivo general al construir un modelo predictivo de series de tiempo para estimar demanda futura e integrar variables externas del dataset Rossmann.</w:t>
      </w:r>
    </w:p>
    <w:p>
      <w:pPr>
        <w:pStyle w:val="ListBullet"/>
      </w:pPr>
      <w:r>
        <w:t>Se implementaron los tres modelos solicitados: ARIMA, Prophet y LSTM.</w:t>
      </w:r>
    </w:p>
    <w:p>
      <w:pPr>
        <w:pStyle w:val="ListBullet"/>
      </w:pPr>
      <w:r>
        <w:t>Se realizó análisis de estacionalidad mediante visualizaciones temporales, comportamiento mensual, semanal y tendencia.</w:t>
      </w:r>
    </w:p>
    <w:p>
      <w:pPr>
        <w:pStyle w:val="ListBullet"/>
      </w:pPr>
      <w:r>
        <w:t>Se evaluaron los modelos con RMSE, MAE y MAPE, tal como exige el taller.</w:t>
      </w:r>
    </w:p>
    <w:p>
      <w:pPr>
        <w:pStyle w:val="ListBullet"/>
      </w:pPr>
      <w:r>
        <w:t>Prophet fue seleccionado como modelo principal por obtener el menor error en las tres métricas finales.</w:t>
      </w:r>
    </w:p>
    <w:p>
      <w:pPr>
        <w:pStyle w:val="ListBullet"/>
      </w:pPr>
      <w:r>
        <w:t>El dashboard permite visualizar ventas reales, comparar modelos y simular escenarios de demanda para apoyar la planificación de marketing.</w:t>
      </w:r>
    </w:p>
    <w:p>
      <w:pPr>
        <w:pStyle w:val="ListBullet"/>
      </w:pPr>
      <w:r>
        <w:t>El proyecto se mantuvo dentro del alcance solicitado, sin incluir modelos adicionales ni fuentes externas diferentes al dataset Rossmann.</w:t>
      </w:r>
    </w:p>
    <w:p>
      <w:pPr>
        <w:pStyle w:val="Heading1"/>
      </w:pPr>
      <w:r>
        <w:t>14. Guía breve para exposición</w:t>
      </w:r>
    </w:p>
    <w:p>
      <w:r>
        <w:t>El proyecto puede explicarse en el siguiente orden:</w:t>
      </w:r>
    </w:p>
    <w:p>
      <w:pPr>
        <w:spacing w:after="60"/>
        <w:ind w:left="227"/>
      </w:pPr>
      <w:r>
        <w:t>1. Primero, se presenta el problema: estimar la demanda futura de ventas para apoyar decisiones de marketing.</w:t>
      </w:r>
    </w:p>
    <w:p>
      <w:pPr>
        <w:spacing w:after="60"/>
        <w:ind w:left="227"/>
      </w:pPr>
      <w:r>
        <w:t>2. Segundo, se explica el dataset Rossmann y las variables usadas, incluyendo ventas, promociones, festivos y competencia.</w:t>
      </w:r>
    </w:p>
    <w:p>
      <w:pPr>
        <w:spacing w:after="60"/>
        <w:ind w:left="227"/>
      </w:pPr>
      <w:r>
        <w:t>3. Tercero, se muestra que el proceso siguió CRISP-DM en seis fases.</w:t>
      </w:r>
    </w:p>
    <w:p>
      <w:pPr>
        <w:spacing w:after="60"/>
        <w:ind w:left="227"/>
      </w:pPr>
      <w:r>
        <w:t>4. Cuarto, se comparan ARIMA, Prophet y LSTM con RMSE, MAE y MAPE.</w:t>
      </w:r>
    </w:p>
    <w:p>
      <w:pPr>
        <w:spacing w:after="60"/>
        <w:ind w:left="227"/>
      </w:pPr>
      <w:r>
        <w:t>5. Quinto, se justifica la selección de Prophet como modelo principal por menor error.</w:t>
      </w:r>
    </w:p>
    <w:p>
      <w:pPr>
        <w:spacing w:after="60"/>
        <w:ind w:left="227"/>
      </w:pPr>
      <w:r>
        <w:t>6. Finalmente, se muestra el dashboard con visualización temporal, predicción y simulación de escenarios.</w:t>
      </w:r>
    </w:p>
    <w:p>
      <w:pPr>
        <w:pStyle w:val="Heading1"/>
      </w:pPr>
      <w:r>
        <w:t>15. Evidencia de cumplimiento exacto del enunciado</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873"/>
        <w:gridCol w:w="4873"/>
      </w:tblGrid>
      <w:tr>
        <w:tc>
          <w:tcPr>
            <w:tcW w:type="dxa" w:w="4873"/>
            <w:shd w:fill="1F4E79"/>
            <w:vAlign w:val="center"/>
          </w:tcPr>
          <w:p>
            <w:pPr>
              <w:spacing w:after="40" w:before="40"/>
            </w:pPr>
            <w:r>
              <w:rPr>
                <w:rFonts w:ascii="Arial" w:hAnsi="Arial"/>
                <w:b/>
                <w:color w:val="FFFFFF"/>
                <w:sz w:val="18"/>
              </w:rPr>
              <w:t>Enunciado del taller</w:t>
            </w:r>
          </w:p>
        </w:tc>
        <w:tc>
          <w:tcPr>
            <w:tcW w:type="dxa" w:w="4873"/>
            <w:shd w:fill="1F4E79"/>
            <w:vAlign w:val="center"/>
          </w:tcPr>
          <w:p>
            <w:pPr>
              <w:spacing w:after="40" w:before="40"/>
            </w:pPr>
            <w:r>
              <w:rPr>
                <w:rFonts w:ascii="Arial" w:hAnsi="Arial"/>
                <w:b/>
                <w:color w:val="FFFFFF"/>
                <w:sz w:val="18"/>
              </w:rPr>
              <w:t>Evidencia en la solución</w:t>
            </w:r>
          </w:p>
        </w:tc>
      </w:tr>
      <w:tr>
        <w:tc>
          <w:tcPr>
            <w:tcW w:type="dxa" w:w="4873"/>
            <w:vAlign w:val="center"/>
          </w:tcPr>
          <w:p>
            <w:pPr>
              <w:spacing w:after="40" w:before="40"/>
            </w:pPr>
            <w:r>
              <w:rPr>
                <w:rFonts w:ascii="Arial" w:hAnsi="Arial"/>
                <w:sz w:val="18"/>
              </w:rPr>
              <w:t>Solución basada en minería de datos</w:t>
            </w:r>
          </w:p>
        </w:tc>
        <w:tc>
          <w:tcPr>
            <w:tcW w:type="dxa" w:w="4873"/>
            <w:vAlign w:val="center"/>
          </w:tcPr>
          <w:p>
            <w:pPr>
              <w:spacing w:after="40" w:before="40"/>
            </w:pPr>
            <w:r>
              <w:rPr>
                <w:rFonts w:ascii="Arial" w:hAnsi="Arial"/>
                <w:sz w:val="18"/>
              </w:rPr>
              <w:t>Proceso completo organizado en CRISP-DM.</w:t>
            </w:r>
          </w:p>
        </w:tc>
      </w:tr>
      <w:tr>
        <w:tc>
          <w:tcPr>
            <w:tcW w:type="dxa" w:w="4873"/>
            <w:vAlign w:val="center"/>
          </w:tcPr>
          <w:p>
            <w:pPr>
              <w:spacing w:after="40" w:before="40"/>
            </w:pPr>
            <w:r>
              <w:rPr>
                <w:rFonts w:ascii="Arial" w:hAnsi="Arial"/>
                <w:sz w:val="18"/>
              </w:rPr>
              <w:t>Documento técnico del proceso de minería</w:t>
            </w:r>
          </w:p>
        </w:tc>
        <w:tc>
          <w:tcPr>
            <w:tcW w:type="dxa" w:w="4873"/>
            <w:vAlign w:val="center"/>
          </w:tcPr>
          <w:p>
            <w:pPr>
              <w:spacing w:after="40" w:before="40"/>
            </w:pPr>
            <w:r>
              <w:rPr>
                <w:rFonts w:ascii="Arial" w:hAnsi="Arial"/>
                <w:sz w:val="18"/>
              </w:rPr>
              <w:t>Este documento técnico presenta cada fase del proceso.</w:t>
            </w:r>
          </w:p>
        </w:tc>
      </w:tr>
      <w:tr>
        <w:tc>
          <w:tcPr>
            <w:tcW w:type="dxa" w:w="4873"/>
            <w:vAlign w:val="center"/>
          </w:tcPr>
          <w:p>
            <w:pPr>
              <w:spacing w:after="40" w:before="40"/>
            </w:pPr>
            <w:r>
              <w:rPr>
                <w:rFonts w:ascii="Arial" w:hAnsi="Arial"/>
                <w:sz w:val="18"/>
              </w:rPr>
              <w:t>Debe ser evidente CRISP-DM</w:t>
            </w:r>
          </w:p>
        </w:tc>
        <w:tc>
          <w:tcPr>
            <w:tcW w:type="dxa" w:w="4873"/>
            <w:vAlign w:val="center"/>
          </w:tcPr>
          <w:p>
            <w:pPr>
              <w:spacing w:after="40" w:before="40"/>
            </w:pPr>
            <w:r>
              <w:rPr>
                <w:rFonts w:ascii="Arial" w:hAnsi="Arial"/>
                <w:sz w:val="18"/>
              </w:rPr>
              <w:t>Las fases se explican una por una.</w:t>
            </w:r>
          </w:p>
        </w:tc>
      </w:tr>
      <w:tr>
        <w:tc>
          <w:tcPr>
            <w:tcW w:type="dxa" w:w="4873"/>
            <w:vAlign w:val="center"/>
          </w:tcPr>
          <w:p>
            <w:pPr>
              <w:spacing w:after="40" w:before="40"/>
            </w:pPr>
            <w:r>
              <w:rPr>
                <w:rFonts w:ascii="Arial" w:hAnsi="Arial"/>
                <w:sz w:val="18"/>
              </w:rPr>
              <w:t>Predicción de ventas con series de tiempo</w:t>
            </w:r>
          </w:p>
        </w:tc>
        <w:tc>
          <w:tcPr>
            <w:tcW w:type="dxa" w:w="4873"/>
            <w:vAlign w:val="center"/>
          </w:tcPr>
          <w:p>
            <w:pPr>
              <w:spacing w:after="40" w:before="40"/>
            </w:pPr>
            <w:r>
              <w:rPr>
                <w:rFonts w:ascii="Arial" w:hAnsi="Arial"/>
                <w:sz w:val="18"/>
              </w:rPr>
              <w:t>Se modelaron ventas diarias con ARIMA, Prophet y LSTM.</w:t>
            </w:r>
          </w:p>
        </w:tc>
      </w:tr>
      <w:tr>
        <w:tc>
          <w:tcPr>
            <w:tcW w:type="dxa" w:w="4873"/>
            <w:vAlign w:val="center"/>
          </w:tcPr>
          <w:p>
            <w:pPr>
              <w:spacing w:after="40" w:before="40"/>
            </w:pPr>
            <w:r>
              <w:rPr>
                <w:rFonts w:ascii="Arial" w:hAnsi="Arial"/>
                <w:sz w:val="18"/>
              </w:rPr>
              <w:t>Integrar variables externas</w:t>
            </w:r>
          </w:p>
        </w:tc>
        <w:tc>
          <w:tcPr>
            <w:tcW w:type="dxa" w:w="4873"/>
            <w:vAlign w:val="center"/>
          </w:tcPr>
          <w:p>
            <w:pPr>
              <w:spacing w:after="40" w:before="40"/>
            </w:pPr>
            <w:r>
              <w:rPr>
                <w:rFonts w:ascii="Arial" w:hAnsi="Arial"/>
                <w:sz w:val="18"/>
              </w:rPr>
              <w:t>Prophet y LSTM integraron variables externas del dataset Rossmann.</w:t>
            </w:r>
          </w:p>
        </w:tc>
      </w:tr>
      <w:tr>
        <w:tc>
          <w:tcPr>
            <w:tcW w:type="dxa" w:w="4873"/>
            <w:vAlign w:val="center"/>
          </w:tcPr>
          <w:p>
            <w:pPr>
              <w:spacing w:after="40" w:before="40"/>
            </w:pPr>
            <w:r>
              <w:rPr>
                <w:rFonts w:ascii="Arial" w:hAnsi="Arial"/>
                <w:sz w:val="18"/>
              </w:rPr>
              <w:t>Dashboard de predicción</w:t>
            </w:r>
          </w:p>
        </w:tc>
        <w:tc>
          <w:tcPr>
            <w:tcW w:type="dxa" w:w="4873"/>
            <w:vAlign w:val="center"/>
          </w:tcPr>
          <w:p>
            <w:pPr>
              <w:spacing w:after="40" w:before="40"/>
            </w:pPr>
            <w:r>
              <w:rPr>
                <w:rFonts w:ascii="Arial" w:hAnsi="Arial"/>
                <w:sz w:val="18"/>
              </w:rPr>
              <w:t>App en Streamlit con comparación de modelos.</w:t>
            </w:r>
          </w:p>
        </w:tc>
      </w:tr>
      <w:tr>
        <w:tc>
          <w:tcPr>
            <w:tcW w:type="dxa" w:w="4873"/>
            <w:vAlign w:val="center"/>
          </w:tcPr>
          <w:p>
            <w:pPr>
              <w:spacing w:after="40" w:before="40"/>
            </w:pPr>
            <w:r>
              <w:rPr>
                <w:rFonts w:ascii="Arial" w:hAnsi="Arial"/>
                <w:sz w:val="18"/>
              </w:rPr>
              <w:t>Simulación de escenarios</w:t>
            </w:r>
          </w:p>
        </w:tc>
        <w:tc>
          <w:tcPr>
            <w:tcW w:type="dxa" w:w="4873"/>
            <w:vAlign w:val="center"/>
          </w:tcPr>
          <w:p>
            <w:pPr>
              <w:spacing w:after="40" w:before="40"/>
            </w:pPr>
            <w:r>
              <w:rPr>
                <w:rFonts w:ascii="Arial" w:hAnsi="Arial"/>
                <w:sz w:val="18"/>
              </w:rPr>
              <w:t>Escenarios base, optimista y pesimista sobre Prophet.</w:t>
            </w:r>
          </w:p>
        </w:tc>
      </w:tr>
      <w:tr>
        <w:tc>
          <w:tcPr>
            <w:tcW w:type="dxa" w:w="4873"/>
            <w:vAlign w:val="center"/>
          </w:tcPr>
          <w:p>
            <w:pPr>
              <w:spacing w:after="40" w:before="40"/>
            </w:pPr>
            <w:r>
              <w:rPr>
                <w:rFonts w:ascii="Arial" w:hAnsi="Arial"/>
                <w:sz w:val="18"/>
              </w:rPr>
              <w:t>Visualización temporal</w:t>
            </w:r>
          </w:p>
        </w:tc>
        <w:tc>
          <w:tcPr>
            <w:tcW w:type="dxa" w:w="4873"/>
            <w:vAlign w:val="center"/>
          </w:tcPr>
          <w:p>
            <w:pPr>
              <w:spacing w:after="40" w:before="40"/>
            </w:pPr>
            <w:r>
              <w:rPr>
                <w:rFonts w:ascii="Arial" w:hAnsi="Arial"/>
                <w:sz w:val="18"/>
              </w:rPr>
              <w:t>Gráficas de ventas reales y predicciones en el tiempo.</w:t>
            </w:r>
          </w:p>
        </w:tc>
      </w:tr>
    </w:tbl>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Documento técnico CRISP-DM - Predicción de ventas Rossmann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tecnico CRISP-DM Rossmann</dc:title>
  <dc:subject>Prediccion de ventas con series de tiempo</dc:subject>
  <dc:creator>Equipo de trabajo</dc:creator>
  <cp:keywords>CRISP-DM, Rossmann, ARIMA, Prophet, LSTM, RMSE, MAE, MAPE</cp:keywords>
  <dc:description/>
  <cp:lastModifiedBy/>
  <cp:revision>1</cp:revision>
  <dcterms:created xsi:type="dcterms:W3CDTF">2013-12-23T23:15:00Z</dcterms:created>
  <dcterms:modified xsi:type="dcterms:W3CDTF">2013-12-23T23:15:00Z</dcterms:modified>
  <cp:category/>
</cp:coreProperties>
</file>