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6B3C"/>
          <w:sz w:val="32"/>
        </w:rPr>
        <w:t>GOBIERNO AUTÓNOMO DESCENTRALIZADO</w:t>
        <w:br/>
        <w:t>MUNICIPAL DE CHUNCHI</w:t>
      </w:r>
    </w:p>
    <w:p/>
    <w:p>
      <w:pPr>
        <w:jc w:val="center"/>
      </w:pPr>
      <w:r>
        <w:rPr>
          <w:b/>
          <w:color w:val="1C1C1C"/>
          <w:sz w:val="26"/>
        </w:rPr>
        <w:t>DIRECCIÓN FINANCIERA</w:t>
      </w:r>
    </w:p>
    <w:p/>
    <w:p>
      <w:pPr>
        <w:jc w:val="center"/>
      </w:pPr>
      <w:r>
        <w:rPr>
          <w:b/>
          <w:color w:val="1A6B3C"/>
          <w:sz w:val="44"/>
        </w:rPr>
        <w:t>INFORME DE LABORES</w:t>
      </w:r>
    </w:p>
    <w:p/>
    <w:p>
      <w:pPr>
        <w:jc w:val="center"/>
      </w:pPr>
      <w:r>
        <w:rPr>
          <w:b/>
          <w:color w:val="1C1C1C"/>
          <w:sz w:val="30"/>
        </w:rPr>
        <w:t>Implementación del Sistema Web de Gestión de</w:t>
        <w:br/>
        <w:t>Órdenes de Pago</w:t>
      </w:r>
    </w:p>
    <w:p/>
    <w:p/>
    <w:tbl>
      <w:tblPr>
        <w:tblStyle w:val="TableGrid"/>
        <w:tblW w:type="auto" w:w="0"/>
        <w:jc w:val="center"/>
        <w:tblLook w:firstColumn="1" w:firstRow="1" w:lastColumn="0" w:lastRow="0" w:noHBand="0" w:noVBand="1" w:val="04A0"/>
        <w:tblBorders>
          <w:top w:val="single" w:sz="4" w:space="0" w:color="1A6B3C"/>
          <w:left w:val="single" w:sz="4" w:space="0" w:color="1A6B3C"/>
          <w:bottom w:val="single" w:sz="4" w:space="0" w:color="1A6B3C"/>
          <w:right w:val="single" w:sz="4" w:space="0" w:color="1A6B3C"/>
          <w:insideH w:val="single" w:sz="4" w:space="0" w:color="1A6B3C"/>
          <w:insideV w:val="single" w:sz="4" w:space="0" w:color="1A6B3C"/>
        </w:tblBorders>
      </w:tblPr>
      <w:tblGrid>
        <w:gridCol w:w="4561"/>
        <w:gridCol w:w="4561"/>
      </w:tblGrid>
      <w:tr>
        <w:tc>
          <w:tcPr>
            <w:tcW w:type="dxa" w:w="4561"/>
            <w:shd w:val="clear" w:color="auto" w:fill="1A6B3C"/>
          </w:tcPr>
          <w:p>
            <w:r>
              <w:rPr>
                <w:b/>
                <w:color w:val="FFFFFF"/>
                <w:sz w:val="22"/>
              </w:rPr>
              <w:t>Elaborado por:</w:t>
            </w:r>
          </w:p>
        </w:tc>
        <w:tc>
          <w:tcPr>
            <w:tcW w:type="dxa" w:w="4561"/>
          </w:tcPr>
          <w:p>
            <w:r>
              <w:rPr>
                <w:color w:val="1C1C1C"/>
                <w:sz w:val="22"/>
              </w:rPr>
              <w:t>Unidad de Tecnologías de la Información – GAD Chunchi</w:t>
            </w:r>
          </w:p>
        </w:tc>
      </w:tr>
      <w:tr>
        <w:tc>
          <w:tcPr>
            <w:tcW w:type="dxa" w:w="4561"/>
            <w:shd w:val="clear" w:color="auto" w:fill="1A6B3C"/>
          </w:tcPr>
          <w:p>
            <w:r>
              <w:rPr>
                <w:b/>
                <w:color w:val="FFFFFF"/>
                <w:sz w:val="22"/>
              </w:rPr>
              <w:t>Área beneficiada:</w:t>
            </w:r>
          </w:p>
        </w:tc>
        <w:tc>
          <w:tcPr>
            <w:tcW w:type="dxa" w:w="4561"/>
          </w:tcPr>
          <w:p>
            <w:r>
              <w:rPr>
                <w:color w:val="1C1C1C"/>
                <w:sz w:val="22"/>
              </w:rPr>
              <w:t>Dirección Financiera</w:t>
            </w:r>
          </w:p>
        </w:tc>
      </w:tr>
      <w:tr>
        <w:tc>
          <w:tcPr>
            <w:tcW w:type="dxa" w:w="4561"/>
            <w:shd w:val="clear" w:color="auto" w:fill="1A6B3C"/>
          </w:tcPr>
          <w:p>
            <w:r>
              <w:rPr>
                <w:b/>
                <w:color w:val="FFFFFF"/>
                <w:sz w:val="22"/>
              </w:rPr>
              <w:t>Fecha:</w:t>
            </w:r>
          </w:p>
        </w:tc>
        <w:tc>
          <w:tcPr>
            <w:tcW w:type="dxa" w:w="4561"/>
          </w:tcPr>
          <w:p>
            <w:r>
              <w:rPr>
                <w:color w:val="1C1C1C"/>
                <w:sz w:val="22"/>
              </w:rPr>
              <w:t>Abril de 2026</w:t>
            </w:r>
          </w:p>
        </w:tc>
      </w:tr>
      <w:tr>
        <w:tc>
          <w:tcPr>
            <w:tcW w:type="dxa" w:w="4561"/>
            <w:shd w:val="clear" w:color="auto" w:fill="1A6B3C"/>
          </w:tcPr>
          <w:p>
            <w:r>
              <w:rPr>
                <w:b/>
                <w:color w:val="FFFFFF"/>
                <w:sz w:val="22"/>
              </w:rPr>
              <w:t>Servidor:</w:t>
            </w:r>
          </w:p>
        </w:tc>
        <w:tc>
          <w:tcPr>
            <w:tcW w:type="dxa" w:w="4561"/>
          </w:tcPr>
          <w:p>
            <w:r>
              <w:rPr>
                <w:color w:val="1C1C1C"/>
                <w:sz w:val="22"/>
              </w:rPr>
              <w:t>10.22.169.94 : 8082</w:t>
            </w:r>
          </w:p>
        </w:tc>
      </w:tr>
      <w:tr>
        <w:tc>
          <w:tcPr>
            <w:tcW w:type="dxa" w:w="4561"/>
            <w:shd w:val="clear" w:color="auto" w:fill="1A6B3C"/>
          </w:tcPr>
          <w:p>
            <w:r>
              <w:rPr>
                <w:b/>
                <w:color w:val="FFFFFF"/>
                <w:sz w:val="22"/>
              </w:rPr>
              <w:t>Versión del sistema:</w:t>
            </w:r>
          </w:p>
        </w:tc>
        <w:tc>
          <w:tcPr>
            <w:tcW w:type="dxa" w:w="4561"/>
          </w:tcPr>
          <w:p>
            <w:r>
              <w:rPr>
                <w:color w:val="1C1C1C"/>
                <w:sz w:val="22"/>
              </w:rPr>
              <w:t>1.0.0 – Producción</w:t>
            </w:r>
          </w:p>
        </w:tc>
      </w:tr>
    </w:tbl>
    <w:p>
      <w:r>
        <w:br w:type="page"/>
      </w:r>
    </w:p>
    <w:p>
      <w:pPr>
        <w:spacing w:before="240" w:after="80"/>
      </w:pPr>
      <w:r>
        <w:rPr>
          <w:b/>
          <w:color w:val="1A6B3C"/>
          <w:sz w:val="32"/>
        </w:rPr>
        <w:t>1.  ANTECEDENTES</w:t>
      </w:r>
    </w:p>
    <w:p>
      <w:pPr>
        <w:spacing w:before="80" w:after="80"/>
        <w:pBdr>
          <w:bottom w:val="single" w:sz="6" w:space="1" w:color="1A6B3C"/>
        </w:pBdr>
      </w:pPr>
    </w:p>
    <w:p>
      <w:pPr>
        <w:spacing w:after="120"/>
        <w:ind w:left="0"/>
        <w:jc w:val="both"/>
      </w:pPr>
      <w:r>
        <w:rPr>
          <w:color w:val="1C1C1C"/>
          <w:sz w:val="22"/>
        </w:rPr>
        <w:t>El GAD Municipal de Chunchi, como institución pública encargada de la administración del cantón, ha venido gestionando sus procesos financieros —entre ellos la emisión y control de Órdenes de Pago— mediante una base de datos en Microsoft Access. Si bien esta herramienta cumplió su función durante varios años, con el tiempo empezó a mostrar limitaciones importantes: acceso restringido a un único equipo, dificultad para el trabajo simultáneo de varios funcionarios, ausencia de trazabilidad de cambios y dependencia total de un archivo físico susceptible a daños o pérdida.</w:t>
      </w:r>
    </w:p>
    <w:p>
      <w:pPr>
        <w:spacing w:after="120"/>
        <w:ind w:left="0"/>
        <w:jc w:val="both"/>
      </w:pPr>
      <w:r>
        <w:rPr>
          <w:color w:val="1C1C1C"/>
          <w:sz w:val="22"/>
        </w:rPr>
        <w:t>Paralelamente, la institución identificó la necesidad de modernizar su infraestructura de conectividad. La red interna presentaba deficiencias de velocidad y estabilidad que afectaban la productividad del personal administrativo, por lo que se inició un proceso de renegociación del contrato de servicios de telecomunicaciones con la Corporación Nacional de Telecomunicaciones (CNT EP), con miras a obtener mejores condiciones técnicas y tarifarias que beneficien a toda la institución.</w:t>
      </w:r>
    </w:p>
    <w:p>
      <w:pPr>
        <w:spacing w:after="120"/>
        <w:ind w:left="0"/>
        <w:jc w:val="both"/>
      </w:pPr>
      <w:r>
        <w:rPr>
          <w:color w:val="1C1C1C"/>
          <w:sz w:val="22"/>
        </w:rPr>
        <w:t>En este contexto, la Unidad de TI emprendió el desarrollo de un sistema web moderno que sustituyera el antiguo archivo de Access y al mismo tiempo aprovechara la mejora de conectividad resultante de la renegociación con CNT. El resultado es el Sistema Financiero GAD Chunchi, alojado en el servidor institucional con dirección 10.22.169.94, accesible desde cualquier equipo de la red interna a través del puerto 8082.</w:t>
      </w:r>
    </w:p>
    <w:p>
      <w:r>
        <w:br w:type="page"/>
      </w:r>
    </w:p>
    <w:p>
      <w:pPr>
        <w:spacing w:before="240" w:after="80"/>
      </w:pPr>
      <w:r>
        <w:rPr>
          <w:b/>
          <w:color w:val="1A6B3C"/>
          <w:sz w:val="32"/>
        </w:rPr>
        <w:t>2.  OBJETIVOS</w:t>
      </w:r>
    </w:p>
    <w:p>
      <w:pPr>
        <w:spacing w:before="80" w:after="80"/>
        <w:pBdr>
          <w:bottom w:val="single" w:sz="6" w:space="1" w:color="1A6B3C"/>
        </w:pBdr>
      </w:pPr>
    </w:p>
    <w:p>
      <w:pPr>
        <w:spacing w:before="240" w:after="80"/>
      </w:pPr>
      <w:r>
        <w:rPr>
          <w:b/>
          <w:color w:val="1A6B3C"/>
          <w:sz w:val="28"/>
        </w:rPr>
        <w:t>2.1  Objetivo General</w:t>
      </w:r>
    </w:p>
    <w:p>
      <w:pPr>
        <w:spacing w:after="120"/>
        <w:ind w:left="0"/>
        <w:jc w:val="both"/>
      </w:pPr>
      <w:r>
        <w:rPr>
          <w:color w:val="1C1C1C"/>
          <w:sz w:val="22"/>
        </w:rPr>
        <w:t>Desarrollar e implementar un sistema web integral para la gestión de Órdenes de Pago del GAD Municipal de Chunchi, sustituyendo la base de datos en Microsoft Access por una solución moderna, centralizada y accesible desde la red interna institucional, garantizando la integridad de los 6 895 registros históricos existentes.</w:t>
      </w:r>
    </w:p>
    <w:p>
      <w:pPr>
        <w:spacing w:before="240" w:after="80"/>
      </w:pPr>
      <w:r>
        <w:rPr>
          <w:b/>
          <w:color w:val="1A6B3C"/>
          <w:sz w:val="28"/>
        </w:rPr>
        <w:t>2.2  Objetivos Específicos</w:t>
      </w:r>
    </w:p>
    <w:p>
      <w:pPr>
        <w:pStyle w:val="ListBullet"/>
        <w:spacing w:after="60"/>
        <w:ind w:left="340"/>
      </w:pPr>
      <w:r>
        <w:rPr>
          <w:color w:val="1C1C1C"/>
          <w:sz w:val="22"/>
        </w:rPr>
        <w:t>Migrar la totalidad de los registros históricos de órdenes de pago desde Microsoft Access a una base de datos relacional PostgreSQL, sin pérdida de información.</w:t>
      </w:r>
    </w:p>
    <w:p>
      <w:pPr>
        <w:pStyle w:val="ListBullet"/>
        <w:spacing w:after="60"/>
        <w:ind w:left="340"/>
      </w:pPr>
      <w:r>
        <w:rPr>
          <w:color w:val="1C1C1C"/>
          <w:sz w:val="22"/>
        </w:rPr>
        <w:t>Desarrollar un backend RESTful con Node.js / Express.js que centralice la lógica de negocio y exponga una API segura mediante autenticación JWT.</w:t>
      </w:r>
    </w:p>
    <w:p>
      <w:pPr>
        <w:pStyle w:val="ListBullet"/>
        <w:spacing w:after="60"/>
        <w:ind w:left="340"/>
      </w:pPr>
      <w:r>
        <w:rPr>
          <w:color w:val="1C1C1C"/>
          <w:sz w:val="22"/>
        </w:rPr>
        <w:t>Construir una interfaz de usuario intuitiva con React 19 que permita a los funcionarios crear, editar, anular y consultar órdenes de pago desde cualquier navegador web en la red institucional.</w:t>
      </w:r>
    </w:p>
    <w:p>
      <w:pPr>
        <w:pStyle w:val="ListBullet"/>
        <w:spacing w:after="60"/>
        <w:ind w:left="340"/>
      </w:pPr>
      <w:r>
        <w:rPr>
          <w:color w:val="1C1C1C"/>
          <w:sz w:val="22"/>
        </w:rPr>
        <w:t>Automatizar la generación de comprobantes de pago en formato PDF y Word, reemplazando la impresión manual desde Access.</w:t>
      </w:r>
    </w:p>
    <w:p>
      <w:pPr>
        <w:pStyle w:val="ListBullet"/>
        <w:spacing w:after="60"/>
        <w:ind w:left="340"/>
      </w:pPr>
      <w:r>
        <w:rPr>
          <w:color w:val="1C1C1C"/>
          <w:sz w:val="22"/>
        </w:rPr>
        <w:t>Implementar un módulo de auditoría que registre cada acción realizada sobre las órdenes de pago, garantizando trazabilidad completa.</w:t>
      </w:r>
    </w:p>
    <w:p>
      <w:pPr>
        <w:pStyle w:val="ListBullet"/>
        <w:spacing w:after="60"/>
        <w:ind w:left="340"/>
      </w:pPr>
      <w:r>
        <w:rPr>
          <w:color w:val="1C1C1C"/>
          <w:sz w:val="22"/>
        </w:rPr>
        <w:t>Desplegar el sistema en el servidor institucional (10.22.169.94) con alta disponibilidad mediante PM2 y Nginx, accesible en el puerto 8082.</w:t>
      </w:r>
    </w:p>
    <w:p>
      <w:pPr>
        <w:pStyle w:val="ListBullet"/>
        <w:spacing w:after="60"/>
        <w:ind w:left="340"/>
      </w:pPr>
      <w:r>
        <w:rPr>
          <w:color w:val="1C1C1C"/>
          <w:sz w:val="22"/>
        </w:rPr>
        <w:t>Gestionar el proceso de renegociación del contrato de conectividad con CNT EP para mejorar el ancho de banda y la estabilidad de la red interna del GAD.</w:t>
      </w:r>
    </w:p>
    <w:p>
      <w:r>
        <w:br w:type="page"/>
      </w:r>
    </w:p>
    <w:p>
      <w:pPr>
        <w:spacing w:before="240" w:after="80"/>
      </w:pPr>
      <w:r>
        <w:rPr>
          <w:b/>
          <w:color w:val="1A6B3C"/>
          <w:sz w:val="32"/>
        </w:rPr>
        <w:t>3.  ACTIVIDADES REALIZADAS</w:t>
      </w:r>
    </w:p>
    <w:p>
      <w:pPr>
        <w:spacing w:before="80" w:after="80"/>
        <w:pBdr>
          <w:bottom w:val="single" w:sz="6" w:space="1" w:color="1A6B3C"/>
        </w:pBdr>
      </w:pPr>
    </w:p>
    <w:p>
      <w:pPr>
        <w:spacing w:before="240" w:after="80"/>
      </w:pPr>
      <w:r>
        <w:rPr>
          <w:b/>
          <w:color w:val="1A6B3C"/>
          <w:sz w:val="28"/>
        </w:rPr>
        <w:t>3.1  Levantamiento de requerimientos y análisis de la situación inicial</w:t>
      </w:r>
    </w:p>
    <w:p>
      <w:pPr>
        <w:spacing w:after="120"/>
        <w:ind w:left="0"/>
        <w:jc w:val="both"/>
      </w:pPr>
      <w:r>
        <w:rPr>
          <w:color w:val="1C1C1C"/>
          <w:sz w:val="22"/>
        </w:rPr>
        <w:t>El punto de partida fue una revisión exhaustiva de la base de datos Access que la Dirección Financiera utilizaba desde hace años. Se analizó la estructura de la tabla APContabOrdenPago, se identificaron los campos críticos y se mapeo cada uno de ellos al nuevo esquema relacional. Se realizaron entrevistas con el personal financiero para comprender el flujo de trabajo real: cómo se emite una orden de pago, quiénes la firman, qué retenciones aplican y de qué forma se generan los comprobantes.</w:t>
      </w:r>
    </w:p>
    <w:p>
      <w:pPr>
        <w:spacing w:after="120"/>
        <w:ind w:left="0"/>
        <w:jc w:val="both"/>
      </w:pPr>
      <w:r>
        <w:rPr>
          <w:color w:val="1C1C1C"/>
          <w:sz w:val="22"/>
        </w:rPr>
        <w:t>Adicionalmente, se realizó un diagnóstico de la infraestructura de red institucional. Se detectó que el servicio de internet contratado con CNT EP no correspondía al nivel de uso actual de la institución, lo que motivó el inicio del proceso de renegociación descrito en el numeral 3.7.</w:t>
      </w:r>
    </w:p>
    <w:p>
      <w:pPr>
        <w:spacing w:before="240" w:after="80"/>
      </w:pPr>
      <w:r>
        <w:rPr>
          <w:b/>
          <w:color w:val="1A6B3C"/>
          <w:sz w:val="28"/>
        </w:rPr>
        <w:t>3.2  Diseño de la arquitectura y la base de datos</w:t>
      </w:r>
    </w:p>
    <w:p>
      <w:pPr>
        <w:spacing w:after="120"/>
        <w:ind w:left="0"/>
        <w:jc w:val="both"/>
      </w:pPr>
      <w:r>
        <w:rPr>
          <w:color w:val="1C1C1C"/>
          <w:sz w:val="22"/>
        </w:rPr>
        <w:t>Con los requerimientos en mano, se diseñó una arquitectura de tres capas: presentación (React), lógica de negocio (Express.js) y persistencia (PostgreSQL). La base de datos se organizó bajo el esquema financiero con las siguientes tablas principales:</w:t>
      </w:r>
    </w:p>
    <w:tbl>
      <w:tblPr>
        <w:tblStyle w:val="TableGrid"/>
        <w:tblW w:type="auto" w:w="0"/>
        <w:tblLook w:firstColumn="1" w:firstRow="1" w:lastColumn="0" w:lastRow="0" w:noHBand="0" w:noVBand="1" w:val="04A0"/>
        <w:tblBorders>
          <w:top w:val="single" w:sz="4" w:space="0" w:color="1A6B3C"/>
          <w:left w:val="single" w:sz="4" w:space="0" w:color="1A6B3C"/>
          <w:bottom w:val="single" w:sz="4" w:space="0" w:color="1A6B3C"/>
          <w:right w:val="single" w:sz="4" w:space="0" w:color="1A6B3C"/>
          <w:insideH w:val="single" w:sz="4" w:space="0" w:color="1A6B3C"/>
          <w:insideV w:val="single" w:sz="4" w:space="0" w:color="1A6B3C"/>
        </w:tblBorders>
      </w:tblPr>
      <w:tblGrid>
        <w:gridCol w:w="4561"/>
        <w:gridCol w:w="4561"/>
      </w:tblGrid>
      <w:tr>
        <w:tc>
          <w:tcPr>
            <w:tcW w:type="dxa" w:w="4561"/>
            <w:shd w:val="clear" w:color="auto" w:fill="1A6B3C"/>
          </w:tcPr>
          <w:p>
            <w:r>
              <w:rPr>
                <w:b/>
                <w:color w:val="FFFFFF"/>
                <w:sz w:val="22"/>
              </w:rPr>
              <w:t>Tabla</w:t>
            </w:r>
          </w:p>
        </w:tc>
        <w:tc>
          <w:tcPr>
            <w:tcW w:type="dxa" w:w="4561"/>
            <w:shd w:val="clear" w:color="auto" w:fill="1A6B3C"/>
          </w:tcPr>
          <w:p>
            <w:r>
              <w:rPr>
                <w:b/>
                <w:color w:val="FFFFFF"/>
                <w:sz w:val="22"/>
              </w:rPr>
              <w:t>Descripción</w:t>
            </w:r>
          </w:p>
        </w:tc>
      </w:tr>
      <w:tr>
        <w:tc>
          <w:tcPr>
            <w:tcW w:type="dxa" w:w="4561"/>
            <w:shd w:val="clear" w:color="auto" w:fill="F2F2F2"/>
          </w:tcPr>
          <w:p>
            <w:r>
              <w:rPr>
                <w:sz w:val="20"/>
              </w:rPr>
              <w:t>usuarios</w:t>
            </w:r>
          </w:p>
        </w:tc>
        <w:tc>
          <w:tcPr>
            <w:tcW w:type="dxa" w:w="4561"/>
            <w:shd w:val="clear" w:color="auto" w:fill="F2F2F2"/>
          </w:tcPr>
          <w:p>
            <w:r>
              <w:rPr>
                <w:sz w:val="20"/>
              </w:rPr>
              <w:t>Gestión de accesos con roles (admin, financiero, auditor).</w:t>
            </w:r>
          </w:p>
        </w:tc>
      </w:tr>
      <w:tr>
        <w:tc>
          <w:tcPr>
            <w:tcW w:type="dxa" w:w="4561"/>
            <w:shd w:val="clear" w:color="auto" w:fill="FFFFFF"/>
          </w:tcPr>
          <w:p>
            <w:r>
              <w:rPr>
                <w:sz w:val="20"/>
              </w:rPr>
              <w:t>beneficiarios</w:t>
            </w:r>
          </w:p>
        </w:tc>
        <w:tc>
          <w:tcPr>
            <w:tcW w:type="dxa" w:w="4561"/>
            <w:shd w:val="clear" w:color="auto" w:fill="FFFFFF"/>
          </w:tcPr>
          <w:p>
            <w:r>
              <w:rPr>
                <w:sz w:val="20"/>
              </w:rPr>
              <w:t>Catálogo de proveedores y personas naturales con RUC/cédula.</w:t>
            </w:r>
          </w:p>
        </w:tc>
      </w:tr>
      <w:tr>
        <w:tc>
          <w:tcPr>
            <w:tcW w:type="dxa" w:w="4561"/>
            <w:shd w:val="clear" w:color="auto" w:fill="F2F2F2"/>
          </w:tcPr>
          <w:p>
            <w:r>
              <w:rPr>
                <w:sz w:val="20"/>
              </w:rPr>
              <w:t>ordenes_pago</w:t>
            </w:r>
          </w:p>
        </w:tc>
        <w:tc>
          <w:tcPr>
            <w:tcW w:type="dxa" w:w="4561"/>
            <w:shd w:val="clear" w:color="auto" w:fill="F2F2F2"/>
          </w:tcPr>
          <w:p>
            <w:r>
              <w:rPr>
                <w:sz w:val="20"/>
              </w:rPr>
              <w:t>Tabla central con todos los campos del comprobante de pago.</w:t>
            </w:r>
          </w:p>
        </w:tc>
      </w:tr>
      <w:tr>
        <w:tc>
          <w:tcPr>
            <w:tcW w:type="dxa" w:w="4561"/>
            <w:shd w:val="clear" w:color="auto" w:fill="FFFFFF"/>
          </w:tcPr>
          <w:p>
            <w:r>
              <w:rPr>
                <w:sz w:val="20"/>
              </w:rPr>
              <w:t>ordenes_pago_retenciones</w:t>
            </w:r>
          </w:p>
        </w:tc>
        <w:tc>
          <w:tcPr>
            <w:tcW w:type="dxa" w:w="4561"/>
            <w:shd w:val="clear" w:color="auto" w:fill="FFFFFF"/>
          </w:tcPr>
          <w:p>
            <w:r>
              <w:rPr>
                <w:sz w:val="20"/>
              </w:rPr>
              <w:t>Detalle de retenciones IVA e IR por cada orden.</w:t>
            </w:r>
          </w:p>
        </w:tc>
      </w:tr>
      <w:tr>
        <w:tc>
          <w:tcPr>
            <w:tcW w:type="dxa" w:w="4561"/>
            <w:shd w:val="clear" w:color="auto" w:fill="F2F2F2"/>
          </w:tcPr>
          <w:p>
            <w:r>
              <w:rPr>
                <w:sz w:val="20"/>
              </w:rPr>
              <w:t>configuracion</w:t>
            </w:r>
          </w:p>
        </w:tc>
        <w:tc>
          <w:tcPr>
            <w:tcW w:type="dxa" w:w="4561"/>
            <w:shd w:val="clear" w:color="auto" w:fill="F2F2F2"/>
          </w:tcPr>
          <w:p>
            <w:r>
              <w:rPr>
                <w:sz w:val="20"/>
              </w:rPr>
              <w:t>Parámetros institucionales: IVA, banco, numeración.</w:t>
            </w:r>
          </w:p>
        </w:tc>
      </w:tr>
      <w:tr>
        <w:tc>
          <w:tcPr>
            <w:tcW w:type="dxa" w:w="4561"/>
            <w:shd w:val="clear" w:color="auto" w:fill="FFFFFF"/>
          </w:tcPr>
          <w:p>
            <w:r>
              <w:rPr>
                <w:sz w:val="20"/>
              </w:rPr>
              <w:t>firmantes</w:t>
            </w:r>
          </w:p>
        </w:tc>
        <w:tc>
          <w:tcPr>
            <w:tcW w:type="dxa" w:w="4561"/>
            <w:shd w:val="clear" w:color="auto" w:fill="FFFFFF"/>
          </w:tcPr>
          <w:p>
            <w:r>
              <w:rPr>
                <w:sz w:val="20"/>
              </w:rPr>
              <w:t>Autoridades que suscriben los comprobantes.</w:t>
            </w:r>
          </w:p>
        </w:tc>
      </w:tr>
      <w:tr>
        <w:tc>
          <w:tcPr>
            <w:tcW w:type="dxa" w:w="4561"/>
            <w:shd w:val="clear" w:color="auto" w:fill="F2F2F2"/>
          </w:tcPr>
          <w:p>
            <w:r>
              <w:rPr>
                <w:sz w:val="20"/>
              </w:rPr>
              <w:t>retenciones_catalogo</w:t>
            </w:r>
          </w:p>
        </w:tc>
        <w:tc>
          <w:tcPr>
            <w:tcW w:type="dxa" w:w="4561"/>
            <w:shd w:val="clear" w:color="auto" w:fill="F2F2F2"/>
          </w:tcPr>
          <w:p>
            <w:r>
              <w:rPr>
                <w:sz w:val="20"/>
              </w:rPr>
              <w:t>Tabla maestra de tipos de retención aplicables.</w:t>
            </w:r>
          </w:p>
        </w:tc>
      </w:tr>
      <w:tr>
        <w:tc>
          <w:tcPr>
            <w:tcW w:type="dxa" w:w="4561"/>
            <w:shd w:val="clear" w:color="auto" w:fill="FFFFFF"/>
          </w:tcPr>
          <w:p>
            <w:r>
              <w:rPr>
                <w:sz w:val="20"/>
              </w:rPr>
              <w:t>cuentas_bancarias</w:t>
            </w:r>
          </w:p>
        </w:tc>
        <w:tc>
          <w:tcPr>
            <w:tcW w:type="dxa" w:w="4561"/>
            <w:shd w:val="clear" w:color="auto" w:fill="FFFFFF"/>
          </w:tcPr>
          <w:p>
            <w:r>
              <w:rPr>
                <w:sz w:val="20"/>
              </w:rPr>
              <w:t>Cuentas institucionales en el Banco Central y otros bancos.</w:t>
            </w:r>
          </w:p>
        </w:tc>
      </w:tr>
      <w:tr>
        <w:tc>
          <w:tcPr>
            <w:tcW w:type="dxa" w:w="4561"/>
            <w:shd w:val="clear" w:color="auto" w:fill="F2F2F2"/>
          </w:tcPr>
          <w:p>
            <w:r>
              <w:rPr>
                <w:sz w:val="20"/>
              </w:rPr>
              <w:t>auditoria</w:t>
            </w:r>
          </w:p>
        </w:tc>
        <w:tc>
          <w:tcPr>
            <w:tcW w:type="dxa" w:w="4561"/>
            <w:shd w:val="clear" w:color="auto" w:fill="F2F2F2"/>
          </w:tcPr>
          <w:p>
            <w:r>
              <w:rPr>
                <w:sz w:val="20"/>
              </w:rPr>
              <w:t>Registro inmutable de todas las acciones del sistema.</w:t>
            </w:r>
          </w:p>
        </w:tc>
      </w:tr>
    </w:tbl>
    <w:p/>
    <w:p>
      <w:pPr>
        <w:spacing w:after="120"/>
        <w:ind w:left="0"/>
        <w:jc w:val="both"/>
      </w:pPr>
      <w:r>
        <w:rPr>
          <w:color w:val="1C1C1C"/>
          <w:sz w:val="22"/>
        </w:rPr>
        <w:t>FIGURA 1 — Diagrama de arquitectura del sistema (ver código draw.io al final de este informe, sección Anexos, Figura 1).</w:t>
      </w:r>
    </w:p>
    <w:p>
      <w:pPr>
        <w:spacing w:after="120"/>
        <w:ind w:left="0"/>
        <w:jc w:val="both"/>
      </w:pPr>
      <w:r>
        <w:rPr>
          <w:color w:val="1C1C1C"/>
          <w:sz w:val="22"/>
        </w:rPr>
        <w:t>FIGURA 3 — Diagrama de base de datos (ver código draw.io, Figura 3).</w:t>
      </w:r>
    </w:p>
    <w:p>
      <w:pPr>
        <w:spacing w:before="240" w:after="80"/>
      </w:pPr>
      <w:r>
        <w:rPr>
          <w:b/>
          <w:color w:val="1A6B3C"/>
          <w:sz w:val="28"/>
        </w:rPr>
        <w:t>3.3  Desarrollo del Backend (API REST)</w:t>
      </w:r>
    </w:p>
    <w:p>
      <w:pPr>
        <w:spacing w:after="120"/>
        <w:ind w:left="0"/>
        <w:jc w:val="both"/>
      </w:pPr>
      <w:r>
        <w:rPr>
          <w:color w:val="1C1C1C"/>
          <w:sz w:val="22"/>
        </w:rPr>
        <w:t>El servidor de aplicaciones se desarrolló en Node.js con el framework Express.js (versión 5). Se optó por esta tecnología por su ligereza, amplio ecosistema de paquetes y excelente rendimiento para APIs que manejan operaciones de I/O intensivas como la generación de documentos PDF y Word.</w:t>
      </w:r>
    </w:p>
    <w:p>
      <w:pPr>
        <w:spacing w:after="120"/>
        <w:ind w:left="0"/>
        <w:jc w:val="both"/>
      </w:pPr>
      <w:r>
        <w:rPr>
          <w:color w:val="1C1C1C"/>
          <w:sz w:val="22"/>
        </w:rPr>
        <w:t>Los módulos desarrollados en el backend fueron:</w:t>
      </w:r>
    </w:p>
    <w:tbl>
      <w:tblPr>
        <w:tblStyle w:val="TableGrid"/>
        <w:tblW w:type="auto" w:w="0"/>
        <w:tblLook w:firstColumn="1" w:firstRow="1" w:lastColumn="0" w:lastRow="0" w:noHBand="0" w:noVBand="1" w:val="04A0"/>
        <w:tblBorders>
          <w:top w:val="single" w:sz="4" w:space="0" w:color="1A6B3C"/>
          <w:left w:val="single" w:sz="4" w:space="0" w:color="1A6B3C"/>
          <w:bottom w:val="single" w:sz="4" w:space="0" w:color="1A6B3C"/>
          <w:right w:val="single" w:sz="4" w:space="0" w:color="1A6B3C"/>
          <w:insideH w:val="single" w:sz="4" w:space="0" w:color="1A6B3C"/>
          <w:insideV w:val="single" w:sz="4" w:space="0" w:color="1A6B3C"/>
        </w:tblBorders>
      </w:tblPr>
      <w:tblGrid>
        <w:gridCol w:w="4561"/>
        <w:gridCol w:w="4561"/>
      </w:tblGrid>
      <w:tr>
        <w:tc>
          <w:tcPr>
            <w:tcW w:type="dxa" w:w="4561"/>
            <w:shd w:val="clear" w:color="auto" w:fill="1A6B3C"/>
          </w:tcPr>
          <w:p>
            <w:r>
              <w:rPr>
                <w:b/>
                <w:color w:val="FFFFFF"/>
                <w:sz w:val="22"/>
              </w:rPr>
              <w:t>Módulo</w:t>
            </w:r>
          </w:p>
        </w:tc>
        <w:tc>
          <w:tcPr>
            <w:tcW w:type="dxa" w:w="4561"/>
            <w:shd w:val="clear" w:color="auto" w:fill="1A6B3C"/>
          </w:tcPr>
          <w:p>
            <w:r>
              <w:rPr>
                <w:b/>
                <w:color w:val="FFFFFF"/>
                <w:sz w:val="22"/>
              </w:rPr>
              <w:t>Función</w:t>
            </w:r>
          </w:p>
        </w:tc>
      </w:tr>
      <w:tr>
        <w:tc>
          <w:tcPr>
            <w:tcW w:type="dxa" w:w="4561"/>
            <w:shd w:val="clear" w:color="auto" w:fill="F2F2F2"/>
          </w:tcPr>
          <w:p>
            <w:r>
              <w:rPr>
                <w:sz w:val="20"/>
              </w:rPr>
              <w:t>Autenticación (auth.js)</w:t>
            </w:r>
          </w:p>
        </w:tc>
        <w:tc>
          <w:tcPr>
            <w:tcW w:type="dxa" w:w="4561"/>
            <w:shd w:val="clear" w:color="auto" w:fill="F2F2F2"/>
          </w:tcPr>
          <w:p>
            <w:r>
              <w:rPr>
                <w:sz w:val="20"/>
              </w:rPr>
              <w:t>Sistema de login con JWT (JSON Web Token). Los tokens tienen expiración configurable y el endpoint de login cuenta con rate limiting para prevenir ataques de fuerza bruta.</w:t>
            </w:r>
          </w:p>
        </w:tc>
      </w:tr>
      <w:tr>
        <w:tc>
          <w:tcPr>
            <w:tcW w:type="dxa" w:w="4561"/>
            <w:shd w:val="clear" w:color="auto" w:fill="FFFFFF"/>
          </w:tcPr>
          <w:p>
            <w:r>
              <w:rPr>
                <w:sz w:val="20"/>
              </w:rPr>
              <w:t>Órdenes de Pago (ordenes-pago.js)</w:t>
            </w:r>
          </w:p>
        </w:tc>
        <w:tc>
          <w:tcPr>
            <w:tcW w:type="dxa" w:w="4561"/>
            <w:shd w:val="clear" w:color="auto" w:fill="FFFFFF"/>
          </w:tcPr>
          <w:p>
            <w:r>
              <w:rPr>
                <w:sz w:val="20"/>
              </w:rPr>
              <w:t>CRUD completo con numeración automática, cálculo de retenciones, anulación con motivo y filtros de búsqueda por fecha, beneficiario y estado.</w:t>
            </w:r>
          </w:p>
        </w:tc>
      </w:tr>
      <w:tr>
        <w:tc>
          <w:tcPr>
            <w:tcW w:type="dxa" w:w="4561"/>
            <w:shd w:val="clear" w:color="auto" w:fill="F2F2F2"/>
          </w:tcPr>
          <w:p>
            <w:r>
              <w:rPr>
                <w:sz w:val="20"/>
              </w:rPr>
              <w:t>Beneficiarios (beneficiarios.js)</w:t>
            </w:r>
          </w:p>
        </w:tc>
        <w:tc>
          <w:tcPr>
            <w:tcW w:type="dxa" w:w="4561"/>
            <w:shd w:val="clear" w:color="auto" w:fill="F2F2F2"/>
          </w:tcPr>
          <w:p>
            <w:r>
              <w:rPr>
                <w:sz w:val="20"/>
              </w:rPr>
              <w:t>Gestión del catálogo de proveedores con búsqueda difusa (índice GIN + trigrama) para el autocompletado en el formulario.</w:t>
            </w:r>
          </w:p>
        </w:tc>
      </w:tr>
      <w:tr>
        <w:tc>
          <w:tcPr>
            <w:tcW w:type="dxa" w:w="4561"/>
            <w:shd w:val="clear" w:color="auto" w:fill="FFFFFF"/>
          </w:tcPr>
          <w:p>
            <w:r>
              <w:rPr>
                <w:sz w:val="20"/>
              </w:rPr>
              <w:t>Documentos (documentos.js)</w:t>
            </w:r>
          </w:p>
        </w:tc>
        <w:tc>
          <w:tcPr>
            <w:tcW w:type="dxa" w:w="4561"/>
            <w:shd w:val="clear" w:color="auto" w:fill="FFFFFF"/>
          </w:tcPr>
          <w:p>
            <w:r>
              <w:rPr>
                <w:sz w:val="20"/>
              </w:rPr>
              <w:t>Generación de comprobantes en PDF usando Puppeteer (renderizado headless) y en Word usando la librería docx.</w:t>
            </w:r>
          </w:p>
        </w:tc>
      </w:tr>
      <w:tr>
        <w:tc>
          <w:tcPr>
            <w:tcW w:type="dxa" w:w="4561"/>
            <w:shd w:val="clear" w:color="auto" w:fill="F2F2F2"/>
          </w:tcPr>
          <w:p>
            <w:r>
              <w:rPr>
                <w:sz w:val="20"/>
              </w:rPr>
              <w:t>Configuración (configuracion.js)</w:t>
            </w:r>
          </w:p>
        </w:tc>
        <w:tc>
          <w:tcPr>
            <w:tcW w:type="dxa" w:w="4561"/>
            <w:shd w:val="clear" w:color="auto" w:fill="F2F2F2"/>
          </w:tcPr>
          <w:p>
            <w:r>
              <w:rPr>
                <w:sz w:val="20"/>
              </w:rPr>
              <w:t>Panel de ajustes del sistema: IVA vigente, firmantes, numeración de cheques y parámetros institucionales.</w:t>
            </w:r>
          </w:p>
        </w:tc>
      </w:tr>
      <w:tr>
        <w:tc>
          <w:tcPr>
            <w:tcW w:type="dxa" w:w="4561"/>
            <w:shd w:val="clear" w:color="auto" w:fill="FFFFFF"/>
          </w:tcPr>
          <w:p>
            <w:r>
              <w:rPr>
                <w:sz w:val="20"/>
              </w:rPr>
              <w:t>Auditoría (auditoria.js)</w:t>
            </w:r>
          </w:p>
        </w:tc>
        <w:tc>
          <w:tcPr>
            <w:tcW w:type="dxa" w:w="4561"/>
            <w:shd w:val="clear" w:color="auto" w:fill="FFFFFF"/>
          </w:tcPr>
          <w:p>
            <w:r>
              <w:rPr>
                <w:sz w:val="20"/>
              </w:rPr>
              <w:t>Consulta del log de cambios con filtros por usuario, fecha y tipo de acción.</w:t>
            </w:r>
          </w:p>
        </w:tc>
      </w:tr>
      <w:tr>
        <w:tc>
          <w:tcPr>
            <w:tcW w:type="dxa" w:w="4561"/>
            <w:shd w:val="clear" w:color="auto" w:fill="F2F2F2"/>
          </w:tcPr>
          <w:p>
            <w:r>
              <w:rPr>
                <w:sz w:val="20"/>
              </w:rPr>
              <w:t>Cuentas BC (cuentas-bc.js)</w:t>
            </w:r>
          </w:p>
        </w:tc>
        <w:tc>
          <w:tcPr>
            <w:tcW w:type="dxa" w:w="4561"/>
            <w:shd w:val="clear" w:color="auto" w:fill="F2F2F2"/>
          </w:tcPr>
          <w:p>
            <w:r>
              <w:rPr>
                <w:sz w:val="20"/>
              </w:rPr>
              <w:t>Catálogo de cuentas en el Banco Central con control de numeración de transferencias y cheques.</w:t>
            </w:r>
          </w:p>
        </w:tc>
      </w:tr>
      <w:tr>
        <w:tc>
          <w:tcPr>
            <w:tcW w:type="dxa" w:w="4561"/>
            <w:shd w:val="clear" w:color="auto" w:fill="FFFFFF"/>
          </w:tcPr>
          <w:p>
            <w:r>
              <w:rPr>
                <w:sz w:val="20"/>
              </w:rPr>
              <w:t>Migración (migracion.js)</w:t>
            </w:r>
          </w:p>
        </w:tc>
        <w:tc>
          <w:tcPr>
            <w:tcW w:type="dxa" w:w="4561"/>
            <w:shd w:val="clear" w:color="auto" w:fill="FFFFFF"/>
          </w:tcPr>
          <w:p>
            <w:r>
              <w:rPr>
                <w:sz w:val="20"/>
              </w:rPr>
              <w:t>Endpoint auxiliar para importar datos desde Access vía archivos CSV generados por mdbtools.</w:t>
            </w:r>
          </w:p>
        </w:tc>
      </w:tr>
    </w:tbl>
    <w:p/>
    <w:p>
      <w:pPr>
        <w:spacing w:after="120"/>
        <w:ind w:left="0"/>
        <w:jc w:val="both"/>
      </w:pPr>
      <w:r>
        <w:rPr>
          <w:color w:val="1C1C1C"/>
          <w:sz w:val="22"/>
        </w:rPr>
        <w:t>La seguridad fue una prioridad durante todo el desarrollo: se implementó un middleware de verificación de JWT en todas las rutas protegidas, se aplicó rate limiting diferenciado (login, API general, generación de documentos) y se configuró CORS para aceptar únicamente peticiones provenientes del dominio institucional (http://10.22.169.94:8082).</w:t>
      </w:r>
    </w:p>
    <w:p>
      <w:pPr>
        <w:spacing w:before="240" w:after="80"/>
      </w:pPr>
      <w:r>
        <w:rPr>
          <w:b/>
          <w:color w:val="1A6B3C"/>
          <w:sz w:val="28"/>
        </w:rPr>
        <w:t>3.4  Desarrollo del Frontend (Aplicación Web)</w:t>
      </w:r>
    </w:p>
    <w:p>
      <w:pPr>
        <w:spacing w:after="120"/>
        <w:ind w:left="0"/>
        <w:jc w:val="both"/>
      </w:pPr>
      <w:r>
        <w:rPr>
          <w:color w:val="1C1C1C"/>
          <w:sz w:val="22"/>
        </w:rPr>
        <w:t>La interfaz de usuario se construyó con React 19 y el empaquetador Vite, usando Tailwind CSS para el diseño visual. Esta combinación permite una experiencia de usuario fluida y responsiva, con tiempos de carga mínimos gracias a la compilación optimizada que genera Vite para producción.</w:t>
      </w:r>
    </w:p>
    <w:p>
      <w:pPr>
        <w:spacing w:after="120"/>
        <w:ind w:left="0"/>
        <w:jc w:val="both"/>
      </w:pPr>
      <w:r>
        <w:rPr>
          <w:color w:val="1C1C1C"/>
          <w:sz w:val="22"/>
        </w:rPr>
        <w:t>Las páginas desarrolladas fueron:</w:t>
      </w:r>
    </w:p>
    <w:p>
      <w:pPr>
        <w:pStyle w:val="ListBullet"/>
        <w:spacing w:after="60"/>
        <w:ind w:left="340"/>
      </w:pPr>
      <w:r>
        <w:rPr>
          <w:color w:val="1C1C1C"/>
          <w:sz w:val="22"/>
        </w:rPr>
        <w:t>Login — Pantalla de ingreso con validación de credenciales.</w:t>
      </w:r>
    </w:p>
    <w:p>
      <w:pPr>
        <w:pStyle w:val="ListBullet"/>
        <w:spacing w:after="60"/>
        <w:ind w:left="340"/>
      </w:pPr>
      <w:r>
        <w:rPr>
          <w:color w:val="1C1C1C"/>
          <w:sz w:val="22"/>
        </w:rPr>
        <w:t>Dashboard — Resumen general con indicadores rápidos.</w:t>
      </w:r>
    </w:p>
    <w:p>
      <w:pPr>
        <w:pStyle w:val="ListBullet"/>
        <w:spacing w:after="60"/>
        <w:ind w:left="340"/>
      </w:pPr>
      <w:r>
        <w:rPr>
          <w:color w:val="1C1C1C"/>
          <w:sz w:val="22"/>
        </w:rPr>
        <w:t>Órdenes de Pago — Listado con búsqueda, filtros por fecha y estado, y acciones rápidas.</w:t>
      </w:r>
    </w:p>
    <w:p>
      <w:pPr>
        <w:pStyle w:val="ListBullet"/>
        <w:spacing w:after="60"/>
        <w:ind w:left="340"/>
      </w:pPr>
      <w:r>
        <w:rPr>
          <w:color w:val="1C1C1C"/>
          <w:sz w:val="22"/>
        </w:rPr>
        <w:t>Nueva Orden / Editar Orden — Formulario completo con cálculo automático de retenciones IVA e IR, autocompletado de beneficiario y selección de cuentas bancarias.</w:t>
      </w:r>
    </w:p>
    <w:p>
      <w:pPr>
        <w:pStyle w:val="ListBullet"/>
        <w:spacing w:after="60"/>
        <w:ind w:left="340"/>
      </w:pPr>
      <w:r>
        <w:rPr>
          <w:color w:val="1C1C1C"/>
          <w:sz w:val="22"/>
        </w:rPr>
        <w:t>Beneficiarios — Gestión del catálogo de proveedores.</w:t>
      </w:r>
    </w:p>
    <w:p>
      <w:pPr>
        <w:pStyle w:val="ListBullet"/>
        <w:spacing w:after="60"/>
        <w:ind w:left="340"/>
      </w:pPr>
      <w:r>
        <w:rPr>
          <w:color w:val="1C1C1C"/>
          <w:sz w:val="22"/>
        </w:rPr>
        <w:t>Cuentas BC — Administración de cuentas bancarias institucionales.</w:t>
      </w:r>
    </w:p>
    <w:p>
      <w:pPr>
        <w:pStyle w:val="ListBullet"/>
        <w:spacing w:after="60"/>
        <w:ind w:left="340"/>
      </w:pPr>
      <w:r>
        <w:rPr>
          <w:color w:val="1C1C1C"/>
          <w:sz w:val="22"/>
        </w:rPr>
        <w:t>Configuración — Ajuste de parámetros del sistema, gestión de usuarios y firmantes.</w:t>
      </w:r>
    </w:p>
    <w:p>
      <w:pPr>
        <w:pStyle w:val="ListBullet"/>
        <w:spacing w:after="60"/>
        <w:ind w:left="340"/>
      </w:pPr>
      <w:r>
        <w:rPr>
          <w:color w:val="1C1C1C"/>
          <w:sz w:val="22"/>
        </w:rPr>
        <w:t>Auditoría — Consulta del historial de cambios con filtros avanzados.</w:t>
      </w:r>
    </w:p>
    <w:p>
      <w:pPr>
        <w:spacing w:before="240" w:after="80"/>
      </w:pPr>
      <w:r>
        <w:rPr>
          <w:b/>
          <w:color w:val="1A6B3C"/>
          <w:sz w:val="28"/>
        </w:rPr>
        <w:t>3.5  Migración de datos históricos desde Microsoft Access</w:t>
      </w:r>
    </w:p>
    <w:p>
      <w:pPr>
        <w:spacing w:after="120"/>
        <w:ind w:left="0"/>
        <w:jc w:val="both"/>
      </w:pPr>
      <w:r>
        <w:rPr>
          <w:color w:val="1C1C1C"/>
          <w:sz w:val="22"/>
        </w:rPr>
        <w:t>Uno de los retos más delicados del proyecto fue la migración de los 6 895 registros históricos de órdenes de pago almacenados en el archivo .accdb de la Dirección Financiera. Para ello se desarrolló el script migrar_ordenes_pago.py (Python) que, apoyándose en la herramienta mdbtools y la librería psycopg2, realiza los siguientes pasos de forma automatizada:</w:t>
      </w:r>
    </w:p>
    <w:p>
      <w:pPr>
        <w:pStyle w:val="ListBullet"/>
        <w:spacing w:after="60"/>
        <w:ind w:left="340"/>
      </w:pPr>
      <w:r>
        <w:rPr>
          <w:color w:val="1C1C1C"/>
          <w:sz w:val="22"/>
        </w:rPr>
        <w:t>Lectura del archivo .accdb / .mdb desde la carpeta compartida de Samba en el servidor.</w:t>
      </w:r>
    </w:p>
    <w:p>
      <w:pPr>
        <w:pStyle w:val="ListBullet"/>
        <w:spacing w:after="60"/>
        <w:ind w:left="340"/>
      </w:pPr>
      <w:r>
        <w:rPr>
          <w:color w:val="1C1C1C"/>
          <w:sz w:val="22"/>
        </w:rPr>
        <w:t>Exportación de la tabla APContabOrdenPago a un archivo CSV intermedio.</w:t>
      </w:r>
    </w:p>
    <w:p>
      <w:pPr>
        <w:pStyle w:val="ListBullet"/>
        <w:spacing w:after="60"/>
        <w:ind w:left="340"/>
      </w:pPr>
      <w:r>
        <w:rPr>
          <w:color w:val="1C1C1C"/>
          <w:sz w:val="22"/>
        </w:rPr>
        <w:t>Limpieza y normalización de datos (fechas, valores nulos, codificación de caracteres).</w:t>
      </w:r>
    </w:p>
    <w:p>
      <w:pPr>
        <w:pStyle w:val="ListBullet"/>
        <w:spacing w:after="60"/>
        <w:ind w:left="340"/>
      </w:pPr>
      <w:r>
        <w:rPr>
          <w:color w:val="1C1C1C"/>
          <w:sz w:val="22"/>
        </w:rPr>
        <w:t>Inserción masiva en la tabla financiero.ordenes_pago conservando los campos originales de Access en columnas auxiliares (access_num_orden_pago, access_user_mov, etc.) para completa trazabilidad.</w:t>
      </w:r>
    </w:p>
    <w:p>
      <w:pPr>
        <w:pStyle w:val="ListBullet"/>
        <w:spacing w:after="60"/>
        <w:ind w:left="340"/>
      </w:pPr>
      <w:r>
        <w:rPr>
          <w:color w:val="1C1C1C"/>
          <w:sz w:val="22"/>
        </w:rPr>
        <w:t>Reporte de estadísticas al finalizar: registros procesados, omitidos y errores.</w:t>
      </w:r>
    </w:p>
    <w:p>
      <w:pPr>
        <w:spacing w:after="120"/>
        <w:ind w:left="0"/>
        <w:jc w:val="both"/>
      </w:pPr>
      <w:r>
        <w:rPr>
          <w:color w:val="1C1C1C"/>
          <w:sz w:val="22"/>
        </w:rPr>
        <w:t>Se configuró además una carpeta compartida por Samba (\\servidor\financiero-import) para que el personal de sistemas pueda depositar el archivo Access desde cualquier equipo Windows de la red y lanzar la migración sin intervención en la línea de comandos del servidor.</w:t>
      </w:r>
    </w:p>
    <w:p>
      <w:pPr>
        <w:spacing w:after="120"/>
        <w:ind w:left="0"/>
        <w:jc w:val="both"/>
      </w:pPr>
      <w:r>
        <w:rPr>
          <w:color w:val="1C1C1C"/>
          <w:sz w:val="22"/>
        </w:rPr>
        <w:t>FIGURA 2 — Diagrama del proceso de migración (ver Anexos, Figura 2).</w:t>
      </w:r>
    </w:p>
    <w:p>
      <w:pPr>
        <w:spacing w:before="240" w:after="80"/>
      </w:pPr>
      <w:r>
        <w:rPr>
          <w:b/>
          <w:color w:val="1A6B3C"/>
          <w:sz w:val="28"/>
        </w:rPr>
        <w:t>3.6  Despliegue en servidor Ubuntu</w:t>
      </w:r>
    </w:p>
    <w:p>
      <w:pPr>
        <w:spacing w:after="120"/>
        <w:ind w:left="0"/>
        <w:jc w:val="both"/>
      </w:pPr>
      <w:r>
        <w:rPr>
          <w:color w:val="1C1C1C"/>
          <w:sz w:val="22"/>
        </w:rPr>
        <w:t>El despliegue se realizó en un servidor institucional con sistema operativo Ubuntu Server 22.04 LTS, dirección IP fija 10.22.169.94. El proceso siguió los siguientes pasos:</w:t>
      </w:r>
    </w:p>
    <w:p>
      <w:pPr>
        <w:pStyle w:val="ListBullet"/>
        <w:spacing w:after="60"/>
        <w:ind w:left="340"/>
      </w:pPr>
      <w:r>
        <w:rPr>
          <w:color w:val="1C1C1C"/>
          <w:sz w:val="22"/>
        </w:rPr>
        <w:t>Instalación de Node.js LTS y PM2 (gestor de procesos que garantiza que el sistema se reinicie automáticamente tras un corte de luz o reinicio del servidor).</w:t>
      </w:r>
    </w:p>
    <w:p>
      <w:pPr>
        <w:pStyle w:val="ListBullet"/>
        <w:spacing w:after="60"/>
        <w:ind w:left="340"/>
      </w:pPr>
      <w:r>
        <w:rPr>
          <w:color w:val="1C1C1C"/>
          <w:sz w:val="22"/>
        </w:rPr>
        <w:t>Instalación y configuración de PostgreSQL con usuario y base de datos dedicados (financiero_gad_chunchi).</w:t>
      </w:r>
    </w:p>
    <w:p>
      <w:pPr>
        <w:pStyle w:val="ListBullet"/>
        <w:spacing w:after="60"/>
        <w:ind w:left="340"/>
      </w:pPr>
      <w:r>
        <w:rPr>
          <w:color w:val="1C1C1C"/>
          <w:sz w:val="22"/>
        </w:rPr>
        <w:t>Compilación del frontend con Vite (npm run build) para generar los archivos estáticos optimizados.</w:t>
      </w:r>
    </w:p>
    <w:p>
      <w:pPr>
        <w:pStyle w:val="ListBullet"/>
        <w:spacing w:after="60"/>
        <w:ind w:left="340"/>
      </w:pPr>
      <w:r>
        <w:rPr>
          <w:color w:val="1C1C1C"/>
          <w:sz w:val="22"/>
        </w:rPr>
        <w:t>Configuración del backend en modo producción: variables de entorno seguras, JWT_SECRET único, NODE_ENV=production.</w:t>
      </w:r>
    </w:p>
    <w:p>
      <w:pPr>
        <w:pStyle w:val="ListBullet"/>
        <w:spacing w:after="60"/>
        <w:ind w:left="340"/>
      </w:pPr>
      <w:r>
        <w:rPr>
          <w:color w:val="1C1C1C"/>
          <w:sz w:val="22"/>
        </w:rPr>
        <w:t>Configuración de Nginx como proxy inverso en el puerto 8082 (el puerto 80 ya estaba ocupado por otro servicio institucional). Nginx redirige el tráfico al proceso Node.js en el puerto 3001.</w:t>
      </w:r>
    </w:p>
    <w:p>
      <w:pPr>
        <w:pStyle w:val="ListBullet"/>
        <w:spacing w:after="60"/>
        <w:ind w:left="340"/>
      </w:pPr>
      <w:r>
        <w:rPr>
          <w:color w:val="1C1C1C"/>
          <w:sz w:val="22"/>
        </w:rPr>
        <w:t>Habilitación del firewall UFW con reglas que permiten únicamente SSH, Nginx y el puerto 8082.</w:t>
      </w:r>
    </w:p>
    <w:p>
      <w:pPr>
        <w:pStyle w:val="ListBullet"/>
        <w:spacing w:after="60"/>
        <w:ind w:left="340"/>
      </w:pPr>
      <w:r>
        <w:rPr>
          <w:color w:val="1C1C1C"/>
          <w:sz w:val="22"/>
        </w:rPr>
        <w:t>Configuración de backup automático diario de la base de datos mediante cron job (pg_dump a las 02:30 AM).</w:t>
      </w:r>
    </w:p>
    <w:p>
      <w:pPr>
        <w:pStyle w:val="ListBullet"/>
        <w:spacing w:after="60"/>
        <w:ind w:left="340"/>
      </w:pPr>
      <w:r>
        <w:rPr>
          <w:color w:val="1C1C1C"/>
          <w:sz w:val="22"/>
        </w:rPr>
        <w:t>Pruebas de humo (smoke test) sobre todos los endpoints de la API para verificar el correcto funcionamiento en producción.</w:t>
      </w:r>
    </w:p>
    <w:p>
      <w:pPr>
        <w:spacing w:after="120"/>
        <w:ind w:left="0"/>
        <w:jc w:val="both"/>
      </w:pPr>
      <w:r>
        <w:rPr>
          <w:color w:val="1C1C1C"/>
          <w:sz w:val="22"/>
        </w:rPr>
        <w:t>El sistema quedó accesible para todos los equipos de la red interna del GAD a través de la URL: http://10.22.169.94:8082</w:t>
      </w:r>
    </w:p>
    <w:p>
      <w:pPr>
        <w:spacing w:before="240" w:after="80"/>
      </w:pPr>
      <w:r>
        <w:rPr>
          <w:b/>
          <w:color w:val="1A6B3C"/>
          <w:sz w:val="28"/>
        </w:rPr>
        <w:t>3.7  Renegociación del servicio de conectividad con CNT EP</w:t>
      </w:r>
    </w:p>
    <w:p>
      <w:pPr>
        <w:spacing w:after="120"/>
        <w:ind w:left="0"/>
        <w:jc w:val="both"/>
      </w:pPr>
      <w:r>
        <w:rPr>
          <w:color w:val="1C1C1C"/>
          <w:sz w:val="22"/>
        </w:rPr>
        <w:t>En paralelo al desarrollo del sistema, se identificó que la infraestructura de red institucional representaba un cuello de botella para la adopción de soluciones web. El contrato vigente con la Corporación Nacional de Telecomunicaciones (CNT EP) no contemplaba el ancho de banda ni la disponibilidad necesarios para soportar el acceso concurrente de múltiples funcionarios a aplicaciones en red.</w:t>
      </w:r>
    </w:p>
    <w:p>
      <w:pPr>
        <w:spacing w:after="120"/>
        <w:ind w:left="0"/>
        <w:jc w:val="both"/>
      </w:pPr>
      <w:r>
        <w:rPr>
          <w:color w:val="1C1C1C"/>
          <w:sz w:val="22"/>
        </w:rPr>
        <w:t>Se elaboró un informe técnico de renegociación que incluyó:</w:t>
      </w:r>
    </w:p>
    <w:p>
      <w:pPr>
        <w:pStyle w:val="ListBullet"/>
        <w:spacing w:after="60"/>
        <w:ind w:left="340"/>
      </w:pPr>
      <w:r>
        <w:rPr>
          <w:color w:val="1C1C1C"/>
          <w:sz w:val="22"/>
        </w:rPr>
        <w:t>Diagnóstico de la situación actual: velocidades medidas, tiempo de inactividad registrado y número de usuarios concurrentes en red.</w:t>
      </w:r>
    </w:p>
    <w:p>
      <w:pPr>
        <w:pStyle w:val="ListBullet"/>
        <w:spacing w:after="60"/>
        <w:ind w:left="340"/>
      </w:pPr>
      <w:r>
        <w:rPr>
          <w:color w:val="1C1C1C"/>
          <w:sz w:val="22"/>
        </w:rPr>
        <w:t>Proyección de consumo considerando el nuevo sistema financiero, el gestor documental existente (Mayan EDMS) y otros servicios web institucionales.</w:t>
      </w:r>
    </w:p>
    <w:p>
      <w:pPr>
        <w:pStyle w:val="ListBullet"/>
        <w:spacing w:after="60"/>
        <w:ind w:left="340"/>
      </w:pPr>
      <w:r>
        <w:rPr>
          <w:color w:val="1C1C1C"/>
          <w:sz w:val="22"/>
        </w:rPr>
        <w:t>Comparativo de planes disponibles de CNT EP con análisis costo-beneficio.</w:t>
      </w:r>
    </w:p>
    <w:p>
      <w:pPr>
        <w:pStyle w:val="ListBullet"/>
        <w:spacing w:after="60"/>
        <w:ind w:left="340"/>
      </w:pPr>
      <w:r>
        <w:rPr>
          <w:color w:val="1C1C1C"/>
          <w:sz w:val="22"/>
        </w:rPr>
        <w:t>Propuesta de actualización del contrato: incremento del ancho de banda garantizado, mejora del SLA (acuerdo de nivel de servicio) y habilitación de IP fija para acceso remoto seguro.</w:t>
      </w:r>
    </w:p>
    <w:p>
      <w:pPr>
        <w:pStyle w:val="ListBullet"/>
        <w:spacing w:after="60"/>
        <w:ind w:left="340"/>
      </w:pPr>
      <w:r>
        <w:rPr>
          <w:color w:val="1C1C1C"/>
          <w:sz w:val="22"/>
        </w:rPr>
        <w:t>Gestión administrativa ante el área de adquisiciones para la modificación contractual.</w:t>
      </w:r>
    </w:p>
    <w:p>
      <w:pPr>
        <w:spacing w:after="120"/>
        <w:ind w:left="0"/>
        <w:jc w:val="both"/>
      </w:pPr>
      <w:r>
        <w:rPr>
          <w:color w:val="1C1C1C"/>
          <w:sz w:val="22"/>
        </w:rPr>
        <w:t>La renegociación culminó satisfactoriamente con la obtención de un servicio de mayor capacidad y estabilidad, lo que permitió que el nuevo sistema web opere con fluidez desde el primer día de producción. Esta mejora de conectividad beneficia no solo al área financiera sino a toda la institución.</w:t>
      </w:r>
    </w:p>
    <w:p>
      <w:r>
        <w:br w:type="page"/>
      </w:r>
    </w:p>
    <w:p>
      <w:pPr>
        <w:spacing w:before="240" w:after="80"/>
      </w:pPr>
      <w:r>
        <w:rPr>
          <w:b/>
          <w:color w:val="1A6B3C"/>
          <w:sz w:val="32"/>
        </w:rPr>
        <w:t>4.  RESULTADOS Y LOGROS</w:t>
      </w:r>
    </w:p>
    <w:p>
      <w:pPr>
        <w:spacing w:before="80" w:after="80"/>
        <w:pBdr>
          <w:bottom w:val="single" w:sz="6" w:space="1" w:color="1A6B3C"/>
        </w:pBdr>
      </w:pPr>
    </w:p>
    <w:p>
      <w:pPr>
        <w:spacing w:before="240" w:after="80"/>
      </w:pPr>
      <w:r>
        <w:rPr>
          <w:b/>
          <w:color w:val="1A6B3C"/>
          <w:sz w:val="28"/>
        </w:rPr>
        <w:t>4.1  Sistema completamente funcional en producción</w:t>
      </w:r>
    </w:p>
    <w:p>
      <w:pPr>
        <w:spacing w:after="120"/>
        <w:ind w:left="0"/>
        <w:jc w:val="both"/>
      </w:pPr>
      <w:r>
        <w:rPr>
          <w:color w:val="1C1C1C"/>
          <w:sz w:val="22"/>
        </w:rPr>
        <w:t>El Sistema Financiero GAD Chunchi se encuentra operativo en el servidor institucional desde su despliegue, recibiendo tráfico real de los funcionarios de la Dirección Financiera. Las funcionalidades implementadas y verificadas son:</w:t>
      </w:r>
    </w:p>
    <w:p>
      <w:pPr>
        <w:pStyle w:val="ListBullet"/>
        <w:spacing w:after="60"/>
        <w:ind w:left="340"/>
      </w:pPr>
      <w:r>
        <w:rPr>
          <w:color w:val="1C1C1C"/>
          <w:sz w:val="22"/>
        </w:rPr>
        <w:t>✅  Autenticación segura con JWT y tres niveles de rol (administrador, financiero, auditor).</w:t>
      </w:r>
    </w:p>
    <w:p>
      <w:pPr>
        <w:pStyle w:val="ListBullet"/>
        <w:spacing w:after="60"/>
        <w:ind w:left="340"/>
      </w:pPr>
      <w:r>
        <w:rPr>
          <w:color w:val="1C1C1C"/>
          <w:sz w:val="22"/>
        </w:rPr>
        <w:t>✅  Listado de órdenes de pago con búsqueda por número, beneficiario, fecha y estado.</w:t>
      </w:r>
    </w:p>
    <w:p>
      <w:pPr>
        <w:pStyle w:val="ListBullet"/>
        <w:spacing w:after="60"/>
        <w:ind w:left="340"/>
      </w:pPr>
      <w:r>
        <w:rPr>
          <w:color w:val="1C1C1C"/>
          <w:sz w:val="22"/>
        </w:rPr>
        <w:t>✅  Creación de nuevas órdenes con numeración automática y cálculo en tiempo real de retenciones e IVA.</w:t>
      </w:r>
    </w:p>
    <w:p>
      <w:pPr>
        <w:pStyle w:val="ListBullet"/>
        <w:spacing w:after="60"/>
        <w:ind w:left="340"/>
      </w:pPr>
      <w:r>
        <w:rPr>
          <w:color w:val="1C1C1C"/>
          <w:sz w:val="22"/>
        </w:rPr>
        <w:t>✅  Edición de órdenes con registro de cambios en el módulo de auditoría.</w:t>
      </w:r>
    </w:p>
    <w:p>
      <w:pPr>
        <w:pStyle w:val="ListBullet"/>
        <w:spacing w:after="60"/>
        <w:ind w:left="340"/>
      </w:pPr>
      <w:r>
        <w:rPr>
          <w:color w:val="1C1C1C"/>
          <w:sz w:val="22"/>
        </w:rPr>
        <w:t>✅  Anulación de órdenes con motivo obligatorio, manteniendo el historial.</w:t>
      </w:r>
    </w:p>
    <w:p>
      <w:pPr>
        <w:pStyle w:val="ListBullet"/>
        <w:spacing w:after="60"/>
        <w:ind w:left="340"/>
      </w:pPr>
      <w:r>
        <w:rPr>
          <w:color w:val="1C1C1C"/>
          <w:sz w:val="22"/>
        </w:rPr>
        <w:t>✅  Generación de comprobantes en PDF (Puppeteer) y Word (librería docx), con encabezado institucional, firmantes y valores calculados.</w:t>
      </w:r>
    </w:p>
    <w:p>
      <w:pPr>
        <w:pStyle w:val="ListBullet"/>
        <w:spacing w:after="60"/>
        <w:ind w:left="340"/>
      </w:pPr>
      <w:r>
        <w:rPr>
          <w:color w:val="1C1C1C"/>
          <w:sz w:val="22"/>
        </w:rPr>
        <w:t>✅  Autocompletado de beneficiarios al teclear RUC o nombre, con búsqueda difusa.</w:t>
      </w:r>
    </w:p>
    <w:p>
      <w:pPr>
        <w:pStyle w:val="ListBullet"/>
        <w:spacing w:after="60"/>
        <w:ind w:left="340"/>
      </w:pPr>
      <w:r>
        <w:rPr>
          <w:color w:val="1C1C1C"/>
          <w:sz w:val="22"/>
        </w:rPr>
        <w:t>✅  Gestión de catálogos: retenciones, cuentas bancarias, firmantes y configuración de IVA.</w:t>
      </w:r>
    </w:p>
    <w:p>
      <w:pPr>
        <w:pStyle w:val="ListBullet"/>
        <w:spacing w:after="60"/>
        <w:ind w:left="340"/>
      </w:pPr>
      <w:r>
        <w:rPr>
          <w:color w:val="1C1C1C"/>
          <w:sz w:val="22"/>
        </w:rPr>
        <w:t>✅  Módulo de auditoría con historial detallado de cada cambio (quién, cuándo, qué cambió).</w:t>
      </w:r>
    </w:p>
    <w:p>
      <w:pPr>
        <w:pStyle w:val="ListBullet"/>
        <w:spacing w:after="60"/>
        <w:ind w:left="340"/>
      </w:pPr>
      <w:r>
        <w:rPr>
          <w:color w:val="1C1C1C"/>
          <w:sz w:val="22"/>
        </w:rPr>
        <w:t>✅  Backup automático diario de la base de datos.</w:t>
      </w:r>
    </w:p>
    <w:p>
      <w:pPr>
        <w:spacing w:before="240" w:after="80"/>
      </w:pPr>
      <w:r>
        <w:rPr>
          <w:b/>
          <w:color w:val="1A6B3C"/>
          <w:sz w:val="28"/>
        </w:rPr>
        <w:t>4.2  Migración exitosa de registros históricos</w:t>
      </w:r>
    </w:p>
    <w:p>
      <w:pPr>
        <w:spacing w:after="120"/>
        <w:ind w:left="0"/>
        <w:jc w:val="both"/>
      </w:pPr>
      <w:r>
        <w:rPr>
          <w:color w:val="1C1C1C"/>
          <w:sz w:val="22"/>
        </w:rPr>
        <w:t>Se migraron con éxito los 6 895 registros históricos de órdenes de pago desde Microsoft Access a PostgreSQL. Cada registro conserva su número original, fecha, beneficiario, valores y datos de usuario para garantizar la continuidad del histórico financiero de la institución.</w:t>
      </w:r>
    </w:p>
    <w:p>
      <w:pPr>
        <w:spacing w:before="240" w:after="80"/>
      </w:pPr>
      <w:r>
        <w:rPr>
          <w:b/>
          <w:color w:val="1A6B3C"/>
          <w:sz w:val="28"/>
        </w:rPr>
        <w:t>4.3  Mejora de la conectividad institucional</w:t>
      </w:r>
    </w:p>
    <w:p>
      <w:pPr>
        <w:spacing w:after="120"/>
        <w:ind w:left="0"/>
        <w:jc w:val="both"/>
      </w:pPr>
      <w:r>
        <w:rPr>
          <w:color w:val="1C1C1C"/>
          <w:sz w:val="22"/>
        </w:rPr>
        <w:t>Gracias a la renegociación con CNT EP, la institución cuenta ahora con un servicio de conectividad de mayor ancho de banda y estabilidad, lo que se traduce en tiempos de respuesta más rápidos para todos los sistemas web internos, mejor experiencia para los funcionarios y una base sólida para la implementación de futuros servicios digitales.</w:t>
      </w:r>
    </w:p>
    <w:p>
      <w:pPr>
        <w:spacing w:before="240" w:after="80"/>
      </w:pPr>
      <w:r>
        <w:rPr>
          <w:b/>
          <w:color w:val="1A6B3C"/>
          <w:sz w:val="28"/>
        </w:rPr>
        <w:t>4.4  Indicadores de resultado</w:t>
      </w:r>
    </w:p>
    <w:tbl>
      <w:tblPr>
        <w:tblStyle w:val="TableGrid"/>
        <w:tblW w:type="auto" w:w="0"/>
        <w:tblLook w:firstColumn="1" w:firstRow="1" w:lastColumn="0" w:lastRow="0" w:noHBand="0" w:noVBand="1" w:val="04A0"/>
        <w:tblBorders>
          <w:top w:val="single" w:sz="4" w:space="0" w:color="1A6B3C"/>
          <w:left w:val="single" w:sz="4" w:space="0" w:color="1A6B3C"/>
          <w:bottom w:val="single" w:sz="4" w:space="0" w:color="1A6B3C"/>
          <w:right w:val="single" w:sz="4" w:space="0" w:color="1A6B3C"/>
          <w:insideH w:val="single" w:sz="4" w:space="0" w:color="1A6B3C"/>
          <w:insideV w:val="single" w:sz="4" w:space="0" w:color="1A6B3C"/>
        </w:tblBorders>
      </w:tblPr>
      <w:tblGrid>
        <w:gridCol w:w="3041"/>
        <w:gridCol w:w="3041"/>
        <w:gridCol w:w="3041"/>
      </w:tblGrid>
      <w:tr>
        <w:tc>
          <w:tcPr>
            <w:tcW w:type="dxa" w:w="3041"/>
            <w:shd w:val="clear" w:color="auto" w:fill="1A6B3C"/>
          </w:tcPr>
          <w:p>
            <w:r>
              <w:rPr>
                <w:b/>
                <w:color w:val="FFFFFF"/>
                <w:sz w:val="20"/>
              </w:rPr>
              <w:t>Indicador</w:t>
            </w:r>
          </w:p>
        </w:tc>
        <w:tc>
          <w:tcPr>
            <w:tcW w:type="dxa" w:w="3041"/>
            <w:shd w:val="clear" w:color="auto" w:fill="1A6B3C"/>
          </w:tcPr>
          <w:p>
            <w:r>
              <w:rPr>
                <w:b/>
                <w:color w:val="FFFFFF"/>
                <w:sz w:val="20"/>
              </w:rPr>
              <w:t>Valor</w:t>
            </w:r>
          </w:p>
        </w:tc>
        <w:tc>
          <w:tcPr>
            <w:tcW w:type="dxa" w:w="3041"/>
            <w:shd w:val="clear" w:color="auto" w:fill="1A6B3C"/>
          </w:tcPr>
          <w:p>
            <w:r>
              <w:rPr>
                <w:b/>
                <w:color w:val="FFFFFF"/>
                <w:sz w:val="20"/>
              </w:rPr>
              <w:t>Observación</w:t>
            </w:r>
          </w:p>
        </w:tc>
      </w:tr>
      <w:tr>
        <w:tc>
          <w:tcPr>
            <w:tcW w:type="dxa" w:w="3041"/>
            <w:shd w:val="clear" w:color="auto" w:fill="F2F2F2"/>
          </w:tcPr>
          <w:p>
            <w:r>
              <w:rPr>
                <w:sz w:val="20"/>
              </w:rPr>
              <w:t>Registros migrados desde Access</w:t>
            </w:r>
          </w:p>
        </w:tc>
        <w:tc>
          <w:tcPr>
            <w:tcW w:type="dxa" w:w="3041"/>
            <w:shd w:val="clear" w:color="auto" w:fill="F2F2F2"/>
          </w:tcPr>
          <w:p>
            <w:r>
              <w:rPr>
                <w:sz w:val="20"/>
              </w:rPr>
              <w:t>6 895</w:t>
            </w:r>
          </w:p>
        </w:tc>
        <w:tc>
          <w:tcPr>
            <w:tcW w:type="dxa" w:w="3041"/>
            <w:shd w:val="clear" w:color="auto" w:fill="F2F2F2"/>
          </w:tcPr>
          <w:p>
            <w:r>
              <w:rPr>
                <w:sz w:val="20"/>
              </w:rPr>
              <w:t>100 % de los datos históricos</w:t>
            </w:r>
          </w:p>
        </w:tc>
      </w:tr>
      <w:tr>
        <w:tc>
          <w:tcPr>
            <w:tcW w:type="dxa" w:w="3041"/>
            <w:shd w:val="clear" w:color="auto" w:fill="FFFFFF"/>
          </w:tcPr>
          <w:p>
            <w:r>
              <w:rPr>
                <w:sz w:val="20"/>
              </w:rPr>
              <w:t>Tablas en la base de datos</w:t>
            </w:r>
          </w:p>
        </w:tc>
        <w:tc>
          <w:tcPr>
            <w:tcW w:type="dxa" w:w="3041"/>
            <w:shd w:val="clear" w:color="auto" w:fill="FFFFFF"/>
          </w:tcPr>
          <w:p>
            <w:r>
              <w:rPr>
                <w:sz w:val="20"/>
              </w:rPr>
              <w:t>10</w:t>
            </w:r>
          </w:p>
        </w:tc>
        <w:tc>
          <w:tcPr>
            <w:tcW w:type="dxa" w:w="3041"/>
            <w:shd w:val="clear" w:color="auto" w:fill="FFFFFF"/>
          </w:tcPr>
          <w:p>
            <w:r>
              <w:rPr>
                <w:sz w:val="20"/>
              </w:rPr>
              <w:t>Estructura normalizada en esquema financiero</w:t>
            </w:r>
          </w:p>
        </w:tc>
      </w:tr>
      <w:tr>
        <w:tc>
          <w:tcPr>
            <w:tcW w:type="dxa" w:w="3041"/>
            <w:shd w:val="clear" w:color="auto" w:fill="F2F2F2"/>
          </w:tcPr>
          <w:p>
            <w:r>
              <w:rPr>
                <w:sz w:val="20"/>
              </w:rPr>
              <w:t>Módulos del backend (rutas API)</w:t>
            </w:r>
          </w:p>
        </w:tc>
        <w:tc>
          <w:tcPr>
            <w:tcW w:type="dxa" w:w="3041"/>
            <w:shd w:val="clear" w:color="auto" w:fill="F2F2F2"/>
          </w:tcPr>
          <w:p>
            <w:r>
              <w:rPr>
                <w:sz w:val="20"/>
              </w:rPr>
              <w:t>9</w:t>
            </w:r>
          </w:p>
        </w:tc>
        <w:tc>
          <w:tcPr>
            <w:tcW w:type="dxa" w:w="3041"/>
            <w:shd w:val="clear" w:color="auto" w:fill="F2F2F2"/>
          </w:tcPr>
          <w:p>
            <w:r>
              <w:rPr>
                <w:sz w:val="20"/>
              </w:rPr>
              <w:t>auth, ordenes, beneficiarios, documentos, config, cuentas, auditoria, migración, health</w:t>
            </w:r>
          </w:p>
        </w:tc>
      </w:tr>
      <w:tr>
        <w:tc>
          <w:tcPr>
            <w:tcW w:type="dxa" w:w="3041"/>
            <w:shd w:val="clear" w:color="auto" w:fill="FFFFFF"/>
          </w:tcPr>
          <w:p>
            <w:r>
              <w:rPr>
                <w:sz w:val="20"/>
              </w:rPr>
              <w:t>Páginas del frontend</w:t>
            </w:r>
          </w:p>
        </w:tc>
        <w:tc>
          <w:tcPr>
            <w:tcW w:type="dxa" w:w="3041"/>
            <w:shd w:val="clear" w:color="auto" w:fill="FFFFFF"/>
          </w:tcPr>
          <w:p>
            <w:r>
              <w:rPr>
                <w:sz w:val="20"/>
              </w:rPr>
              <w:t>9</w:t>
            </w:r>
          </w:p>
        </w:tc>
        <w:tc>
          <w:tcPr>
            <w:tcW w:type="dxa" w:w="3041"/>
            <w:shd w:val="clear" w:color="auto" w:fill="FFFFFF"/>
          </w:tcPr>
          <w:p>
            <w:r>
              <w:rPr>
                <w:sz w:val="20"/>
              </w:rPr>
              <w:t>Login, Dashboard, Órdenes, Nueva Orden, Editar, Beneficiarios, Cuentas BC, Config, Auditoría</w:t>
            </w:r>
          </w:p>
        </w:tc>
      </w:tr>
      <w:tr>
        <w:tc>
          <w:tcPr>
            <w:tcW w:type="dxa" w:w="3041"/>
            <w:shd w:val="clear" w:color="auto" w:fill="F2F2F2"/>
          </w:tcPr>
          <w:p>
            <w:r>
              <w:rPr>
                <w:sz w:val="20"/>
              </w:rPr>
              <w:t>Servidor de producción</w:t>
            </w:r>
          </w:p>
        </w:tc>
        <w:tc>
          <w:tcPr>
            <w:tcW w:type="dxa" w:w="3041"/>
            <w:shd w:val="clear" w:color="auto" w:fill="F2F2F2"/>
          </w:tcPr>
          <w:p>
            <w:r>
              <w:rPr>
                <w:sz w:val="20"/>
              </w:rPr>
              <w:t>10.22.169.94:8082</w:t>
            </w:r>
          </w:p>
        </w:tc>
        <w:tc>
          <w:tcPr>
            <w:tcW w:type="dxa" w:w="3041"/>
            <w:shd w:val="clear" w:color="auto" w:fill="F2F2F2"/>
          </w:tcPr>
          <w:p>
            <w:r>
              <w:rPr>
                <w:sz w:val="20"/>
              </w:rPr>
              <w:t>Ubuntu Server 22.04 LTS, PM2 + Nginx</w:t>
            </w:r>
          </w:p>
        </w:tc>
      </w:tr>
      <w:tr>
        <w:tc>
          <w:tcPr>
            <w:tcW w:type="dxa" w:w="3041"/>
            <w:shd w:val="clear" w:color="auto" w:fill="FFFFFF"/>
          </w:tcPr>
          <w:p>
            <w:r>
              <w:rPr>
                <w:sz w:val="20"/>
              </w:rPr>
              <w:t>Disponibilidad (uptime)</w:t>
            </w:r>
          </w:p>
        </w:tc>
        <w:tc>
          <w:tcPr>
            <w:tcW w:type="dxa" w:w="3041"/>
            <w:shd w:val="clear" w:color="auto" w:fill="FFFFFF"/>
          </w:tcPr>
          <w:p>
            <w:r>
              <w:rPr>
                <w:sz w:val="20"/>
              </w:rPr>
              <w:t>24 / 7</w:t>
            </w:r>
          </w:p>
        </w:tc>
        <w:tc>
          <w:tcPr>
            <w:tcW w:type="dxa" w:w="3041"/>
            <w:shd w:val="clear" w:color="auto" w:fill="FFFFFF"/>
          </w:tcPr>
          <w:p>
            <w:r>
              <w:rPr>
                <w:sz w:val="20"/>
              </w:rPr>
              <w:t>PM2 con reinicio automático</w:t>
            </w:r>
          </w:p>
        </w:tc>
      </w:tr>
      <w:tr>
        <w:tc>
          <w:tcPr>
            <w:tcW w:type="dxa" w:w="3041"/>
            <w:shd w:val="clear" w:color="auto" w:fill="F2F2F2"/>
          </w:tcPr>
          <w:p>
            <w:r>
              <w:rPr>
                <w:sz w:val="20"/>
              </w:rPr>
              <w:t>Formato de comprobantes</w:t>
            </w:r>
          </w:p>
        </w:tc>
        <w:tc>
          <w:tcPr>
            <w:tcW w:type="dxa" w:w="3041"/>
            <w:shd w:val="clear" w:color="auto" w:fill="F2F2F2"/>
          </w:tcPr>
          <w:p>
            <w:r>
              <w:rPr>
                <w:sz w:val="20"/>
              </w:rPr>
              <w:t>PDF y Word</w:t>
            </w:r>
          </w:p>
        </w:tc>
        <w:tc>
          <w:tcPr>
            <w:tcW w:type="dxa" w:w="3041"/>
            <w:shd w:val="clear" w:color="auto" w:fill="F2F2F2"/>
          </w:tcPr>
          <w:p>
            <w:r>
              <w:rPr>
                <w:sz w:val="20"/>
              </w:rPr>
              <w:t>Generación automática desde la interfaz</w:t>
            </w:r>
          </w:p>
        </w:tc>
      </w:tr>
      <w:tr>
        <w:tc>
          <w:tcPr>
            <w:tcW w:type="dxa" w:w="3041"/>
            <w:shd w:val="clear" w:color="auto" w:fill="FFFFFF"/>
          </w:tcPr>
          <w:p>
            <w:r>
              <w:rPr>
                <w:sz w:val="20"/>
              </w:rPr>
              <w:t>Seguridad de acceso</w:t>
            </w:r>
          </w:p>
        </w:tc>
        <w:tc>
          <w:tcPr>
            <w:tcW w:type="dxa" w:w="3041"/>
            <w:shd w:val="clear" w:color="auto" w:fill="FFFFFF"/>
          </w:tcPr>
          <w:p>
            <w:r>
              <w:rPr>
                <w:sz w:val="20"/>
              </w:rPr>
              <w:t>JWT + Rate Limiting</w:t>
            </w:r>
          </w:p>
        </w:tc>
        <w:tc>
          <w:tcPr>
            <w:tcW w:type="dxa" w:w="3041"/>
            <w:shd w:val="clear" w:color="auto" w:fill="FFFFFF"/>
          </w:tcPr>
          <w:p>
            <w:r>
              <w:rPr>
                <w:sz w:val="20"/>
              </w:rPr>
              <w:t>Roles diferenciados y protección contra fuerza bruta</w:t>
            </w:r>
          </w:p>
        </w:tc>
      </w:tr>
    </w:tbl>
    <w:p>
      <w:r>
        <w:br w:type="page"/>
      </w:r>
    </w:p>
    <w:p>
      <w:pPr>
        <w:spacing w:before="240" w:after="80"/>
      </w:pPr>
      <w:r>
        <w:rPr>
          <w:b/>
          <w:color w:val="1A6B3C"/>
          <w:sz w:val="32"/>
        </w:rPr>
        <w:t>5.  CONCLUSIONES</w:t>
      </w:r>
    </w:p>
    <w:p>
      <w:pPr>
        <w:spacing w:before="80" w:after="80"/>
        <w:pBdr>
          <w:bottom w:val="single" w:sz="6" w:space="1" w:color="1A6B3C"/>
        </w:pBdr>
      </w:pPr>
    </w:p>
    <w:p>
      <w:pPr>
        <w:spacing w:before="160" w:after="80"/>
        <w:jc w:val="both"/>
      </w:pPr>
      <w:r>
        <w:rPr>
          <w:b/>
          <w:color w:val="1A6B3C"/>
          <w:sz w:val="22"/>
        </w:rPr>
        <w:t xml:space="preserve">Modernización exitosa del proceso financiero.  </w:t>
      </w:r>
      <w:r>
        <w:rPr>
          <w:color w:val="1C1C1C"/>
          <w:sz w:val="22"/>
        </w:rPr>
        <w:t>La sustitución del sistema en Access por una aplicación web centralizada representa un avance significativo en la digitalización de los procesos del GAD Municipal de Chunchi. Los funcionarios ahora disponen de una herramienta accesible desde cualquier equipo conectado a la red interna, eliminando la dependencia de un único computador.</w:t>
      </w:r>
    </w:p>
    <w:p>
      <w:pPr>
        <w:spacing w:before="160" w:after="80"/>
        <w:jc w:val="both"/>
      </w:pPr>
      <w:r>
        <w:rPr>
          <w:b/>
          <w:color w:val="1A6B3C"/>
          <w:sz w:val="22"/>
        </w:rPr>
        <w:t xml:space="preserve">Integridad y continuidad del histórico institucional.  </w:t>
      </w:r>
      <w:r>
        <w:rPr>
          <w:color w:val="1C1C1C"/>
          <w:sz w:val="22"/>
        </w:rPr>
        <w:t>La migración de los 6 895 registros históricos garantiza que la institución no pierde ningún antecedente financiero. El sistema conserva los datos originales de Access en campos auxiliares, lo que permite auditar la procedencia de cada registro en caso de ser necesario.</w:t>
      </w:r>
    </w:p>
    <w:p>
      <w:pPr>
        <w:spacing w:before="160" w:after="80"/>
        <w:jc w:val="both"/>
      </w:pPr>
      <w:r>
        <w:rPr>
          <w:b/>
          <w:color w:val="1A6B3C"/>
          <w:sz w:val="22"/>
        </w:rPr>
        <w:t xml:space="preserve">Trazabilidad y control reforzados.  </w:t>
      </w:r>
      <w:r>
        <w:rPr>
          <w:color w:val="1C1C1C"/>
          <w:sz w:val="22"/>
        </w:rPr>
        <w:t>El módulo de auditoría implementado brinda una transparencia que el antiguo sistema en Access no podía ofrecer. Cada creación, edición o anulación queda registrada con el nombre del usuario, la fecha y hora, la dirección IP y los valores anteriores y nuevos, lo que fortalece el control interno de la institución.</w:t>
      </w:r>
    </w:p>
    <w:p>
      <w:pPr>
        <w:spacing w:before="160" w:after="80"/>
        <w:jc w:val="both"/>
      </w:pPr>
      <w:r>
        <w:rPr>
          <w:b/>
          <w:color w:val="1A6B3C"/>
          <w:sz w:val="22"/>
        </w:rPr>
        <w:t xml:space="preserve">Infraestructura de red adecuada para el crecimiento digital.  </w:t>
      </w:r>
      <w:r>
        <w:rPr>
          <w:color w:val="1C1C1C"/>
          <w:sz w:val="22"/>
        </w:rPr>
        <w:t>La renegociación con CNT EP no solo beneficia al sistema financiero: sienta las bases para que la institución pueda incorporar más servicios web en el futuro con la certeza de contar con la conectividad necesaria. Es una inversión en capacidad institucional a largo plazo.</w:t>
      </w:r>
    </w:p>
    <w:p>
      <w:pPr>
        <w:spacing w:before="160" w:after="80"/>
        <w:jc w:val="both"/>
      </w:pPr>
      <w:r>
        <w:rPr>
          <w:b/>
          <w:color w:val="1A6B3C"/>
          <w:sz w:val="22"/>
        </w:rPr>
        <w:t xml:space="preserve">Sostenibilidad y mantenimiento simplificados.  </w:t>
      </w:r>
      <w:r>
        <w:rPr>
          <w:color w:val="1C1C1C"/>
          <w:sz w:val="22"/>
        </w:rPr>
        <w:t>El uso de tecnologías ampliamente adoptadas (Node.js, React, PostgreSQL) y la documentación completa generada durante el proyecto (guías de despliegue, esquema de base de datos, scripts de migración) permiten que cualquier técnico con conocimientos básicos en estas tecnologías pueda dar mantenimiento al sistema sin necesidad de recurrir al desarrollador original.</w:t>
      </w:r>
    </w:p>
    <w:p>
      <w:pPr>
        <w:spacing w:before="160" w:after="80"/>
        <w:jc w:val="both"/>
      </w:pPr>
      <w:r>
        <w:rPr>
          <w:b/>
          <w:color w:val="1A6B3C"/>
          <w:sz w:val="22"/>
        </w:rPr>
        <w:t xml:space="preserve">Recomendaciones para el siguiente período.  </w:t>
      </w:r>
      <w:r>
        <w:rPr>
          <w:color w:val="1C1C1C"/>
          <w:sz w:val="22"/>
        </w:rPr>
        <w:t>Se recomienda: (a) cambiar las contraseñas por defecto del sistema antes de extender el acceso; (b) verificar semanalmente los logs de PM2 y los backups automáticos; (c) programar una capacitación formal para el personal financiero; y (d) evaluar la posibilidad de habilitar acceso remoto seguro mediante VPN para funcionarios que necesiten trabajar fuera de la institución.</w:t>
      </w:r>
    </w:p>
    <w:p>
      <w:r>
        <w:br w:type="page"/>
      </w:r>
    </w:p>
    <w:p>
      <w:pPr>
        <w:spacing w:before="240" w:after="80"/>
      </w:pPr>
      <w:r>
        <w:rPr>
          <w:b/>
          <w:color w:val="1A6B3C"/>
          <w:sz w:val="32"/>
        </w:rPr>
        <w:t>ANEXOS — DIAGRAMAS (Figuras para draw.io)</w:t>
      </w:r>
    </w:p>
    <w:p>
      <w:pPr>
        <w:spacing w:before="80" w:after="80"/>
        <w:pBdr>
          <w:bottom w:val="single" w:sz="6" w:space="1" w:color="1A6B3C"/>
        </w:pBdr>
      </w:pPr>
    </w:p>
    <w:p>
      <w:pPr>
        <w:spacing w:after="120"/>
        <w:ind w:left="0"/>
        <w:jc w:val="both"/>
      </w:pPr>
      <w:r>
        <w:rPr>
          <w:color w:val="1C1C1C"/>
          <w:sz w:val="22"/>
        </w:rPr>
        <w:t>Los siguientes bloques de código XML pueden importarse directamente en draw.io (https://app.diagrams.net) usando el menú Extras → Editar diagrama (o Ctrl+Shift+X). Copie el contenido XML del bloque correspondiente, péguelo en el cuadro de diálogo y haga clic en Aceptar.</w:t>
      </w:r>
    </w:p>
    <w:p>
      <w:pPr>
        <w:spacing w:before="240" w:after="80"/>
      </w:pPr>
      <w:r>
        <w:rPr>
          <w:b/>
          <w:color w:val="1A6B3C"/>
          <w:sz w:val="28"/>
        </w:rPr>
        <w:t>Figura 1 — Arquitectura del Sistema</w:t>
      </w:r>
    </w:p>
    <w:p>
      <w:pPr>
        <w:spacing w:after="120"/>
        <w:ind w:left="0"/>
        <w:jc w:val="both"/>
      </w:pPr>
      <w:r>
        <w:rPr>
          <w:color w:val="1C1C1C"/>
          <w:sz w:val="22"/>
        </w:rPr>
        <w:t>Muestra los componentes principales: el navegador del usuario, el proxy inverso Nginx en el puerto 8082, el servidor Express.js en el puerto 3001 con el frontend compilado, y la base de datos PostgreSQL.</w:t>
      </w:r>
    </w:p>
    <w:p>
      <w:pPr>
        <w:spacing w:before="0" w:after="0"/>
        <w:ind w:left="283"/>
      </w:pPr>
      <w:r>
        <w:rPr>
          <w:rFonts w:ascii="Courier New" w:hAnsi="Courier New"/>
          <w:color w:val="2D2D2D"/>
          <w:sz w:val="16"/>
        </w:rPr>
        <w:t>&lt;mxGraphModel&gt;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 xml:space="preserve">    &lt;mxCell id="0"/&gt;</w:t>
      </w:r>
    </w:p>
    <w:p>
      <w:pPr>
        <w:spacing w:before="0" w:after="0"/>
        <w:ind w:left="283"/>
      </w:pPr>
      <w:r>
        <w:rPr>
          <w:rFonts w:ascii="Courier New" w:hAnsi="Courier New"/>
          <w:color w:val="2D2D2D"/>
          <w:sz w:val="16"/>
        </w:rPr>
        <w:t xml:space="preserve">    &lt;mxCell id="1" parent="0"/&gt;</w:t>
      </w:r>
    </w:p>
    <w:p>
      <w:pPr>
        <w:spacing w:before="0" w:after="0"/>
        <w:ind w:left="283"/>
      </w:pPr>
      <w:r>
        <w:rPr>
          <w:rFonts w:ascii="Courier New" w:hAnsi="Courier New"/>
          <w:color w:val="2D2D2D"/>
          <w:sz w:val="16"/>
        </w:rPr>
        <w:t xml:space="preserve">    &lt;!-- USUARIO FINAL --&gt;</w:t>
      </w:r>
    </w:p>
    <w:p>
      <w:pPr>
        <w:spacing w:before="0" w:after="0"/>
        <w:ind w:left="283"/>
      </w:pPr>
      <w:r>
        <w:rPr>
          <w:rFonts w:ascii="Courier New" w:hAnsi="Courier New"/>
          <w:color w:val="2D2D2D"/>
          <w:sz w:val="16"/>
        </w:rPr>
        <w:t xml:space="preserve">    &lt;mxCell id="2" value="Navegador Web (Usuario)"</w:t>
      </w:r>
    </w:p>
    <w:p>
      <w:pPr>
        <w:spacing w:before="0" w:after="0"/>
        <w:ind w:left="283"/>
      </w:pPr>
      <w:r>
        <w:rPr>
          <w:rFonts w:ascii="Courier New" w:hAnsi="Courier New"/>
          <w:color w:val="2D2D2D"/>
          <w:sz w:val="16"/>
        </w:rPr>
        <w:t xml:space="preserve">      style="shape=mxgraph.mockup.containers.browser;fillColor=#dae8fc;strokeColor=#6c8ebf;"</w:t>
      </w:r>
    </w:p>
    <w:p>
      <w:pPr>
        <w:spacing w:before="0" w:after="0"/>
        <w:ind w:left="283"/>
      </w:pPr>
      <w:r>
        <w:rPr>
          <w:rFonts w:ascii="Courier New" w:hAnsi="Courier New"/>
          <w:color w:val="2D2D2D"/>
          <w:sz w:val="16"/>
        </w:rPr>
        <w:t xml:space="preserve">      vertex="1" parent="1"&gt;</w:t>
      </w:r>
    </w:p>
    <w:p>
      <w:pPr>
        <w:spacing w:before="0" w:after="0"/>
        <w:ind w:left="283"/>
      </w:pPr>
      <w:r>
        <w:rPr>
          <w:rFonts w:ascii="Courier New" w:hAnsi="Courier New"/>
          <w:color w:val="2D2D2D"/>
          <w:sz w:val="16"/>
        </w:rPr>
        <w:t xml:space="preserve">      &lt;mxGeometry x="40" y="160" width="120"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 NGINX --&gt;</w:t>
      </w:r>
    </w:p>
    <w:p>
      <w:pPr>
        <w:spacing w:before="0" w:after="0"/>
        <w:ind w:left="283"/>
      </w:pPr>
      <w:r>
        <w:rPr>
          <w:rFonts w:ascii="Courier New" w:hAnsi="Courier New"/>
          <w:color w:val="2D2D2D"/>
          <w:sz w:val="16"/>
        </w:rPr>
        <w:t xml:space="preserve">    &lt;mxCell id="3" value="Nginx Puerto 8082 (Proxy inverso)"</w:t>
      </w:r>
    </w:p>
    <w:p>
      <w:pPr>
        <w:spacing w:before="0" w:after="0"/>
        <w:ind w:left="283"/>
      </w:pPr>
      <w:r>
        <w:rPr>
          <w:rFonts w:ascii="Courier New" w:hAnsi="Courier New"/>
          <w:color w:val="2D2D2D"/>
          <w:sz w:val="16"/>
        </w:rPr>
        <w:t xml:space="preserve">      style="shape=mxgraph.cisco.servers.standard_server;fillColor=#d5e8d4;strokeColor=#82b366;"</w:t>
      </w:r>
    </w:p>
    <w:p>
      <w:pPr>
        <w:spacing w:before="0" w:after="0"/>
        <w:ind w:left="283"/>
      </w:pPr>
      <w:r>
        <w:rPr>
          <w:rFonts w:ascii="Courier New" w:hAnsi="Courier New"/>
          <w:color w:val="2D2D2D"/>
          <w:sz w:val="16"/>
        </w:rPr>
        <w:t xml:space="preserve">      vertex="1" parent="1"&gt;</w:t>
      </w:r>
    </w:p>
    <w:p>
      <w:pPr>
        <w:spacing w:before="0" w:after="0"/>
        <w:ind w:left="283"/>
      </w:pPr>
      <w:r>
        <w:rPr>
          <w:rFonts w:ascii="Courier New" w:hAnsi="Courier New"/>
          <w:color w:val="2D2D2D"/>
          <w:sz w:val="16"/>
        </w:rPr>
        <w:t xml:space="preserve">      &lt;mxGeometry x="240" y="160" width="120"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 BACKEND --&gt;</w:t>
      </w:r>
    </w:p>
    <w:p>
      <w:pPr>
        <w:spacing w:before="0" w:after="0"/>
        <w:ind w:left="283"/>
      </w:pPr>
      <w:r>
        <w:rPr>
          <w:rFonts w:ascii="Courier New" w:hAnsi="Courier New"/>
          <w:color w:val="2D2D2D"/>
          <w:sz w:val="16"/>
        </w:rPr>
        <w:t xml:space="preserve">    &lt;mxCell id="4" value="Express.js (Backend API) Puerto 3001"</w:t>
      </w:r>
    </w:p>
    <w:p>
      <w:pPr>
        <w:spacing w:before="0" w:after="0"/>
        <w:ind w:left="283"/>
      </w:pPr>
      <w:r>
        <w:rPr>
          <w:rFonts w:ascii="Courier New" w:hAnsi="Courier New"/>
          <w:color w:val="2D2D2D"/>
          <w:sz w:val="16"/>
        </w:rPr>
        <w:t xml:space="preserve">      style="rounded=1;fillColor=#ffe6cc;strokeColor=#d6b656;"</w:t>
      </w:r>
    </w:p>
    <w:p>
      <w:pPr>
        <w:spacing w:before="0" w:after="0"/>
        <w:ind w:left="283"/>
      </w:pPr>
      <w:r>
        <w:rPr>
          <w:rFonts w:ascii="Courier New" w:hAnsi="Courier New"/>
          <w:color w:val="2D2D2D"/>
          <w:sz w:val="16"/>
        </w:rPr>
        <w:t xml:space="preserve">      vertex="1" parent="1"&gt;</w:t>
      </w:r>
    </w:p>
    <w:p>
      <w:pPr>
        <w:spacing w:before="0" w:after="0"/>
        <w:ind w:left="283"/>
      </w:pPr>
      <w:r>
        <w:rPr>
          <w:rFonts w:ascii="Courier New" w:hAnsi="Courier New"/>
          <w:color w:val="2D2D2D"/>
          <w:sz w:val="16"/>
        </w:rPr>
        <w:t xml:space="preserve">      &lt;mxGeometry x="440" y="80" width="140"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 FRONTEND --&gt;</w:t>
      </w:r>
    </w:p>
    <w:p>
      <w:pPr>
        <w:spacing w:before="0" w:after="0"/>
        <w:ind w:left="283"/>
      </w:pPr>
      <w:r>
        <w:rPr>
          <w:rFonts w:ascii="Courier New" w:hAnsi="Courier New"/>
          <w:color w:val="2D2D2D"/>
          <w:sz w:val="16"/>
        </w:rPr>
        <w:t xml:space="preserve">    &lt;mxCell id="5" value="React 19 + Vite (Frontend SPA)"</w:t>
      </w:r>
    </w:p>
    <w:p>
      <w:pPr>
        <w:spacing w:before="0" w:after="0"/>
        <w:ind w:left="283"/>
      </w:pPr>
      <w:r>
        <w:rPr>
          <w:rFonts w:ascii="Courier New" w:hAnsi="Courier New"/>
          <w:color w:val="2D2D2D"/>
          <w:sz w:val="16"/>
        </w:rPr>
        <w:t xml:space="preserve">      style="rounded=1;fillColor=#e1d5e7;strokeColor=#9673a6;"</w:t>
      </w:r>
    </w:p>
    <w:p>
      <w:pPr>
        <w:spacing w:before="0" w:after="0"/>
        <w:ind w:left="283"/>
      </w:pPr>
      <w:r>
        <w:rPr>
          <w:rFonts w:ascii="Courier New" w:hAnsi="Courier New"/>
          <w:color w:val="2D2D2D"/>
          <w:sz w:val="16"/>
        </w:rPr>
        <w:t xml:space="preserve">      vertex="1" parent="1"&gt;</w:t>
      </w:r>
    </w:p>
    <w:p>
      <w:pPr>
        <w:spacing w:before="0" w:after="0"/>
        <w:ind w:left="283"/>
      </w:pPr>
      <w:r>
        <w:rPr>
          <w:rFonts w:ascii="Courier New" w:hAnsi="Courier New"/>
          <w:color w:val="2D2D2D"/>
          <w:sz w:val="16"/>
        </w:rPr>
        <w:t xml:space="preserve">      &lt;mxGeometry x="440" y="240" width="140"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 POSTGRESQL --&gt;</w:t>
      </w:r>
    </w:p>
    <w:p>
      <w:pPr>
        <w:spacing w:before="0" w:after="0"/>
        <w:ind w:left="283"/>
      </w:pPr>
      <w:r>
        <w:rPr>
          <w:rFonts w:ascii="Courier New" w:hAnsi="Courier New"/>
          <w:color w:val="2D2D2D"/>
          <w:sz w:val="16"/>
        </w:rPr>
        <w:t xml:space="preserve">    &lt;mxCell id="6" value="PostgreSQL financiero_gad_chunchi Puerto 5432"</w:t>
      </w:r>
    </w:p>
    <w:p>
      <w:pPr>
        <w:spacing w:before="0" w:after="0"/>
        <w:ind w:left="283"/>
      </w:pPr>
      <w:r>
        <w:rPr>
          <w:rFonts w:ascii="Courier New" w:hAnsi="Courier New"/>
          <w:color w:val="2D2D2D"/>
          <w:sz w:val="16"/>
        </w:rPr>
        <w:t xml:space="preserve">      style="shape=mxgraph.flowchart.database;fillColor=#f8cecc;strokeColor=#b85450;"</w:t>
      </w:r>
    </w:p>
    <w:p>
      <w:pPr>
        <w:spacing w:before="0" w:after="0"/>
        <w:ind w:left="283"/>
      </w:pPr>
      <w:r>
        <w:rPr>
          <w:rFonts w:ascii="Courier New" w:hAnsi="Courier New"/>
          <w:color w:val="2D2D2D"/>
          <w:sz w:val="16"/>
        </w:rPr>
        <w:t xml:space="preserve">      vertex="1" parent="1"&gt;</w:t>
      </w:r>
    </w:p>
    <w:p>
      <w:pPr>
        <w:spacing w:before="0" w:after="0"/>
        <w:ind w:left="283"/>
      </w:pPr>
      <w:r>
        <w:rPr>
          <w:rFonts w:ascii="Courier New" w:hAnsi="Courier New"/>
          <w:color w:val="2D2D2D"/>
          <w:sz w:val="16"/>
        </w:rPr>
        <w:t xml:space="preserve">      &lt;mxGeometry x="660" y="160" width="120"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 Flechas --&gt;</w:t>
      </w:r>
    </w:p>
    <w:p>
      <w:pPr>
        <w:spacing w:before="0" w:after="0"/>
        <w:ind w:left="283"/>
      </w:pPr>
      <w:r>
        <w:rPr>
          <w:rFonts w:ascii="Courier New" w:hAnsi="Courier New"/>
          <w:color w:val="2D2D2D"/>
          <w:sz w:val="16"/>
        </w:rPr>
        <w:t xml:space="preserve">    &lt;mxCell id="10" edge="1" source="2" target="3" parent="1"&gt;</w:t>
      </w:r>
    </w:p>
    <w:p>
      <w:pPr>
        <w:spacing w:before="0" w:after="0"/>
        <w:ind w:left="283"/>
      </w:pPr>
      <w:r>
        <w:rPr>
          <w:rFonts w:ascii="Courier New" w:hAnsi="Courier New"/>
          <w:color w:val="2D2D2D"/>
          <w:sz w:val="16"/>
        </w:rPr>
        <w:t xml:space="preserve">      &lt;mxGeometry relative="1"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id="11" edge="1" source="3" target="4" parent="1"&gt;</w:t>
      </w:r>
    </w:p>
    <w:p>
      <w:pPr>
        <w:spacing w:before="0" w:after="0"/>
        <w:ind w:left="283"/>
      </w:pPr>
      <w:r>
        <w:rPr>
          <w:rFonts w:ascii="Courier New" w:hAnsi="Courier New"/>
          <w:color w:val="2D2D2D"/>
          <w:sz w:val="16"/>
        </w:rPr>
        <w:t xml:space="preserve">      &lt;mxGeometry relative="1"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id="12" edge="1" source="3" target="5" parent="1"&gt;</w:t>
      </w:r>
    </w:p>
    <w:p>
      <w:pPr>
        <w:spacing w:before="0" w:after="0"/>
        <w:ind w:left="283"/>
      </w:pPr>
      <w:r>
        <w:rPr>
          <w:rFonts w:ascii="Courier New" w:hAnsi="Courier New"/>
          <w:color w:val="2D2D2D"/>
          <w:sz w:val="16"/>
        </w:rPr>
        <w:t xml:space="preserve">      &lt;mxGeometry relative="1"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id="13" edge="1" source="4" target="6" parent="1"&gt;</w:t>
      </w:r>
    </w:p>
    <w:p>
      <w:pPr>
        <w:spacing w:before="0" w:after="0"/>
        <w:ind w:left="283"/>
      </w:pPr>
      <w:r>
        <w:rPr>
          <w:rFonts w:ascii="Courier New" w:hAnsi="Courier New"/>
          <w:color w:val="2D2D2D"/>
          <w:sz w:val="16"/>
        </w:rPr>
        <w:t xml:space="preserve">      &lt;mxGeometry relative="1"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&lt;/mxGraphModel&gt;</w:t>
      </w:r>
    </w:p>
    <w:p>
      <w:pPr>
        <w:spacing w:after="120"/>
      </w:pPr>
    </w:p>
    <w:p>
      <w:pPr>
        <w:spacing w:before="240" w:after="80"/>
      </w:pPr>
      <w:r>
        <w:rPr>
          <w:b/>
          <w:color w:val="1A6B3C"/>
          <w:sz w:val="28"/>
        </w:rPr>
        <w:t>Figura 2 — Proceso de Migración desde Microsoft Access</w:t>
      </w:r>
    </w:p>
    <w:p>
      <w:pPr>
        <w:spacing w:after="120"/>
        <w:ind w:left="0"/>
        <w:jc w:val="both"/>
      </w:pPr>
      <w:r>
        <w:rPr>
          <w:color w:val="1C1C1C"/>
          <w:sz w:val="22"/>
        </w:rPr>
        <w:t>Ilustra el flujo de migración: el archivo .accdb compartido por Samba, el script Python que lo procesa con mdbtools y psycopg2, y la inserción resultante en PostgreSQL.</w:t>
      </w:r>
    </w:p>
    <w:p>
      <w:pPr>
        <w:spacing w:before="0" w:after="0"/>
        <w:ind w:left="283"/>
      </w:pPr>
      <w:r>
        <w:rPr>
          <w:rFonts w:ascii="Courier New" w:hAnsi="Courier New"/>
          <w:color w:val="2D2D2D"/>
          <w:sz w:val="16"/>
        </w:rPr>
        <w:t>&lt;mxGraphModel&gt;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 xml:space="preserve">    &lt;mxCell id="0"/&gt;</w:t>
      </w:r>
    </w:p>
    <w:p>
      <w:pPr>
        <w:spacing w:before="0" w:after="0"/>
        <w:ind w:left="283"/>
      </w:pPr>
      <w:r>
        <w:rPr>
          <w:rFonts w:ascii="Courier New" w:hAnsi="Courier New"/>
          <w:color w:val="2D2D2D"/>
          <w:sz w:val="16"/>
        </w:rPr>
        <w:t xml:space="preserve">    &lt;mxCell id="1" parent="0"/&gt;</w:t>
      </w:r>
    </w:p>
    <w:p>
      <w:pPr>
        <w:spacing w:before="0" w:after="0"/>
        <w:ind w:left="283"/>
      </w:pPr>
      <w:r>
        <w:rPr>
          <w:rFonts w:ascii="Courier New" w:hAnsi="Courier New"/>
          <w:color w:val="2D2D2D"/>
          <w:sz w:val="16"/>
        </w:rPr>
        <w:t xml:space="preserve">    &lt;mxCell id="2" value="Base de datos&amp;#xa;Microsoft Access&amp;#xa;(.mdb / .accdb)&amp;#xa;6 895 registros" style="shape=mxgraph.flowchart.database;fillColor=#f8cecc;strokeColor=#b85450;" vertex="1" parent="1"&gt;</w:t>
      </w:r>
    </w:p>
    <w:p>
      <w:pPr>
        <w:spacing w:before="0" w:after="0"/>
        <w:ind w:left="283"/>
      </w:pPr>
      <w:r>
        <w:rPr>
          <w:rFonts w:ascii="Courier New" w:hAnsi="Courier New"/>
          <w:color w:val="2D2D2D"/>
          <w:sz w:val="16"/>
        </w:rPr>
        <w:t xml:space="preserve">      &lt;mxGeometry x="40" y="160" width="140"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id="3" value="Script Python&amp;#xa;migrar_ordenes_pago.py&amp;#xa;(mdbtools + psycopg2)" style="rounded=1;fillColor=#fff2cc;strokeColor=#d6b656;" vertex="1" parent="1"&gt;</w:t>
      </w:r>
    </w:p>
    <w:p>
      <w:pPr>
        <w:spacing w:before="0" w:after="0"/>
        <w:ind w:left="283"/>
      </w:pPr>
      <w:r>
        <w:rPr>
          <w:rFonts w:ascii="Courier New" w:hAnsi="Courier New"/>
          <w:color w:val="2D2D2D"/>
          <w:sz w:val="16"/>
        </w:rPr>
        <w:t xml:space="preserve">      &lt;mxGeometry x="260" y="160" width="160"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id="4" value="Samba Share&amp;#xa;(\servidorinanciero-import)&amp;#xa;Copia del .accdb" style="shape=mxgraph.network.server;fillColor=#dae8fc;strokeColor=#6c8ebf;" vertex="1" parent="1"&gt;</w:t>
      </w:r>
    </w:p>
    <w:p>
      <w:pPr>
        <w:spacing w:before="0" w:after="0"/>
        <w:ind w:left="283"/>
      </w:pPr>
      <w:r>
        <w:rPr>
          <w:rFonts w:ascii="Courier New" w:hAnsi="Courier New"/>
          <w:color w:val="2D2D2D"/>
          <w:sz w:val="16"/>
        </w:rPr>
        <w:t xml:space="preserve">      &lt;mxGeometry x="260" y="40" width="160" height="70"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id="5" value="PostgreSQL&amp;#xa;financiero.ordenes_pago&amp;#xa;(schema financiero)" style="shape=mxgraph.flowchart.database;fillColor=#d5e8d4;strokeColor=#82b366;" vertex="1" parent="1"&gt;</w:t>
      </w:r>
    </w:p>
    <w:p>
      <w:pPr>
        <w:spacing w:before="0" w:after="0"/>
        <w:ind w:left="283"/>
      </w:pPr>
      <w:r>
        <w:rPr>
          <w:rFonts w:ascii="Courier New" w:hAnsi="Courier New"/>
          <w:color w:val="2D2D2D"/>
          <w:sz w:val="16"/>
        </w:rPr>
        <w:t xml:space="preserve">      &lt;mxGeometry x="500" y="160" width="140"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id="10" edge="1" source="2" target="3" parent="1"&gt;&lt;mxGeometry relative="1" as="geometry"/&gt;&lt;/mxCell&gt;</w:t>
      </w:r>
    </w:p>
    <w:p>
      <w:pPr>
        <w:spacing w:before="0" w:after="0"/>
        <w:ind w:left="283"/>
      </w:pPr>
      <w:r>
        <w:rPr>
          <w:rFonts w:ascii="Courier New" w:hAnsi="Courier New"/>
          <w:color w:val="2D2D2D"/>
          <w:sz w:val="16"/>
        </w:rPr>
        <w:t xml:space="preserve">    &lt;mxCell id="11" edge="1" source="4" target="3" label="copia archivo" parent="1"&gt;&lt;mxGeometry relative="1" as="geometry"/&gt;&lt;/mxCell&gt;</w:t>
      </w:r>
    </w:p>
    <w:p>
      <w:pPr>
        <w:spacing w:before="0" w:after="0"/>
        <w:ind w:left="283"/>
      </w:pPr>
      <w:r>
        <w:rPr>
          <w:rFonts w:ascii="Courier New" w:hAnsi="Courier New"/>
          <w:color w:val="2D2D2D"/>
          <w:sz w:val="16"/>
        </w:rPr>
        <w:t xml:space="preserve">    &lt;mxCell id="12" edge="1" source="3" target="5" label="INSERT masivo" parent="1"&gt;&lt;mxGeometry relative="1" as="geometry"/&gt;&lt;/mxCell&gt;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&lt;/mxGraphModel&gt;</w:t>
      </w:r>
    </w:p>
    <w:p>
      <w:pPr>
        <w:spacing w:after="120"/>
      </w:pPr>
    </w:p>
    <w:p>
      <w:pPr>
        <w:spacing w:before="240" w:after="80"/>
      </w:pPr>
      <w:r>
        <w:rPr>
          <w:b/>
          <w:color w:val="1A6B3C"/>
          <w:sz w:val="28"/>
        </w:rPr>
        <w:t>Figura 3 — Diagrama de Base de Datos (Entidad-Relación simplificado)</w:t>
      </w:r>
    </w:p>
    <w:p>
      <w:pPr>
        <w:spacing w:after="120"/>
        <w:ind w:left="0"/>
        <w:jc w:val="both"/>
      </w:pPr>
      <w:r>
        <w:rPr>
          <w:color w:val="1C1C1C"/>
          <w:sz w:val="22"/>
        </w:rPr>
        <w:t>Representa las tablas principales del esquema financiero y sus relaciones de clave foránea: usuarios, beneficiarios, ordenes_pago, retenciones, auditoría y configuración.</w:t>
      </w:r>
    </w:p>
    <w:p>
      <w:pPr>
        <w:spacing w:before="0" w:after="0"/>
        <w:ind w:left="283"/>
      </w:pPr>
      <w:r>
        <w:rPr>
          <w:rFonts w:ascii="Courier New" w:hAnsi="Courier New"/>
          <w:color w:val="2D2D2D"/>
          <w:sz w:val="16"/>
        </w:rPr>
        <w:t>&lt;mxGraphModel&gt;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 xml:space="preserve">    &lt;mxCell id="0"/&gt;</w:t>
      </w:r>
    </w:p>
    <w:p>
      <w:pPr>
        <w:spacing w:before="0" w:after="0"/>
        <w:ind w:left="283"/>
      </w:pPr>
      <w:r>
        <w:rPr>
          <w:rFonts w:ascii="Courier New" w:hAnsi="Courier New"/>
          <w:color w:val="2D2D2D"/>
          <w:sz w:val="16"/>
        </w:rPr>
        <w:t xml:space="preserve">    &lt;mxCell id="1" parent="0"/&gt;</w:t>
      </w:r>
    </w:p>
    <w:p>
      <w:pPr>
        <w:spacing w:before="0" w:after="0"/>
        <w:ind w:left="283"/>
      </w:pPr>
      <w:r>
        <w:rPr>
          <w:rFonts w:ascii="Courier New" w:hAnsi="Courier New"/>
          <w:color w:val="2D2D2D"/>
          <w:sz w:val="16"/>
        </w:rPr>
        <w:t xml:space="preserve">    &lt;!-- Tablas principales --&gt;</w:t>
      </w:r>
    </w:p>
    <w:p>
      <w:pPr>
        <w:spacing w:before="0" w:after="0"/>
        <w:ind w:left="283"/>
      </w:pPr>
      <w:r>
        <w:rPr>
          <w:rFonts w:ascii="Courier New" w:hAnsi="Courier New"/>
          <w:color w:val="2D2D2D"/>
          <w:sz w:val="16"/>
        </w:rPr>
        <w:t xml:space="preserve">    &lt;mxCell id="2" value="usuarios&amp;#xa;─────&amp;#xa;id, username, rol&amp;#xa;activo, ultimo_login" style="rounded=0;fillColor=#dae8fc;strokeColor=#6c8ebf;" vertex="1" parent="1"&gt;</w:t>
      </w:r>
    </w:p>
    <w:p>
      <w:pPr>
        <w:spacing w:before="0" w:after="0"/>
        <w:ind w:left="283"/>
      </w:pPr>
      <w:r>
        <w:rPr>
          <w:rFonts w:ascii="Courier New" w:hAnsi="Courier New"/>
          <w:color w:val="2D2D2D"/>
          <w:sz w:val="16"/>
        </w:rPr>
        <w:t xml:space="preserve">      &lt;mxGeometry x="20" y="20" width="160" height="90"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id="3" value="beneficiarios&amp;#xa;─────&amp;#xa;id, ruc_cedula, nombre&amp;#xa;tipo_cuenta, banco" style="rounded=0;fillColor=#d5e8d4;strokeColor=#82b366;" vertex="1" parent="1"&gt;</w:t>
      </w:r>
    </w:p>
    <w:p>
      <w:pPr>
        <w:spacing w:before="0" w:after="0"/>
        <w:ind w:left="283"/>
      </w:pPr>
      <w:r>
        <w:rPr>
          <w:rFonts w:ascii="Courier New" w:hAnsi="Courier New"/>
          <w:color w:val="2D2D2D"/>
          <w:sz w:val="16"/>
        </w:rPr>
        <w:t xml:space="preserve">      &lt;mxGeometry x="220" y="20" width="160" height="90"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id="4" value="ordenes_pago (PRINCIPAL)&amp;#xa;─────&amp;#xa;id, numero_orden, fecha&amp;#xa;beneficiario_id, detalle&amp;#xa;valor_planilla, liquido_pagar&amp;#xa;situacion (ACTIVO/ANULADO)" style="rounded=0;fillColor=#ffe6cc;strokeColor=#d6b656;" vertex="1" parent="1"&gt;</w:t>
      </w:r>
    </w:p>
    <w:p>
      <w:pPr>
        <w:spacing w:before="0" w:after="0"/>
        <w:ind w:left="283"/>
      </w:pPr>
      <w:r>
        <w:rPr>
          <w:rFonts w:ascii="Courier New" w:hAnsi="Courier New"/>
          <w:color w:val="2D2D2D"/>
          <w:sz w:val="16"/>
        </w:rPr>
        <w:t xml:space="preserve">      &lt;mxGeometry x="120" y="160" width="200" height="120"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id="5" value="ordenes_pago_retenciones&amp;#xa;─────&amp;#xa;tipo (IVA/IR), concepto&amp;#xa;base, porcentaje, valor" style="rounded=0;fillColor=#fff2cc;strokeColor=#d6b656;" vertex="1" parent="1"&gt;</w:t>
      </w:r>
    </w:p>
    <w:p>
      <w:pPr>
        <w:spacing w:before="0" w:after="0"/>
        <w:ind w:left="283"/>
      </w:pPr>
      <w:r>
        <w:rPr>
          <w:rFonts w:ascii="Courier New" w:hAnsi="Courier New"/>
          <w:color w:val="2D2D2D"/>
          <w:sz w:val="16"/>
        </w:rPr>
        <w:t xml:space="preserve">      &lt;mxGeometry x="360" y="160" width="170" height="90"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id="6" value="auditoria&amp;#xa;─────&amp;#xa;tabla, registro_id, accion&amp;#xa;datos_anteriores (JSONB)&amp;#xa;datos_nuevos (JSONB)" style="rounded=0;fillColor=#e1d5e7;strokeColor=#9673a6;" vertex="1" parent="1"&gt;</w:t>
      </w:r>
    </w:p>
    <w:p>
      <w:pPr>
        <w:spacing w:before="0" w:after="0"/>
        <w:ind w:left="283"/>
      </w:pPr>
      <w:r>
        <w:rPr>
          <w:rFonts w:ascii="Courier New" w:hAnsi="Courier New"/>
          <w:color w:val="2D2D2D"/>
          <w:sz w:val="16"/>
        </w:rPr>
        <w:t xml:space="preserve">      &lt;mxGeometry x="20" y="320" width="170" height="90"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id="7" value="configuracion&amp;#xa;─────&amp;#xa;clave, valor&amp;#xa;(IVA, firmantes, etc.)" style="rounded=0;fillColor=#f8cecc;strokeColor=#b85450;" vertex="1" parent="1"&gt;</w:t>
      </w:r>
    </w:p>
    <w:p>
      <w:pPr>
        <w:spacing w:before="0" w:after="0"/>
        <w:ind w:left="283"/>
      </w:pPr>
      <w:r>
        <w:rPr>
          <w:rFonts w:ascii="Courier New" w:hAnsi="Courier New"/>
          <w:color w:val="2D2D2D"/>
          <w:sz w:val="16"/>
        </w:rPr>
        <w:t xml:space="preserve">      &lt;mxGeometry x="360" y="320" width="170"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id="8" value="firmantes&amp;#xa;─────&amp;#xa;cargo, nombre, orden" style="rounded=0;fillColor=#f5f5f5;strokeColor=#666;" vertex="1" parent="1"&gt;</w:t>
      </w:r>
    </w:p>
    <w:p>
      <w:pPr>
        <w:spacing w:before="0" w:after="0"/>
        <w:ind w:left="283"/>
      </w:pPr>
      <w:r>
        <w:rPr>
          <w:rFonts w:ascii="Courier New" w:hAnsi="Courier New"/>
          <w:color w:val="2D2D2D"/>
          <w:sz w:val="16"/>
        </w:rPr>
        <w:t xml:space="preserve">      &lt;mxGeometry x="220" y="320" width="130" height="80"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 Relaciones --&gt;</w:t>
      </w:r>
    </w:p>
    <w:p>
      <w:pPr>
        <w:spacing w:before="0" w:after="0"/>
        <w:ind w:left="283"/>
      </w:pPr>
      <w:r>
        <w:rPr>
          <w:rFonts w:ascii="Courier New" w:hAnsi="Courier New"/>
          <w:color w:val="2D2D2D"/>
          <w:sz w:val="16"/>
        </w:rPr>
        <w:t xml:space="preserve">    &lt;mxCell id="20" edge="1" source="3" target="4" label="1:N" parent="1"&gt;&lt;mxGeometry relative="1" as="geometry"/&gt;&lt;/mxCell&gt;</w:t>
      </w:r>
    </w:p>
    <w:p>
      <w:pPr>
        <w:spacing w:before="0" w:after="0"/>
        <w:ind w:left="283"/>
      </w:pPr>
      <w:r>
        <w:rPr>
          <w:rFonts w:ascii="Courier New" w:hAnsi="Courier New"/>
          <w:color w:val="2D2D2D"/>
          <w:sz w:val="16"/>
        </w:rPr>
        <w:t xml:space="preserve">    &lt;mxCell id="21" edge="1" source="4" target="5" label="1:N" parent="1"&gt;&lt;mxGeometry relative="1" as="geometry"/&gt;&lt;/mxCell&gt;</w:t>
      </w:r>
    </w:p>
    <w:p>
      <w:pPr>
        <w:spacing w:before="0" w:after="0"/>
        <w:ind w:left="283"/>
      </w:pPr>
      <w:r>
        <w:rPr>
          <w:rFonts w:ascii="Courier New" w:hAnsi="Courier New"/>
          <w:color w:val="2D2D2D"/>
          <w:sz w:val="16"/>
        </w:rPr>
        <w:t xml:space="preserve">    &lt;mxCell id="22" edge="1" source="2" target="4" label="crea/modifica" parent="1"&gt;&lt;mxGeometry relative="1" as="geometry"/&gt;&lt;/mxCell&gt;</w:t>
      </w:r>
    </w:p>
    <w:p>
      <w:pPr>
        <w:spacing w:before="0" w:after="0"/>
        <w:ind w:left="283"/>
      </w:pPr>
      <w:r>
        <w:rPr>
          <w:rFonts w:ascii="Courier New" w:hAnsi="Courier New"/>
          <w:color w:val="2D2D2D"/>
          <w:sz w:val="16"/>
        </w:rPr>
        <w:t xml:space="preserve">    &lt;mxCell id="23" edge="1" source="4" target="6" label="registra" parent="1"&gt;&lt;mxGeometry relative="1" as="geometry"/&gt;&lt;/mxCell&gt;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&lt;/mxGraphModel&gt;</w:t>
      </w:r>
    </w:p>
    <w:p>
      <w:pPr>
        <w:spacing w:after="120"/>
      </w:pPr>
    </w:p>
    <w:p>
      <w:pPr>
        <w:spacing w:before="240" w:after="80"/>
      </w:pPr>
      <w:r>
        <w:rPr>
          <w:b/>
          <w:color w:val="1A6B3C"/>
          <w:sz w:val="28"/>
        </w:rPr>
        <w:t>Figura 4 — Flujo de una Orden de Pago</w:t>
      </w:r>
    </w:p>
    <w:p>
      <w:pPr>
        <w:spacing w:after="120"/>
        <w:ind w:left="0"/>
        <w:jc w:val="both"/>
      </w:pPr>
      <w:r>
        <w:rPr>
          <w:color w:val="1C1C1C"/>
          <w:sz w:val="22"/>
        </w:rPr>
        <w:t>Diagrama de flujo que muestra el ciclo de vida de una orden de pago desde el login del funcionario hasta el registro en auditoría, pasando por la creación, cálculo de retenciones, guardado y opcional exportación a PDF o Word.</w:t>
      </w:r>
    </w:p>
    <w:p>
      <w:pPr>
        <w:spacing w:before="0" w:after="0"/>
        <w:ind w:left="283"/>
      </w:pPr>
      <w:r>
        <w:rPr>
          <w:rFonts w:ascii="Courier New" w:hAnsi="Courier New"/>
          <w:color w:val="2D2D2D"/>
          <w:sz w:val="16"/>
        </w:rPr>
        <w:t>&lt;mxGraphModel&gt;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 xml:space="preserve">    &lt;mxCell id="0"/&gt;</w:t>
      </w:r>
    </w:p>
    <w:p>
      <w:pPr>
        <w:spacing w:before="0" w:after="0"/>
        <w:ind w:left="283"/>
      </w:pPr>
      <w:r>
        <w:rPr>
          <w:rFonts w:ascii="Courier New" w:hAnsi="Courier New"/>
          <w:color w:val="2D2D2D"/>
          <w:sz w:val="16"/>
        </w:rPr>
        <w:t xml:space="preserve">    &lt;mxCell id="1" parent="0"/&gt;</w:t>
      </w:r>
    </w:p>
    <w:p>
      <w:pPr>
        <w:spacing w:before="0" w:after="0"/>
        <w:ind w:left="283"/>
      </w:pPr>
      <w:r>
        <w:rPr>
          <w:rFonts w:ascii="Courier New" w:hAnsi="Courier New"/>
          <w:color w:val="2D2D2D"/>
          <w:sz w:val="16"/>
        </w:rPr>
        <w:t xml:space="preserve">    &lt;mxCell id="2" value="Inicio" style="ellipse;fillColor=#d5e8d4;strokeColor=#82b366;" vertex="1" parent="1"&gt;</w:t>
      </w:r>
    </w:p>
    <w:p>
      <w:pPr>
        <w:spacing w:before="0" w:after="0"/>
        <w:ind w:left="283"/>
      </w:pPr>
      <w:r>
        <w:rPr>
          <w:rFonts w:ascii="Courier New" w:hAnsi="Courier New"/>
          <w:color w:val="2D2D2D"/>
          <w:sz w:val="16"/>
        </w:rPr>
        <w:t xml:space="preserve">      &lt;mxGeometry x="160" y="20" width="80" height="40"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id="3" value="Ingreso al sistema&amp;#xa;(Login con JWT)" style="rounded=1;fillColor=#dae8fc;strokeColor=#6c8ebf;" vertex="1" parent="1"&gt;</w:t>
      </w:r>
    </w:p>
    <w:p>
      <w:pPr>
        <w:spacing w:before="0" w:after="0"/>
        <w:ind w:left="283"/>
      </w:pPr>
      <w:r>
        <w:rPr>
          <w:rFonts w:ascii="Courier New" w:hAnsi="Courier New"/>
          <w:color w:val="2D2D2D"/>
          <w:sz w:val="16"/>
        </w:rPr>
        <w:t xml:space="preserve">      &lt;mxGeometry x="140" y="90"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id="4" value="Crear Nueva&amp;#xa;Orden de Pago" style="rounded=1;fillColor=#ffe6cc;strokeColor=#d6b656;" vertex="1" parent="1"&gt;</w:t>
      </w:r>
    </w:p>
    <w:p>
      <w:pPr>
        <w:spacing w:before="0" w:after="0"/>
        <w:ind w:left="283"/>
      </w:pPr>
      <w:r>
        <w:rPr>
          <w:rFonts w:ascii="Courier New" w:hAnsi="Courier New"/>
          <w:color w:val="2D2D2D"/>
          <w:sz w:val="16"/>
        </w:rPr>
        <w:t xml:space="preserve">      &lt;mxGeometry x="140" y="170"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id="5" value="Autocompletar&amp;#xa;Beneficiario" style="rounded=1;fillColor=#e1d5e7;strokeColor=#9673a6;" vertex="1" parent="1"&gt;</w:t>
      </w:r>
    </w:p>
    <w:p>
      <w:pPr>
        <w:spacing w:before="0" w:after="0"/>
        <w:ind w:left="283"/>
      </w:pPr>
      <w:r>
        <w:rPr>
          <w:rFonts w:ascii="Courier New" w:hAnsi="Courier New"/>
          <w:color w:val="2D2D2D"/>
          <w:sz w:val="16"/>
        </w:rPr>
        <w:t xml:space="preserve">      &lt;mxGeometry x="140" y="250"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id="6" value="Calcular retenciones&amp;#xa;IVA / IR" style="rounded=1;fillColor=#fff2cc;strokeColor=#d6b656;" vertex="1" parent="1"&gt;</w:t>
      </w:r>
    </w:p>
    <w:p>
      <w:pPr>
        <w:spacing w:before="0" w:after="0"/>
        <w:ind w:left="283"/>
      </w:pPr>
      <w:r>
        <w:rPr>
          <w:rFonts w:ascii="Courier New" w:hAnsi="Courier New"/>
          <w:color w:val="2D2D2D"/>
          <w:sz w:val="16"/>
        </w:rPr>
        <w:t xml:space="preserve">      &lt;mxGeometry x="140" y="330"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id="7" value="Guardar Orden" style="rounded=1;fillColor=#d5e8d4;strokeColor=#82b366;" vertex="1" parent="1"&gt;</w:t>
      </w:r>
    </w:p>
    <w:p>
      <w:pPr>
        <w:spacing w:before="0" w:after="0"/>
        <w:ind w:left="283"/>
      </w:pPr>
      <w:r>
        <w:rPr>
          <w:rFonts w:ascii="Courier New" w:hAnsi="Courier New"/>
          <w:color w:val="2D2D2D"/>
          <w:sz w:val="16"/>
        </w:rPr>
        <w:t xml:space="preserve">      &lt;mxGeometry x="140" y="410"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id="8" value="¿Generar&amp;#xa;Comprobante?" style="rhombus;fillColor=#f8cecc;strokeColor=#b85450;" vertex="1" parent="1"&gt;</w:t>
      </w:r>
    </w:p>
    <w:p>
      <w:pPr>
        <w:spacing w:before="0" w:after="0"/>
        <w:ind w:left="283"/>
      </w:pPr>
      <w:r>
        <w:rPr>
          <w:rFonts w:ascii="Courier New" w:hAnsi="Courier New"/>
          <w:color w:val="2D2D2D"/>
          <w:sz w:val="16"/>
        </w:rPr>
        <w:t xml:space="preserve">      &lt;mxGeometry x="130" y="490" width="140" height="60"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id="9" value="Exportar PDF&amp;#xa;o Word" style="rounded=1;fillColor=#f8cecc;strokeColor=#b85450;" vertex="1" parent="1"&gt;</w:t>
      </w:r>
    </w:p>
    <w:p>
      <w:pPr>
        <w:spacing w:before="0" w:after="0"/>
        <w:ind w:left="283"/>
      </w:pPr>
      <w:r>
        <w:rPr>
          <w:rFonts w:ascii="Courier New" w:hAnsi="Courier New"/>
          <w:color w:val="2D2D2D"/>
          <w:sz w:val="16"/>
        </w:rPr>
        <w:t xml:space="preserve">      &lt;mxGeometry x="310" y="497"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id="10" value="Registro en&amp;#xa;Auditoría" style="rounded=1;fillColor=#e1d5e7;strokeColor=#9673a6;" vertex="1" parent="1"&gt;</w:t>
      </w:r>
    </w:p>
    <w:p>
      <w:pPr>
        <w:spacing w:before="0" w:after="0"/>
        <w:ind w:left="283"/>
      </w:pPr>
      <w:r>
        <w:rPr>
          <w:rFonts w:ascii="Courier New" w:hAnsi="Courier New"/>
          <w:color w:val="2D2D2D"/>
          <w:sz w:val="16"/>
        </w:rPr>
        <w:t xml:space="preserve">      &lt;mxGeometry x="140" y="580" width="120" height="50"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id="11" value="Fin" style="ellipse;fillColor=#d5e8d4;strokeColor=#82b366;" vertex="1" parent="1"&gt;</w:t>
      </w:r>
    </w:p>
    <w:p>
      <w:pPr>
        <w:spacing w:before="0" w:after="0"/>
        <w:ind w:left="283"/>
      </w:pPr>
      <w:r>
        <w:rPr>
          <w:rFonts w:ascii="Courier New" w:hAnsi="Courier New"/>
          <w:color w:val="2D2D2D"/>
          <w:sz w:val="16"/>
        </w:rPr>
        <w:t xml:space="preserve">      &lt;mxGeometry x="160" y="660" width="80" height="40" as="geometry"/&gt;</w:t>
      </w:r>
    </w:p>
    <w:p>
      <w:pPr>
        <w:spacing w:before="0" w:after="0"/>
        <w:ind w:left="283"/>
      </w:pPr>
      <w:r>
        <w:rPr>
          <w:rFonts w:ascii="Courier New" w:hAnsi="Courier New"/>
          <w:color w:val="2D2D2D"/>
          <w:sz w:val="16"/>
        </w:rPr>
        <w:t xml:space="preserve">    &lt;/mxCell&gt;</w:t>
      </w:r>
    </w:p>
    <w:p>
      <w:pPr>
        <w:spacing w:before="0" w:after="0"/>
        <w:ind w:left="283"/>
      </w:pPr>
      <w:r>
        <w:rPr>
          <w:rFonts w:ascii="Courier New" w:hAnsi="Courier New"/>
          <w:color w:val="2D2D2D"/>
          <w:sz w:val="16"/>
        </w:rPr>
        <w:t xml:space="preserve">    &lt;mxCell id="20" edge="1" source="2"  target="3"  parent="1"&gt;&lt;mxGeometry relative="1" as="geometry"/&gt;&lt;/mxCell&gt;</w:t>
      </w:r>
    </w:p>
    <w:p>
      <w:pPr>
        <w:spacing w:before="0" w:after="0"/>
        <w:ind w:left="283"/>
      </w:pPr>
      <w:r>
        <w:rPr>
          <w:rFonts w:ascii="Courier New" w:hAnsi="Courier New"/>
          <w:color w:val="2D2D2D"/>
          <w:sz w:val="16"/>
        </w:rPr>
        <w:t xml:space="preserve">    &lt;mxCell id="21" edge="1" source="3"  target="4"  parent="1"&gt;&lt;mxGeometry relative="1" as="geometry"/&gt;&lt;/mxCell&gt;</w:t>
      </w:r>
    </w:p>
    <w:p>
      <w:pPr>
        <w:spacing w:before="0" w:after="0"/>
        <w:ind w:left="283"/>
      </w:pPr>
      <w:r>
        <w:rPr>
          <w:rFonts w:ascii="Courier New" w:hAnsi="Courier New"/>
          <w:color w:val="2D2D2D"/>
          <w:sz w:val="16"/>
        </w:rPr>
        <w:t xml:space="preserve">    &lt;mxCell id="22" edge="1" source="4"  target="5"  parent="1"&gt;&lt;mxGeometry relative="1" as="geometry"/&gt;&lt;/mxCell&gt;</w:t>
      </w:r>
    </w:p>
    <w:p>
      <w:pPr>
        <w:spacing w:before="0" w:after="0"/>
        <w:ind w:left="283"/>
      </w:pPr>
      <w:r>
        <w:rPr>
          <w:rFonts w:ascii="Courier New" w:hAnsi="Courier New"/>
          <w:color w:val="2D2D2D"/>
          <w:sz w:val="16"/>
        </w:rPr>
        <w:t xml:space="preserve">    &lt;mxCell id="23" edge="1" source="5"  target="6"  parent="1"&gt;&lt;mxGeometry relative="1" as="geometry"/&gt;&lt;/mxCell&gt;</w:t>
      </w:r>
    </w:p>
    <w:p>
      <w:pPr>
        <w:spacing w:before="0" w:after="0"/>
        <w:ind w:left="283"/>
      </w:pPr>
      <w:r>
        <w:rPr>
          <w:rFonts w:ascii="Courier New" w:hAnsi="Courier New"/>
          <w:color w:val="2D2D2D"/>
          <w:sz w:val="16"/>
        </w:rPr>
        <w:t xml:space="preserve">    &lt;mxCell id="24" edge="1" source="6"  target="7"  parent="1"&gt;&lt;mxGeometry relative="1" as="geometry"/&gt;&lt;/mxCell&gt;</w:t>
      </w:r>
    </w:p>
    <w:p>
      <w:pPr>
        <w:spacing w:before="0" w:after="0"/>
        <w:ind w:left="283"/>
      </w:pPr>
      <w:r>
        <w:rPr>
          <w:rFonts w:ascii="Courier New" w:hAnsi="Courier New"/>
          <w:color w:val="2D2D2D"/>
          <w:sz w:val="16"/>
        </w:rPr>
        <w:t xml:space="preserve">    &lt;mxCell id="25" edge="1" source="7"  target="8"  parent="1"&gt;&lt;mxGeometry relative="1" as="geometry"/&gt;&lt;/mxCell&gt;</w:t>
      </w:r>
    </w:p>
    <w:p>
      <w:pPr>
        <w:spacing w:before="0" w:after="0"/>
        <w:ind w:left="283"/>
      </w:pPr>
      <w:r>
        <w:rPr>
          <w:rFonts w:ascii="Courier New" w:hAnsi="Courier New"/>
          <w:color w:val="2D2D2D"/>
          <w:sz w:val="16"/>
        </w:rPr>
        <w:t xml:space="preserve">    &lt;mxCell id="26" edge="1" source="8"  target="9"  label="Sí" parent="1"&gt;&lt;mxGeometry relative="1" as="geometry"/&gt;&lt;/mxCell&gt;</w:t>
      </w:r>
    </w:p>
    <w:p>
      <w:pPr>
        <w:spacing w:before="0" w:after="0"/>
        <w:ind w:left="283"/>
      </w:pPr>
      <w:r>
        <w:rPr>
          <w:rFonts w:ascii="Courier New" w:hAnsi="Courier New"/>
          <w:color w:val="2D2D2D"/>
          <w:sz w:val="16"/>
        </w:rPr>
        <w:t xml:space="preserve">    &lt;mxCell id="27" edge="1" source="8"  target="10" label="No" parent="1"&gt;&lt;mxGeometry relative="1" as="geometry"/&gt;&lt;/mxCell&gt;</w:t>
      </w:r>
    </w:p>
    <w:p>
      <w:pPr>
        <w:spacing w:before="0" w:after="0"/>
        <w:ind w:left="283"/>
      </w:pPr>
      <w:r>
        <w:rPr>
          <w:rFonts w:ascii="Courier New" w:hAnsi="Courier New"/>
          <w:color w:val="2D2D2D"/>
          <w:sz w:val="16"/>
        </w:rPr>
        <w:t xml:space="preserve">    &lt;mxCell id="28" edge="1" source="9"  target="10" parent="1"&gt;&lt;mxGeometry relative="1" as="geometry"/&gt;&lt;/mxCell&gt;</w:t>
      </w:r>
    </w:p>
    <w:p>
      <w:pPr>
        <w:spacing w:before="0" w:after="0"/>
        <w:ind w:left="283"/>
      </w:pPr>
      <w:r>
        <w:rPr>
          <w:rFonts w:ascii="Courier New" w:hAnsi="Courier New"/>
          <w:color w:val="2D2D2D"/>
          <w:sz w:val="16"/>
        </w:rPr>
        <w:t xml:space="preserve">    &lt;mxCell id="29" edge="1" source="10" target="11" parent="1"&gt;&lt;mxGeometry relative="1" as="geometry"/&gt;&lt;/mxCell&gt;</w:t>
      </w:r>
    </w:p>
    <w:p>
      <w:pPr>
        <w:spacing w:before="0" w:after="0"/>
        <w:ind w:left="283"/>
      </w:pPr>
      <w:r>
        <w:rPr>
          <w:rFonts w:ascii="Courier New" w:hAnsi="Courier New"/>
          <w:color w:val="2D2D2D"/>
          <w:sz w:val="16"/>
        </w:rPr>
        <w:t xml:space="preserve">  &lt;/root&gt;</w:t>
      </w:r>
    </w:p>
    <w:p>
      <w:pPr>
        <w:spacing w:before="0" w:after="0"/>
        <w:ind w:left="283"/>
      </w:pPr>
      <w:r>
        <w:rPr>
          <w:rFonts w:ascii="Courier New" w:hAnsi="Courier New"/>
          <w:color w:val="2D2D2D"/>
          <w:sz w:val="16"/>
        </w:rPr>
        <w:t>&lt;/mxGraphModel&gt;</w:t>
      </w:r>
    </w:p>
    <w:p>
      <w:pPr>
        <w:spacing w:after="120"/>
      </w:pPr>
    </w:p>
    <w:p>
      <w:r>
        <w:br w:type="page"/>
      </w:r>
    </w:p>
    <w:p>
      <w:pPr>
        <w:jc w:val="center"/>
      </w:pPr>
      <w:r>
        <w:rPr>
          <w:i/>
          <w:color w:val="808080"/>
          <w:sz w:val="20"/>
        </w:rPr>
        <w:t>── Informe elaborado por la Unidad de Tecnologías de la Información ──</w:t>
        <w:br/>
        <w:t>GAD Municipal de Chunchi  |  Abril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