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c7a3c"/>
          <w:sz w:val="18"/>
          <w:szCs w:val="18"/>
          <w:rtl w:val="0"/>
        </w:rPr>
        <w:t xml:space="preserve">ONWRD ADVISORS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40"/>
          <w:szCs w:val="40"/>
          <w:rtl w:val="0"/>
        </w:rPr>
        <w:t xml:space="preserve">Proposal Intake Form — Review &amp; Tender Selection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0"/>
          <w:szCs w:val="20"/>
          <w:rtl w:val="0"/>
        </w:rPr>
        <w:t xml:space="preserve">Prepared for Royann Dean · 24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b2a4a" w:space="4" w:sz="6" w:val="single"/>
        </w:pBd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30"/>
          <w:szCs w:val="30"/>
          <w:rtl w:val="0"/>
        </w:rPr>
        <w:t xml:space="preserve">Part 1 — Intake Form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3a3a3a"/>
          <w:sz w:val="21"/>
          <w:szCs w:val="21"/>
          <w:rtl w:val="0"/>
        </w:rPr>
        <w:t xml:space="preserve">The form at proposals.onwrdadvisors.com/intake is well-structured: four logical sections, a clean single-column layout, and a dark, minimal aesthetic that fits ONWRD's positioning. The gaps are less about design and more about friction — the things that make a busy executive, government contact, or hotel GM abandon a form rather than finish it. Ten fixes below, ranked by impact.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00"/>
        <w:gridCol w:w="3650"/>
        <w:tblGridChange w:id="0">
          <w:tblGrid>
            <w:gridCol w:w="2500"/>
            <w:gridCol w:w="3200"/>
            <w:gridCol w:w="365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Current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costs completions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Recommended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No progress indicator or time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Visitors can't gauge length; a 4-section form with 25+ fields feels open-ended, which drives abandonment — especially from mobile, tender-site referrals.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Add a persistent header: “~3 minutes · Step 2 of 4” with a slim progress 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“Project brief” is a required blank textarea, 0-char counter, no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 blank box with a character counter reads as homework. Busy decision-makers (government, hospitality, multilateral) stall here or abandon rather than write a brief from scratch.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Add guided placeholder text (“Tell us about your goals, timeline, and any constraints”). Make it optional if a document is uploaded, and offer a third path: “I'd rather explain this on a call.”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Job title required at first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Asking for seniority before any value has been shown adds friction on what is, functionally, a cold lead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Make optional. Capture it later via CRM enrichment or the discovery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Inputs are bottom-border-only on a black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Weak visual affordance and tap-target clarity on mobile; borderline WCAG contrast for placeholder and helper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Give fields a full outline or subtle fill and a visible focus state; verify contrast ratios meet WCAG AA.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No credibility signals on the form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 first-time visitor arriving from a tender portal has no idea this is the agency behind Heineken, FIFA, Baha Mar, Rosewood, Aman, or IDB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Add a slim strip above the form: client wordmarks or a single credibility line (“Trusted by global hospitality, sport, and development brands.”)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No confirmation of what happens after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Uncertainty about response time is a known drop-off trigger on longer forms.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Add microcopy near the button: “We review every submission personally and respond within 2 business days.”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CTA simply says “Submit”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Generic language undersells the outcome and misses a final trust/motivation beat.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Change to “Request My Proposal” or “Get My Tailored Proposal.”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No autosave or resume-later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This is a long, single-scroll form. An interruption (a call, a meeting) means starting over — a real risk for the busy executives this form targets.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Add local autosave and a “email me a link to finish this later”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Dense multi-select lists (7–8 options) with no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Long unweighted checklists increase cognitive load and time-on-task without improving data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Group into 2–3 clusters or trim to the most common 4–5 plus “Other,” with the full list available 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No data-privacy assurance near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Government and multilateral leads (a meaningful share of ONWRD's pipeline) are compliance-sensitive about where information goes.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Add a one-line note with a link: “Your information is kept confidential and used only to prepare your proposal.”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a3a3a"/>
          <w:sz w:val="21"/>
          <w:szCs w:val="21"/>
          <w:rtl w:val="0"/>
        </w:rPr>
        <w:t xml:space="preserve">Two changes would do most of the work if you only have bandwidth for a first pass: adding a progress indicator, and turning the project brief field from a blank homework assignment into a guided, optional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b2a4a" w:space="4" w:sz="6" w:val="single"/>
        </w:pBd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30"/>
          <w:szCs w:val="30"/>
          <w:rtl w:val="0"/>
        </w:rPr>
        <w:t xml:space="preserve">Part 2 — Criteria for Selecting Tender &amp; RFP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3a3a3a"/>
          <w:sz w:val="21"/>
          <w:szCs w:val="21"/>
          <w:rtl w:val="0"/>
        </w:rPr>
        <w:t xml:space="preserve">Not every open tender is worth ONWRD's time. The framework below scores opportunities across six weighted criteria so that pursuit decisions are consistent rather than reactive — particularly important given how much relationship and reputation weigh into Caribbean business development, as distinct from pure lowest-bid procurement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c7a3c"/>
          <w:sz w:val="24"/>
          <w:szCs w:val="24"/>
          <w:rtl w:val="0"/>
        </w:rPr>
        <w:t xml:space="preserve">Scoring framework (rate each 1–5, multiply by weight, sum to 100)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200"/>
        <w:gridCol w:w="5550"/>
        <w:tblGridChange w:id="0">
          <w:tblGrid>
            <w:gridCol w:w="2600"/>
            <w:gridCol w:w="1200"/>
            <w:gridCol w:w="555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“good”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Strategic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Aligns with ONWRD's core sectors (hospitality &amp; tourism, brand strategy, development/multilateral, Caribbean &amp; LatAm markets) and strengthens positioning rather than diluting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Financial 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Contract value clears your minimum threshold; payment terms, currency, and (for government tenders) payment history are acceptable.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Win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Realistic shot given the procurement structure, likely competitors, and whether ONWRD has an existing relationship or incumbent advantage.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Capacity &amp; resourcing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Deliverable within the timeline without compromising current client commitments; required expertise exists in-house or through a trusted partner.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Reputational &amp; relationship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Client name, sector visibility, or regional standing builds ONWRD's brand and opens follow-on work — weighted deliberately given how much reputation and relationships matter in the Caribbean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Risk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Scope is clearly defined; IP, liability, and termination terms are reasonable; political or bureaucratic risk (common in public-sector tenders) is manageable.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c7a3c"/>
          <w:sz w:val="24"/>
          <w:szCs w:val="24"/>
          <w:rtl w:val="0"/>
        </w:rPr>
        <w:t xml:space="preserve">Go / no-go thresholds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5350"/>
        <w:tblGridChange w:id="0">
          <w:tblGrid>
            <w:gridCol w:w="1800"/>
            <w:gridCol w:w="2200"/>
            <w:gridCol w:w="535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75–100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Pursue actively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Assign a lead, build a tailored proposal, prioritize the relationship.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55–74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Pursue selectively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Qualify further before committing real time — a short call or clarifying questions to the issuer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Below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3a3a"/>
                <w:sz w:val="19"/>
                <w:szCs w:val="19"/>
                <w:rtl w:val="0"/>
              </w:rPr>
              <w:t xml:space="preserve">Decline or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3a3a"/>
                <w:sz w:val="19"/>
                <w:szCs w:val="19"/>
                <w:rtl w:val="0"/>
              </w:rPr>
              <w:t xml:space="preserve">Pass, or note for a future cycle if the relationship still has long-term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c7a3c"/>
          <w:sz w:val="24"/>
          <w:szCs w:val="24"/>
          <w:rtl w:val="0"/>
        </w:rPr>
        <w:t xml:space="preserve">Automatic red flags — decline regardless of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1"/>
          <w:szCs w:val="21"/>
          <w:u w:val="none"/>
          <w:shd w:fill="auto" w:val="clear"/>
          <w:vertAlign w:val="baseline"/>
          <w:rtl w:val="0"/>
        </w:rPr>
        <w:t xml:space="preserve">No budget disclosed and the issuer won't provide a range 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1"/>
          <w:szCs w:val="21"/>
          <w:u w:val="none"/>
          <w:shd w:fill="auto" w:val="clear"/>
          <w:vertAlign w:val="baseline"/>
          <w:rtl w:val="0"/>
        </w:rPr>
        <w:t xml:space="preserve">Payment terms beyond 90 days, or a history of late payment (common with some public-sector issuers — worth a discreet reference 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1"/>
          <w:szCs w:val="21"/>
          <w:u w:val="none"/>
          <w:shd w:fill="auto" w:val="clear"/>
          <w:vertAlign w:val="baseline"/>
          <w:rtl w:val="0"/>
        </w:rPr>
        <w:t xml:space="preserve">Scope requires exclusivity that would conflict with an existing ONWRD client (e.g., a competing hotel brand or destination).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1"/>
          <w:szCs w:val="21"/>
          <w:u w:val="none"/>
          <w:shd w:fill="auto" w:val="clear"/>
          <w:vertAlign w:val="baseline"/>
          <w:rtl w:val="0"/>
        </w:rPr>
        <w:t xml:space="preserve">Timeline is not credible for the scope (e.g., a full rebrand in under two weeks).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1"/>
          <w:szCs w:val="21"/>
          <w:u w:val="none"/>
          <w:shd w:fill="auto" w:val="clear"/>
          <w:vertAlign w:val="baseline"/>
          <w:rtl w:val="0"/>
        </w:rPr>
        <w:t xml:space="preserve">Requirement for local incorporation or a joint venture with no partner already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a3a3a"/>
          <w:sz w:val="21"/>
          <w:szCs w:val="21"/>
          <w:u w:val="none"/>
          <w:shd w:fill="auto" w:val="clear"/>
          <w:vertAlign w:val="baseline"/>
          <w:rtl w:val="0"/>
        </w:rPr>
        <w:t xml:space="preserve">Tender language suggests the outcome is pre-decided and the process is a formality to satisfy procurement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c7a3c"/>
          <w:sz w:val="24"/>
          <w:szCs w:val="24"/>
          <w:rtl w:val="0"/>
        </w:rPr>
        <w:t xml:space="preserve">A note on relationship-weighted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3a3a3a"/>
          <w:sz w:val="21"/>
          <w:szCs w:val="21"/>
          <w:rtl w:val="0"/>
        </w:rPr>
        <w:t xml:space="preserve">In markets where procurement is transparent and price-driven, financial viability and win probability tend to dominate. In the Caribbean, reputational and relationship value often deserves equal or greater weight — a modestly-scoped project with a well-regarded government agency, hotel group, or development institution can be worth more to ONWRD's positioning over three years than a larger one-off engagement with no relationship equity. The framework above reflects that by weighting reputational value on par with win probability and capacity.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