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Step 5d - PERMANOVA: Summary Tables</w:t>
      </w:r>
    </w:p>
    <w:p>
      <w:pPr>
        <w:pStyle w:val="Normal"/>
      </w:pPr>
      <w:r>
        <w:t xml:space="preserve">PERMANOVA on 16 PC scores (16 PCs, 81.7% cumulative variance). n = 6717 municipalities. 999 permutations. Euclidean distance. Bonferroni alpha = 0.0083.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1. Global PERMANOVA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Global PERMANOVA results. Input: 16 PC scores (81.7% cumulative variance). 4 behavioural groups. Euclidean distance.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4"/>
        <w:gridCol w:w="866"/>
        <w:gridCol w:w="699"/>
        <w:gridCol w:w="968"/>
        <w:gridCol w:w="1069"/>
        <w:gridCol w:w="1014"/>
        <w:gridCol w:w="1513"/>
        <w:gridCol w:w="2133"/>
      </w:tblGrid>
      <w:tr>
        <w:trPr>
          <w:trHeight w:val="58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Subset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Permutations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6,717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226.696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Euclidean (PC scores)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Euclidean (PC scores)</w:t>
            </w:r>
          </w:p>
        </w:tc>
      </w:tr>
      <w:tr>
        <w:trPr>
          <w:trHeight w:val="58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3,880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176.519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Euclidean (PC scores)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2. Pairwise PERMANOVA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Pairwise PERMANOVA with Bonferroni correction (alpha = 0.0083, 6 comparisons). *** = significant after correction.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4"/>
        <w:gridCol w:w="1356"/>
        <w:gridCol w:w="1843"/>
        <w:gridCol w:w="866"/>
        <w:gridCol w:w="866"/>
        <w:gridCol w:w="968"/>
        <w:gridCol w:w="1069"/>
        <w:gridCol w:w="991"/>
        <w:gridCol w:w="1558"/>
        <w:gridCol w:w="709"/>
      </w:tblGrid>
      <w:tr>
        <w:trPr>
          <w:trHeight w:val="58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Subset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(raw)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(Bonferroni)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158.569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122.888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581.428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257.699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128.952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3. Betadisper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Homogeneity of multivariate dispersion (betadisper). Significant p &lt; 0.05 indicates heterogeneous within-group dispersion; interpret PERMANOVA results with caution.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4"/>
        <w:gridCol w:w="1843"/>
        <w:gridCol w:w="2705"/>
        <w:gridCol w:w="1540"/>
        <w:gridCol w:w="1014"/>
      </w:tblGrid>
      <w:tr>
        <w:trPr>
          <w:trHeight w:val="58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Subset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distance to centroid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 (betadisper)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4.4964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5.7175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4.9332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4.5937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4. Group centroids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Median PC scores by behavioural group and typology. Higher PC1 = more aged demographic profile.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6"/>
        <w:gridCol w:w="1953"/>
        <w:gridCol w:w="866"/>
        <w:gridCol w:w="1433"/>
        <w:gridCol w:w="1433"/>
        <w:gridCol w:w="1433"/>
        <w:gridCol w:w="1433"/>
        <w:gridCol w:w="1433"/>
        <w:gridCol w:w="1433"/>
      </w:tblGrid>
      <w:tr>
        <w:trPr>
          <w:trHeight w:val="58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tipo_goerlich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behavioural_group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median_PC6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Remoto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0.804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Remoto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0.376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Remoto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0.428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Remoto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0.420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Accesible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-4.678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Accesible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-0.458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Accesible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-0.138</w:t>
            </w:r>
          </w:p>
        </w:tc>
      </w:tr>
      <w:tr>
        <w:trPr>
          <w:trHeight w:val="56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Accesible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-0.406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2026-06-23T11:12:08Z</dcterms:modified>
  <cp:category/>
</cp:coreProperties>
</file>