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Step 5c — PCA: Summary Tables</w:t>
      </w:r>
    </w:p>
    <w:p>
      <w:pPr>
        <w:pStyle w:val="Normal"/>
      </w:pPr>
      <w:r>
        <w:t xml:space="preserve">PCA on 44 variables, 6717 rural municipalities (Rural-Remote + Rural-Accessible). PC1: 29.5% | PC2: 9.4% | PC3: 6.5%. PCs to 80% variance: 16.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1. Variance explained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Variance explained by principal components (PCA, n = 6717 municipalities, 44 variables). Highlighted row = first component reaching 80% cumulative variance.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0"/>
        <w:gridCol w:w="1290"/>
        <w:gridCol w:w="1430"/>
        <w:gridCol w:w="2373"/>
      </w:tblGrid>
      <w:tr>
        <w:trPr>
          <w:trHeight w:val="58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Eigenvalue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Variance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Cumulative variance (%)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29.48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38.84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45.35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50.11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54.62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58.62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61.82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64.56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67.18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69.53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71.78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73.99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76.00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77.98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79.86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F4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81.66</w:t>
            </w:r>
          </w:p>
        </w:tc>
      </w:tr>
      <w:tr>
        <w:trPr>
          <w:trHeight w:val="54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83.28</w:t>
            </w:r>
          </w:p>
        </w:tc>
      </w:tr>
      <w:tr>
        <w:trPr>
          <w:trHeight w:val="54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84.78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2"/>
      </w:pPr>
      <w:r>
        <w:t xml:space="preserve">Table 2. Variable loadings (PC1–PC3)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PCA variable loadings on PC1, PC2 and PC3 (sorted by |PC1|). PC1 = 29.5% variance; PC2 = 9.4%; PC3 = 6.5%. Values in red bold indicate |loading| &gt; 0.25.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29"/>
        <w:gridCol w:w="1643"/>
        <w:gridCol w:w="928"/>
        <w:gridCol w:w="928"/>
        <w:gridCol w:w="928"/>
      </w:tblGrid>
      <w:tr>
        <w:trPr>
          <w:trHeight w:val="54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Thematic 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-0.053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-0.141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0-14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-0.063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Men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-0.094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Men 0-14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Women 0-14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-0.063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15-29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Single-person HH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0.187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Non-primary 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Women 30-64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0.086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Women 15-29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-0.139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Dependency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-0.243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Women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-0.162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 schools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0.115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Preschool centres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Men 15-29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Ageing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-0.060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Altitude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Physical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0.190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to 5k-town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Pharmacies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-0.111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firms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Bank branches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0.125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to 20k-town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0.250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Self-employed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100Mbps coverage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-0.068</w:t>
            </w:r>
          </w:p>
        </w:tc>
      </w:tr>
      <w:tr>
        <w:trPr>
          <w:trHeight w:val="5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Density (hab/km2)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Physical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-0.111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Foreign nationals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30-64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0.267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pension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-0.131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Permanent contracts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Net income/household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-0.260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Men 30-64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0.235</w:t>
            </w:r>
          </w:p>
        </w:tc>
      </w:tr>
      <w:tr>
        <w:trPr>
          <w:trHeight w:val="5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Net income/person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-0.175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Forest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0.268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 (km2)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Physical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0.262</w:t>
            </w:r>
          </w:p>
        </w:tc>
      </w:tr>
      <w:tr>
        <w:trPr>
          <w:trHeight w:val="55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Protected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0.219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Unemployment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0.142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 care offices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P80/P20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</w:t>
            </w:r>
          </w:p>
        </w:tc>
      </w:tr>
      <w:tr>
        <w:trPr>
          <w:trHeight w:val="5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Tourist beds/100 pop.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0.157</w:t>
            </w:r>
          </w:p>
        </w:tc>
      </w:tr>
      <w:tr>
        <w:trPr>
          <w:trHeight w:val="5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Vehicles/100 pop.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</w:tr>
      <w:tr>
        <w:trPr>
          <w:trHeight w:val="54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Gini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2"/>
      </w:pPr>
      <w:r>
        <w:t xml:space="preserve">Table 3. Variable contributions (%)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Variable contributions (%) to PC1, PC2 and PC3. Sorted by contribution to PC1 (descending). Yellow rows = top 5 contributors to PC1.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29"/>
        <w:gridCol w:w="1499"/>
        <w:gridCol w:w="1046"/>
        <w:gridCol w:w="1046"/>
        <w:gridCol w:w="1046"/>
        <w:gridCol w:w="1066"/>
        <w:gridCol w:w="1066"/>
        <w:gridCol w:w="1066"/>
      </w:tblGrid>
      <w:tr>
        <w:trPr>
          <w:trHeight w:val="72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Loading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Loading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Loading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Contrib.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PC1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Contrib.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PC2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Contrib.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PC3 (%)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0-14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Men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Women 0-14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2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Men 0-14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15-29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Single-person HH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3.49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Non-primary 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4.27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Women 30-64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Women 15-29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1.92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Dependency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5.90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Women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 schools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Preschool centres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Men 15-29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Ageing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Altitude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Physical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3.61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to 5k-town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5.35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Pharmacies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Women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firms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Bank branches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1.56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to 20k-town (min)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6.27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Self-employed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100Mbps coverage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</w:tr>
      <w:tr>
        <w:trPr>
          <w:trHeight w:val="5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Density (hab/km2)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Physical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Foreign nationals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30-64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7.12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pension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Permanent contracts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Net income/household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6.75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Men 30-64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5.52</w:t>
            </w:r>
          </w:p>
        </w:tc>
      </w:tr>
      <w:tr>
        <w:trPr>
          <w:trHeight w:val="5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Net income/person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3.06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Forest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7.19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 (km2)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Physical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6.84</w:t>
            </w:r>
          </w:p>
        </w:tc>
      </w:tr>
      <w:tr>
        <w:trPr>
          <w:trHeight w:val="55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% Protected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Environment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4.78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Unemployment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2.03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Primary care offices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</w:t>
            </w:r>
          </w:p>
        </w:tc>
      </w:tr>
      <w:tr>
        <w:trPr>
          <w:trHeight w:val="58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P80/P20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</w:tr>
      <w:tr>
        <w:trPr>
          <w:trHeight w:val="54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Gini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Economic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</w:t>
            </w:r>
          </w:p>
        </w:tc>
      </w:tr>
      <w:tr>
        <w:trPr>
          <w:trHeight w:val="59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Vehicles/100 pop.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</w:tr>
      <w:tr>
        <w:trPr>
          <w:trHeight w:val="59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Tourist beds/100 pop.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2.46</w:t>
            </w:r>
          </w:p>
        </w:tc>
      </w:tr>
    </w:tbl>
    <w:p>
      <w:pPr>
        <w:pStyle w:val="Normal"/>
      </w:pPr>
      <w:r>
        <w:t xml:space="preserve"/>
      </w:r>
    </w:p>
    <w:p>
      <w:pPr/>
      <w:r>
        <w:br w:type="page"/>
      </w:r>
    </w:p>
    <w:p>
      <w:pPr>
        <w:pStyle w:val="Titre2"/>
      </w:pPr>
      <w:r>
        <w:t xml:space="preserve">Table 4. Median PC scores by group and typology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Median PC scores by behavioural group and typology (n = 6717 municipalities total). Higher PC1 = more aged socioeconomic profile.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3"/>
        <w:gridCol w:w="1734"/>
        <w:gridCol w:w="866"/>
        <w:gridCol w:w="1390"/>
        <w:gridCol w:w="1390"/>
        <w:gridCol w:w="1390"/>
      </w:tblGrid>
      <w:tr>
        <w:trPr>
          <w:trHeight w:val="58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Behavioural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Typology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PC1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PC2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 PC3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Dynamisers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Rural-Remote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Reverters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Rural-Remote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1.006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Loses in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Rural-Remote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0.792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Structural decline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Rural-Remote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0.574</w:t>
            </w:r>
          </w:p>
        </w:tc>
      </w:tr>
      <w:tr>
        <w:trPr>
          <w:trHeight w:val="5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Dynamisers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Rural-Accessible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-0.945</w:t>
            </w:r>
          </w:p>
        </w:tc>
      </w:tr>
      <w:tr>
        <w:trPr>
          <w:trHeight w:val="56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Reverters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Rural-Accessible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-0.358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Loses in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Rural-Accessible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-0.882</w:t>
            </w:r>
          </w:p>
        </w:tc>
      </w:tr>
      <w:tr>
        <w:trPr>
          <w:trHeight w:val="56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Structural decline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Rural-Accessible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1,697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-0.563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2026-06-01T14:55:01Z</dcterms:modified>
  <cp:category/>
</cp:coreProperties>
</file>