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Errores comunes en la comunicación del mentor</w:t>
      </w:r>
    </w:p>
    <w:p>
      <w:pPr>
        <w:pStyle w:val="BodyText"/>
        <w:bidi w:val="0"/>
        <w:jc w:val="start"/>
        <w:rPr/>
      </w:pPr>
      <w:r>
        <w:rPr/>
      </w:r>
    </w:p>
    <w:p>
      <w:pPr>
        <w:pStyle w:val="Heading2"/>
        <w:bidi w:val="0"/>
        <w:spacing w:lineRule="auto" w:line="276" w:before="0" w:after="140"/>
        <w:jc w:val="start"/>
        <w:rPr/>
      </w:pPr>
      <w:r>
        <w:rPr/>
        <w:t>1. Hablar más que escuchar</w:t>
      </w:r>
    </w:p>
    <w:p>
      <w:pPr>
        <w:pStyle w:val="BodyText"/>
        <w:bidi w:val="0"/>
        <w:jc w:val="start"/>
        <w:rPr/>
      </w:pPr>
      <w:r>
        <w:rPr/>
        <w:t>Muchos mentores caen en la trampa de dominar la conversación, compartiendo constantemente sus propias experiencias y opiniones sin dar espacio al mentorizado. Esto impide conocer las verdaderas necesidades, preocupaciones y perspectivas de quien necesita orientación. Una buena regla es la del 70/30: el mentorizado debe hablar el 70% del tiempo. Usa preguntas abiertas, practica el silencio activo y resiste la tentación de llenar cada pausa con tus propias historias.</w:t>
      </w:r>
    </w:p>
    <w:p>
      <w:pPr>
        <w:pStyle w:val="Lneahorizontaluser"/>
        <w:bidi w:val="0"/>
        <w:spacing w:lineRule="auto" w:line="276" w:before="0" w:after="140"/>
        <w:jc w:val="start"/>
        <w:rPr/>
      </w:pPr>
      <w:r>
        <w:rPr/>
      </w:r>
    </w:p>
    <w:p>
      <w:pPr>
        <w:pStyle w:val="Heading2"/>
        <w:bidi w:val="0"/>
        <w:spacing w:lineRule="auto" w:line="276" w:before="0" w:after="140"/>
        <w:jc w:val="start"/>
        <w:rPr/>
      </w:pPr>
      <w:r>
        <w:rPr/>
        <w:t>2. Ofrecer soluciones en lugar de hacer pensar</w:t>
      </w:r>
    </w:p>
    <w:p>
      <w:pPr>
        <w:pStyle w:val="BodyText"/>
        <w:bidi w:val="0"/>
        <w:jc w:val="start"/>
        <w:rPr/>
      </w:pPr>
      <w:r>
        <w:rPr/>
        <w:t>Es tentador dar respuestas directas y soluciones inmediatas cuando alguien comparte un problema. Frases como "Deberías hacer esto..." o "Lo que yo haría es..." pueden parecer útiles, pero en realidad privan al mentorizado de desarrollar su propio pensamiento crítico. En lugar de dar la respuesta, pregunta "¿Qué opciones has considerado?" o "¿Qué crees que podría funcionar en tu situación?". El verdadero aprendizaje ocurre cuando la persona llega a sus propias conclusiones con tu guía.</w:t>
      </w:r>
    </w:p>
    <w:p>
      <w:pPr>
        <w:pStyle w:val="Lneahorizontaluser"/>
        <w:bidi w:val="0"/>
        <w:spacing w:lineRule="auto" w:line="276" w:before="0" w:after="140"/>
        <w:jc w:val="start"/>
        <w:rPr/>
      </w:pPr>
      <w:r>
        <w:rPr/>
      </w:r>
    </w:p>
    <w:p>
      <w:pPr>
        <w:pStyle w:val="Heading2"/>
        <w:bidi w:val="0"/>
        <w:spacing w:lineRule="auto" w:line="276" w:before="0" w:after="140"/>
        <w:jc w:val="start"/>
        <w:rPr/>
      </w:pPr>
      <w:r>
        <w:rPr/>
        <w:t>3. Proyectar tu propia experiencia como la única válida</w:t>
      </w:r>
    </w:p>
    <w:p>
      <w:pPr>
        <w:pStyle w:val="BodyText"/>
        <w:bidi w:val="0"/>
        <w:jc w:val="start"/>
        <w:rPr/>
      </w:pPr>
      <w:r>
        <w:rPr/>
        <w:t>Asumir que lo que funcionó para ti funcionará para todos es un error común. Cada persona tiene circunstancias únicas, fortalezas diferentes y contextos distintos. Tu camino es una referencia, no un manual obligatorio. Cuando compartas tu experiencia, hazlo como una posibilidad entre muchas. Usa frases como "En mi caso funcionó..." o "Una opción que he visto es..." en lugar de presentar tu experiencia como la única verdad.</w:t>
      </w:r>
    </w:p>
    <w:p>
      <w:pPr>
        <w:pStyle w:val="Lneahorizontaluser"/>
        <w:bidi w:val="0"/>
        <w:spacing w:lineRule="auto" w:line="276" w:before="0" w:after="140"/>
        <w:jc w:val="start"/>
        <w:rPr/>
      </w:pPr>
      <w:r>
        <w:rPr/>
      </w:r>
    </w:p>
    <w:p>
      <w:pPr>
        <w:pStyle w:val="Heading2"/>
        <w:bidi w:val="0"/>
        <w:spacing w:lineRule="auto" w:line="276" w:before="0" w:after="140"/>
        <w:jc w:val="start"/>
        <w:rPr/>
      </w:pPr>
      <w:r>
        <w:rPr/>
        <w:t>4. No establecer expectativas claras</w:t>
      </w:r>
    </w:p>
    <w:p>
      <w:pPr>
        <w:pStyle w:val="BodyText"/>
        <w:bidi w:val="0"/>
        <w:jc w:val="start"/>
        <w:rPr/>
      </w:pPr>
      <w:r>
        <w:rPr/>
        <w:t>Iniciar una relación de mentoría sin definir objetivos, frecuencia de reuniones, límites o confidencialidad es como empezar un viaje sin mapa. Esto genera confusión, frustraciones y desalineación de expectativas mutuas. Dedica la primera sesión a crear un acuerdo de mentoría: cuánto durará, con qué frecuencia se reunirán, qué temas están dentro o fuera del alcance, y cómo manejarán la confidencialidad. Este marco da seguridad a ambas partes.</w:t>
      </w:r>
    </w:p>
    <w:p>
      <w:pPr>
        <w:pStyle w:val="Lneahorizontaluser"/>
        <w:bidi w:val="0"/>
        <w:spacing w:lineRule="auto" w:line="276" w:before="0" w:after="140"/>
        <w:jc w:val="start"/>
        <w:rPr/>
      </w:pPr>
      <w:r>
        <w:rPr/>
      </w:r>
    </w:p>
    <w:p>
      <w:pPr>
        <w:pStyle w:val="Heading2"/>
        <w:bidi w:val="0"/>
        <w:spacing w:lineRule="auto" w:line="276" w:before="0" w:after="140"/>
        <w:jc w:val="start"/>
        <w:rPr/>
      </w:pPr>
      <w:r>
        <w:rPr/>
        <w:t>5. Juzgar  en lugar de cuestionar</w:t>
      </w:r>
    </w:p>
    <w:p>
      <w:pPr>
        <w:pStyle w:val="BodyText"/>
        <w:bidi w:val="0"/>
        <w:jc w:val="start"/>
        <w:rPr/>
      </w:pPr>
      <w:r>
        <w:rPr/>
        <w:t>Expresar juicios sobre las decisiones del mentorizado como "Eso fue un error terrible" o "No puedo creer que hayas hecho eso" cierra inmediatamente la comunicación. Las personas no se abren cuando sienten que serán juzgadas. En su lugar, usa curiosidad genuina: "¿Qué aprendiste de esa situación?" o "¿Cómo te sentiste con ese resultado?". La mentoría efectiva crea un espacio libre de juicio donde el error es parte del aprendizaje.</w:t>
      </w:r>
    </w:p>
    <w:p>
      <w:pPr>
        <w:pStyle w:val="Lneahorizontaluser"/>
        <w:bidi w:val="0"/>
        <w:spacing w:lineRule="auto" w:line="276" w:before="0" w:after="140"/>
        <w:jc w:val="start"/>
        <w:rPr/>
      </w:pPr>
      <w:r>
        <w:rPr/>
      </w:r>
    </w:p>
    <w:p>
      <w:pPr>
        <w:pStyle w:val="Heading2"/>
        <w:bidi w:val="0"/>
        <w:spacing w:lineRule="auto" w:line="276" w:before="0" w:after="140"/>
        <w:jc w:val="start"/>
        <w:rPr/>
      </w:pPr>
      <w:r>
        <w:rPr/>
        <w:t>6. No adaptar tu estilo de comunicación</w:t>
      </w:r>
    </w:p>
    <w:p>
      <w:pPr>
        <w:pStyle w:val="BodyText"/>
        <w:bidi w:val="0"/>
        <w:jc w:val="start"/>
        <w:rPr/>
      </w:pPr>
      <w:r>
        <w:rPr/>
        <w:t>Usar el mismo enfoque con todos los mentorizados sin considerar sus estilos de aprendizaje es como dar la misma medicina a todos sin importar el diagnóstico. Algunas personas necesitan datos concretos y números, otras prefieren ejemplos prácticos y casos de estudio, y otras responden mejor a conversaciones reflexivas y abstractas. Observa cómo responde tu mentorizado y pregúntale directamente cómo prefiere recibir retroalimentación y aprender.</w:t>
      </w:r>
    </w:p>
    <w:p>
      <w:pPr>
        <w:pStyle w:val="Lneahorizontaluser"/>
        <w:bidi w:val="0"/>
        <w:spacing w:lineRule="auto" w:line="276" w:before="0" w:after="140"/>
        <w:jc w:val="start"/>
        <w:rPr/>
      </w:pPr>
      <w:r>
        <w:rPr/>
      </w:r>
    </w:p>
    <w:p>
      <w:pPr>
        <w:pStyle w:val="Heading2"/>
        <w:bidi w:val="0"/>
        <w:spacing w:lineRule="auto" w:line="276" w:before="0" w:after="140"/>
        <w:jc w:val="start"/>
        <w:rPr/>
      </w:pPr>
      <w:r>
        <w:rPr/>
        <w:t>7. Evitar conversaciones difíciles</w:t>
      </w:r>
    </w:p>
    <w:p>
      <w:pPr>
        <w:pStyle w:val="BodyText"/>
        <w:bidi w:val="0"/>
        <w:jc w:val="start"/>
        <w:rPr/>
      </w:pPr>
      <w:r>
        <w:rPr/>
        <w:t>Eludir temas incómodos o evitar dar retroalimentación constructiva por temor al conflicto es un flaco favor a tu mentorizado. Si notas patrones problemáticos o comportamientos que limitan su crecimiento, abordarlos con empatía es parte de tu responsabilidad. Una conversación difícil pero honesta vale más que meses de conversaciones superficiales. Puedes iniciar con "He notado que... ¿podemos hablar sobre esto?" y mantener un tono de apoyo, no de ataque.</w:t>
      </w:r>
    </w:p>
    <w:p>
      <w:pPr>
        <w:pStyle w:val="Lneahorizontaluser"/>
        <w:bidi w:val="0"/>
        <w:spacing w:lineRule="auto" w:line="276" w:before="0" w:after="140"/>
        <w:jc w:val="start"/>
        <w:rPr/>
      </w:pPr>
      <w:r>
        <w:rPr/>
      </w:r>
    </w:p>
    <w:p>
      <w:pPr>
        <w:pStyle w:val="Heading2"/>
        <w:bidi w:val="0"/>
        <w:spacing w:lineRule="auto" w:line="276" w:before="0" w:after="140"/>
        <w:jc w:val="start"/>
        <w:rPr/>
      </w:pPr>
      <w:r>
        <w:rPr/>
        <w:t>8. Interrumpir constantemente</w:t>
      </w:r>
    </w:p>
    <w:p>
      <w:pPr>
        <w:pStyle w:val="BodyText"/>
        <w:bidi w:val="0"/>
        <w:jc w:val="start"/>
        <w:rPr/>
      </w:pPr>
      <w:r>
        <w:rPr/>
        <w:t>Cortar al mentorizado mientras habla para añadir tu punto de vista o contar tu historia transmite que tus ideas son más importantes y desalienta la apertura. Aunque tengas un punto brillante que compartir, espera. Practica la paciencia, deja pausas naturales en la conversación, y si es necesario, toma notas para recordar tus puntos sin interrumpir el flujo del otro.</w:t>
      </w:r>
    </w:p>
    <w:p>
      <w:pPr>
        <w:pStyle w:val="Lneahorizontaluser"/>
        <w:bidi w:val="0"/>
        <w:spacing w:lineRule="auto" w:line="276" w:before="0" w:after="140"/>
        <w:jc w:val="start"/>
        <w:rPr/>
      </w:pPr>
      <w:r>
        <w:rPr/>
      </w:r>
    </w:p>
    <w:p>
      <w:pPr>
        <w:pStyle w:val="Heading2"/>
        <w:bidi w:val="0"/>
        <w:spacing w:lineRule="auto" w:line="276" w:before="0" w:after="140"/>
        <w:jc w:val="start"/>
        <w:rPr/>
      </w:pPr>
      <w:r>
        <w:rPr/>
        <w:t>9. No validar las emociones</w:t>
      </w:r>
    </w:p>
    <w:p>
      <w:pPr>
        <w:pStyle w:val="BodyText"/>
        <w:bidi w:val="0"/>
        <w:jc w:val="start"/>
        <w:rPr/>
      </w:pPr>
      <w:r>
        <w:rPr/>
        <w:t>Ir directo a "solucionar" el problema sin reconocer primero cómo se siente la persona es desconectarse de su experiencia real. Frases como "No te preocupes por eso" o "No es para tanto" minimizan lo que el otro está viviendo. Antes de ofrecer perspectiva o soluciones, reconoce: "Entiendo que esto es frustrante para ti" o "Veo lo importante que es esto para ti". La validación emocional abre la puerta al pensamiento racional.</w:t>
      </w:r>
    </w:p>
    <w:p>
      <w:pPr>
        <w:pStyle w:val="Lneahorizontaluser"/>
        <w:bidi w:val="0"/>
        <w:spacing w:lineRule="auto" w:line="276" w:before="0" w:after="140"/>
        <w:jc w:val="start"/>
        <w:rPr/>
      </w:pPr>
      <w:r>
        <w:rPr/>
      </w:r>
    </w:p>
    <w:p>
      <w:pPr>
        <w:pStyle w:val="Heading2"/>
        <w:bidi w:val="0"/>
        <w:spacing w:lineRule="auto" w:line="276" w:before="0" w:after="140"/>
        <w:jc w:val="start"/>
        <w:rPr/>
      </w:pPr>
      <w:r>
        <w:rPr/>
        <w:t>10. No dar seguimiento</w:t>
      </w:r>
    </w:p>
    <w:p>
      <w:pPr>
        <w:pStyle w:val="BodyText"/>
        <w:bidi w:val="0"/>
        <w:jc w:val="start"/>
        <w:rPr/>
      </w:pPr>
      <w:r>
        <w:rPr/>
        <w:t>Olvidar hacer seguimiento a los compromisos, objetivos o temas discutidos en sesiones anteriores envía el mensaje de que lo conversado no era importante. La continuidad es clave para construir sobre lo aprendido. Toma notas breves después de cada sesión y comienza la siguiente preguntando sobre avances, reflexiones o cómo les fue con lo que se habló. Este hilo conductor da coherencia y profundidad a la mentoría.</w:t>
      </w:r>
    </w:p>
    <w:p>
      <w:pPr>
        <w:pStyle w:val="Lneahorizontaluser"/>
        <w:bidi w:val="0"/>
        <w:spacing w:lineRule="auto" w:line="276" w:before="0" w:after="140"/>
        <w:jc w:val="start"/>
        <w:rPr/>
      </w:pPr>
      <w:r>
        <w:rPr/>
      </w:r>
    </w:p>
    <w:p>
      <w:pPr>
        <w:pStyle w:val="Heading2"/>
        <w:bidi w:val="0"/>
        <w:spacing w:lineRule="auto" w:line="276" w:before="0" w:after="140"/>
        <w:jc w:val="start"/>
        <w:rPr/>
      </w:pPr>
      <w:r>
        <w:rPr/>
        <w:t>11. Hacer suposiciones sin verificar</w:t>
      </w:r>
    </w:p>
    <w:p>
      <w:pPr>
        <w:pStyle w:val="BodyText"/>
        <w:bidi w:val="0"/>
        <w:jc w:val="start"/>
        <w:rPr/>
      </w:pPr>
      <w:r>
        <w:rPr/>
        <w:t>Asumir que entiendes la situación o el punto de vista del mentorizado sin confirmar puede llevarte por caminos equivocados. Frases como "Sé exactamente lo que quieres decir" suenan bien pero pueden estar totalmente desconectadas de la realidad del otro. Mejor parafrasea y confirma: "Si te entiendo bien, estás diciendo que... ¿es correcto?". Este simple acto de verificación evita malentendidos y muestra respeto por la perspectiva del otro.</w:t>
      </w:r>
    </w:p>
    <w:p>
      <w:pPr>
        <w:pStyle w:val="Lneahorizontaluser"/>
        <w:bidi w:val="0"/>
        <w:spacing w:lineRule="auto" w:line="276" w:before="0" w:after="140"/>
        <w:jc w:val="start"/>
        <w:rPr/>
      </w:pPr>
      <w:r>
        <w:rPr/>
      </w:r>
    </w:p>
    <w:p>
      <w:pPr>
        <w:pStyle w:val="Heading2"/>
        <w:bidi w:val="0"/>
        <w:spacing w:lineRule="auto" w:line="276" w:before="0" w:after="140"/>
        <w:jc w:val="start"/>
        <w:rPr/>
      </w:pPr>
      <w:r>
        <w:rPr/>
        <w:t>Recordatorio Clave</w:t>
      </w:r>
    </w:p>
    <w:p>
      <w:pPr>
        <w:pStyle w:val="BodyText"/>
        <w:bidi w:val="0"/>
        <w:jc w:val="start"/>
        <w:rPr/>
      </w:pPr>
      <w:r>
        <w:rPr/>
        <w:t>La mentoría efectiva no se trata de tener todas las respuestas, sino de hacer las preguntas correctas y crear un espacio seguro para el crecimiento.</w:t>
      </w:r>
    </w:p>
    <w:p>
      <w:pPr>
        <w:pStyle w:val="Lneahorizontaluser"/>
        <w:bidi w:val="0"/>
        <w:spacing w:lineRule="auto" w:line="276" w:before="0" w:after="140"/>
        <w:jc w:val="start"/>
        <w:rPr/>
      </w:pPr>
      <w:r>
        <w:rPr/>
      </w:r>
    </w:p>
    <w:p>
      <w:pPr>
        <w:pStyle w:val="Heading2"/>
        <w:bidi w:val="0"/>
        <w:spacing w:lineRule="auto" w:line="276" w:before="0" w:after="140"/>
        <w:jc w:val="start"/>
        <w:rPr/>
      </w:pPr>
      <w:r>
        <w:rPr/>
        <w:t>Autoevaluación Rápida</w:t>
      </w:r>
    </w:p>
    <w:p>
      <w:pPr>
        <w:pStyle w:val="BodyText"/>
        <w:bidi w:val="0"/>
        <w:jc w:val="start"/>
        <w:rPr/>
      </w:pPr>
      <w:r>
        <w:rPr/>
        <w:t>Después de cada sesión de mentoría, pregúntate:</w:t>
      </w:r>
    </w:p>
    <w:p>
      <w:pPr>
        <w:pStyle w:val="BodyText"/>
        <w:numPr>
          <w:ilvl w:val="0"/>
          <w:numId w:val="1"/>
        </w:numPr>
        <w:tabs>
          <w:tab w:val="left" w:pos="709" w:leader="none"/>
        </w:tabs>
        <w:bidi w:val="0"/>
        <w:spacing w:before="0" w:after="0"/>
        <w:ind w:hanging="283" w:start="709"/>
        <w:jc w:val="start"/>
        <w:rPr/>
      </w:pPr>
      <w:r>
        <w:rPr/>
        <w:t xml:space="preserve">¿Escuché más de lo que hablé? </w:t>
      </w:r>
    </w:p>
    <w:p>
      <w:pPr>
        <w:pStyle w:val="BodyText"/>
        <w:numPr>
          <w:ilvl w:val="0"/>
          <w:numId w:val="1"/>
        </w:numPr>
        <w:tabs>
          <w:tab w:val="left" w:pos="709" w:leader="none"/>
        </w:tabs>
        <w:bidi w:val="0"/>
        <w:spacing w:before="0" w:after="0"/>
        <w:ind w:hanging="283" w:start="709"/>
        <w:jc w:val="start"/>
        <w:rPr/>
      </w:pPr>
      <w:r>
        <w:rPr/>
        <w:t xml:space="preserve">¿Hice preguntas poderosas? </w:t>
      </w:r>
    </w:p>
    <w:p>
      <w:pPr>
        <w:pStyle w:val="BodyText"/>
        <w:numPr>
          <w:ilvl w:val="0"/>
          <w:numId w:val="1"/>
        </w:numPr>
        <w:tabs>
          <w:tab w:val="left" w:pos="709" w:leader="none"/>
        </w:tabs>
        <w:bidi w:val="0"/>
        <w:spacing w:before="0" w:after="0"/>
        <w:ind w:hanging="283" w:start="709"/>
        <w:jc w:val="start"/>
        <w:rPr/>
      </w:pPr>
      <w:r>
        <w:rPr/>
        <w:t xml:space="preserve">¿Validé las emociones de mi mentorizado? </w:t>
      </w:r>
    </w:p>
    <w:p>
      <w:pPr>
        <w:pStyle w:val="BodyText"/>
        <w:numPr>
          <w:ilvl w:val="0"/>
          <w:numId w:val="1"/>
        </w:numPr>
        <w:tabs>
          <w:tab w:val="left" w:pos="709" w:leader="none"/>
        </w:tabs>
        <w:bidi w:val="0"/>
        <w:spacing w:before="0" w:after="0"/>
        <w:ind w:hanging="283" w:start="709"/>
        <w:jc w:val="start"/>
        <w:rPr/>
      </w:pPr>
      <w:r>
        <w:rPr/>
        <w:t xml:space="preserve">¿Evité juzgar o imponer mi perspectiva? </w:t>
      </w:r>
    </w:p>
    <w:p>
      <w:pPr>
        <w:pStyle w:val="BodyText"/>
        <w:numPr>
          <w:ilvl w:val="0"/>
          <w:numId w:val="1"/>
        </w:numPr>
        <w:tabs>
          <w:tab w:val="left" w:pos="709" w:leader="none"/>
        </w:tabs>
        <w:bidi w:val="0"/>
        <w:ind w:hanging="283" w:start="709"/>
        <w:jc w:val="start"/>
        <w:rPr/>
      </w:pPr>
      <w:r>
        <w:rPr/>
        <w:t xml:space="preserve">¿Establecí un seguimiento claro? </w:t>
      </w:r>
    </w:p>
    <w:p>
      <w:pPr>
        <w:pStyle w:val="BodyText"/>
        <w:bidi w:val="0"/>
        <w:jc w:val="start"/>
        <w:rPr/>
      </w:pPr>
      <w:r>
        <w:rPr/>
        <w:t>Si respondes "no" a alguna, identifica una acción concreta para la próxima sesión.</w:t>
      </w:r>
    </w:p>
    <w:p>
      <w:pPr>
        <w:pStyle w:val="BodyText"/>
        <w:bidi w:val="0"/>
        <w:jc w:val="start"/>
        <w:rPr/>
      </w:pPr>
      <w:r>
        <w:rPr/>
      </w:r>
    </w:p>
    <w:p>
      <w:pPr>
        <w:pStyle w:val="Heading2"/>
        <w:bidi w:val="0"/>
        <w:spacing w:before="200" w:after="12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4"/>
      <w:szCs w:val="24"/>
      <w:lang w:val="es-AR" w:eastAsia="zh-CN" w:bidi="hi-IN"/>
    </w:rPr>
  </w:style>
  <w:style w:type="paragraph" w:styleId="Heading1">
    <w:name w:val="heading 1"/>
    <w:basedOn w:val="Ttulouser"/>
    <w:next w:val="BodyText"/>
    <w:qFormat/>
    <w:pPr>
      <w:spacing w:before="240" w:after="120"/>
      <w:outlineLvl w:val="0"/>
    </w:pPr>
    <w:rPr>
      <w:rFonts w:ascii="Times New Roman" w:hAnsi="Times New Roman" w:eastAsia="NSimSun" w:cs="Lucida Sans"/>
      <w:b/>
      <w:bCs/>
      <w:sz w:val="48"/>
      <w:szCs w:val="48"/>
    </w:rPr>
  </w:style>
  <w:style w:type="paragraph" w:styleId="Heading2">
    <w:name w:val="heading 2"/>
    <w:basedOn w:val="Ttulouser"/>
    <w:next w:val="BodyText"/>
    <w:qFormat/>
    <w:pPr>
      <w:spacing w:before="200" w:after="120"/>
      <w:outlineLvl w:val="1"/>
    </w:pPr>
    <w:rPr>
      <w:rFonts w:ascii="Times New Roman" w:hAnsi="Times New Roman" w:eastAsia="NSimSun" w:cs="Lucida Sans"/>
      <w:b/>
      <w:bCs/>
      <w:sz w:val="36"/>
      <w:szCs w:val="36"/>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Arial" w:hAnsi="Arial"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LibreOffice/25.2.5.2$Windows_x86 LibreOffice_project/03d19516eb2e1dd5d4ccd751a0d6f35f35e08022</Application>
  <AppVersion>15.0000</AppVersion>
  <Pages>2</Pages>
  <Words>888</Words>
  <Characters>4881</Characters>
  <CharactersWithSpaces>5737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2025-10-16T10:07:20Z</dcterms:created>
  <dc:creator/>
  <dc:description/>
  <dc:language>es-AR</dc:language>
  <cp:lastModifiedBy/>
  <dcterms:modified xsi:type="dcterms:W3CDTF">2025-10-15T19:04:02Z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