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="120"/>
        <w:outlineLvl w:val="1"/>
        <w:rPr>
          <w:rFonts w:ascii="Times New Roman" w:hAnsi="Times New Roman" w:eastAsia="Times New Roman" w:cs="Times New Roman"/>
          <w:b/>
          <w:bCs/>
          <w:color w:val="1B1C1D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36"/>
          <w:szCs w:val="36"/>
        </w:rPr>
        <w:t>Project: End-to-End CI/CD, Containerization, and Kubernetes Deployment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This project aims to establish a robust and scalable infrastructure for the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finch-frontend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and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finch-backend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applications. The focus will be on automating the development pipeline, containerizing applications, designing a resilient Kubernetes architecture, managing secrets securely, and implementing comprehensive monitoring.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Git Repository: https://github.com/md-sarowar-alam/single-server-3tier-webapp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2"/>
        <w:rPr>
          <w:rFonts w:ascii="Times New Roman" w:hAnsi="Times New Roman" w:eastAsia="Times New Roman" w:cs="Times New Roman"/>
          <w:b/>
          <w:bCs/>
          <w:color w:val="1B1C1D"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7"/>
          <w:szCs w:val="27"/>
        </w:rPr>
        <w:t>Phase 1: CI/CD Configuration</w:t>
      </w:r>
    </w:p>
    <w:p>
      <w:pPr>
        <w:pStyle w:val="Normal"/>
        <w:spacing w:lineRule="auto" w:line="240" w:beforeAutospacing="1" w:after="24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This phase focuses on setting up automated build, test, and deployment pipelines for both the frontend and backend applications.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Deliverables: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CI/CD Pipeline Definition Files: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Courier New" w:ascii="Courier New" w:hAnsi="Courier New"/>
          <w:color w:val="575B5F"/>
          <w:sz w:val="20"/>
          <w:szCs w:val="20"/>
        </w:rPr>
        <w:t>/.github/workflows/frontend-ci.yml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(or equivalent for your chosen CI/CD tool) for the frontend repository, including:</w:t>
      </w:r>
    </w:p>
    <w:p>
      <w:pPr>
        <w:pStyle w:val="Normal"/>
        <w:numPr>
          <w:ilvl w:val="2"/>
          <w:numId w:val="1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Automated build steps.</w:t>
      </w:r>
    </w:p>
    <w:p>
      <w:pPr>
        <w:pStyle w:val="Normal"/>
        <w:numPr>
          <w:ilvl w:val="2"/>
          <w:numId w:val="1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Unit and integration test execution.</w:t>
      </w:r>
    </w:p>
    <w:p>
      <w:pPr>
        <w:pStyle w:val="Normal"/>
        <w:numPr>
          <w:ilvl w:val="2"/>
          <w:numId w:val="1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Linting and code quality checks.</w:t>
      </w:r>
    </w:p>
    <w:p>
      <w:pPr>
        <w:pStyle w:val="Normal"/>
        <w:numPr>
          <w:ilvl w:val="2"/>
          <w:numId w:val="1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Docker image build and push to a container registry (e.g., Docker Hub, Google Container Registry).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Courier New" w:ascii="Courier New" w:hAnsi="Courier New"/>
          <w:color w:val="575B5F"/>
          <w:sz w:val="20"/>
          <w:szCs w:val="20"/>
        </w:rPr>
        <w:t>/.github/workflows/backend-ci.yml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(or equivalent) for the backend repository, including:</w:t>
      </w:r>
    </w:p>
    <w:p>
      <w:pPr>
        <w:pStyle w:val="Normal"/>
        <w:numPr>
          <w:ilvl w:val="2"/>
          <w:numId w:val="1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Automated build steps.</w:t>
      </w:r>
    </w:p>
    <w:p>
      <w:pPr>
        <w:pStyle w:val="Normal"/>
        <w:numPr>
          <w:ilvl w:val="2"/>
          <w:numId w:val="1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Unit and integration test execution.</w:t>
      </w:r>
    </w:p>
    <w:p>
      <w:pPr>
        <w:pStyle w:val="Normal"/>
        <w:numPr>
          <w:ilvl w:val="2"/>
          <w:numId w:val="1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Linting and code quality checks.</w:t>
      </w:r>
    </w:p>
    <w:p>
      <w:pPr>
        <w:pStyle w:val="Normal"/>
        <w:numPr>
          <w:ilvl w:val="2"/>
          <w:numId w:val="1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Docker image build and push to a container registry.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Documentation: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 markdown document (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CI_CD_Setup.md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) detailing the CI/CD pipeline architecture, chosen CI/CD tool (e.g., GitHub Actions, GitLab CI/CD, Jenkins), and explanation of each pipeline stage.</w:t>
      </w:r>
    </w:p>
    <w:p>
      <w:pPr>
        <w:pStyle w:val="Normal"/>
        <w:numPr>
          <w:ilvl w:val="1"/>
          <w:numId w:val="1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Instructions on how to trigger and monitor the pipelines.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2"/>
        <w:rPr>
          <w:rFonts w:ascii="Times New Roman" w:hAnsi="Times New Roman" w:eastAsia="Times New Roman" w:cs="Times New Roman"/>
          <w:b/>
          <w:bCs/>
          <w:color w:val="1B1C1D"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7"/>
          <w:szCs w:val="27"/>
        </w:rPr>
        <w:t>Phase 2: Docker Containerization</w:t>
      </w:r>
    </w:p>
    <w:p>
      <w:pPr>
        <w:pStyle w:val="Normal"/>
        <w:spacing w:lineRule="auto" w:line="240" w:beforeAutospacing="1" w:after="24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This phase involves creating efficient and production-ready Docker images for both applications.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Deliverables: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Dockerfiles: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Courier New" w:ascii="Courier New" w:hAnsi="Courier New"/>
          <w:color w:val="575B5F"/>
          <w:sz w:val="20"/>
          <w:szCs w:val="20"/>
        </w:rPr>
        <w:t>./Dockerfile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in the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frontend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repository.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Courier New" w:ascii="Courier New" w:hAnsi="Courier New"/>
          <w:color w:val="575B5F"/>
          <w:sz w:val="20"/>
          <w:szCs w:val="20"/>
        </w:rPr>
        <w:t>./Dockerfile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in the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backend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repository.</w:t>
      </w:r>
    </w:p>
    <w:p>
      <w:pPr>
        <w:pStyle w:val="Normal"/>
        <w:numPr>
          <w:ilvl w:val="1"/>
          <w:numId w:val="2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These Dockerfiles should follow best practices for image size, security, and caching.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Courier New" w:ascii="Courier New" w:hAnsi="Courier New"/>
          <w:b/>
          <w:bCs/>
          <w:color w:val="575B5F"/>
          <w:sz w:val="20"/>
          <w:szCs w:val="20"/>
        </w:rPr>
        <w:t>.dockerignore</w:t>
      </w: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 xml:space="preserve"> Files: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Courier New" w:ascii="Courier New" w:hAnsi="Courier New"/>
          <w:color w:val="575B5F"/>
          <w:sz w:val="20"/>
          <w:szCs w:val="20"/>
        </w:rPr>
        <w:t>./.dockerignore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in both repositories to exclude unnecessary files from the build context.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Docker Compose File (Optional but Recommended for Local Development):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Courier New" w:ascii="Courier New" w:hAnsi="Courier New"/>
          <w:color w:val="575B5F"/>
          <w:sz w:val="20"/>
          <w:szCs w:val="20"/>
        </w:rPr>
        <w:t>./docker-compose.yml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in a dedicated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infrastructure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or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devops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repository (or root of one of the application repos) that allows for local development and testing of both frontend and backend services together.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Documentation: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 markdown document (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Docker_Containerization.md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) explaining the Dockerfile structure, image optimization techniques used, and how to build and run the Docker images locally.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2"/>
        <w:rPr>
          <w:rFonts w:ascii="Times New Roman" w:hAnsi="Times New Roman" w:eastAsia="Times New Roman" w:cs="Times New Roman"/>
          <w:b/>
          <w:bCs/>
          <w:color w:val="1B1C1D"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7"/>
          <w:szCs w:val="27"/>
        </w:rPr>
        <w:t>Phase 3: Kubernetes Architecture Design</w:t>
      </w:r>
    </w:p>
    <w:p>
      <w:pPr>
        <w:pStyle w:val="Normal"/>
        <w:spacing w:lineRule="auto" w:line="240" w:beforeAutospacing="1" w:after="24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This phase focuses on designing a robust and scalable Kubernetes deployment for the applications, including external services like Redis and PostgreSQL.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Deliverables: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Kubernetes Manifests: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YAML files for Kubernetes deployments, services, ingresses, and persistent volumes in a dedicated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kubernetes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directory (e.g.,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./kubernetes/frontend-deployment.yaml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,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./kubernetes/backend-deployment.yaml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,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./kubernetes/redis-deployment.yaml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,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./kubernetes/postgresql-deployment.yaml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).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Frontend Deployment: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Deployment and Service for the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frontend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application.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Backend Deployment: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Deployment and Service for the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backend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application.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Redis Deployment: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Deployment, Service, and Persistent Volume Claim for Redis.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PostgreSQL Deployment: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Deployment, Service, and Persistent Volume Claim for PostgreSQL.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Ingress Configuration: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 Ingress controller configuration to expose the frontend (and potentially backend APIs) to the internet.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Architecture Diagram:</w:t>
      </w:r>
    </w:p>
    <w:p>
      <w:pPr>
        <w:pStyle w:val="Normal"/>
        <w:numPr>
          <w:ilvl w:val="1"/>
          <w:numId w:val="3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 clear and comprehensive diagram (e.g., using Mermaid syntax, draw.io, or any other suitable tool) illustrating the Kubernetes architecture, showing pods, deployments, services, ingress, and the relationships between them.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Documentation: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 markdown document (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Kubernetes_Architecture.md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) explaining the chosen Kubernetes architecture, resource allocation (CPU, memory), scaling strategies, and detailed explanations of each manifest file.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2"/>
        <w:rPr>
          <w:rFonts w:ascii="Times New Roman" w:hAnsi="Times New Roman" w:eastAsia="Times New Roman" w:cs="Times New Roman"/>
          <w:b/>
          <w:bCs/>
          <w:color w:val="1B1C1D"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7"/>
          <w:szCs w:val="27"/>
        </w:rPr>
        <w:t>Phase 4: Secret Management</w:t>
      </w:r>
    </w:p>
    <w:p>
      <w:pPr>
        <w:pStyle w:val="Normal"/>
        <w:spacing w:lineRule="auto" w:line="240" w:beforeAutospacing="1" w:after="24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This phase ensures that sensitive information like database credentials and API keys are securely managed within the Kubernetes environment.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Deliverables: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Kubernetes Secret Manifests:</w:t>
      </w:r>
    </w:p>
    <w:p>
      <w:pPr>
        <w:pStyle w:val="Normal"/>
        <w:numPr>
          <w:ilvl w:val="1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YAML files for Kubernetes Secrets (e.g.,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./kubernetes/secrets/db-credentials.yaml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,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./kubernetes/secrets/api-keys.yaml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) for sensitive data, ensuring they are not hardcoded.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Secret Management Strategy:</w:t>
      </w:r>
    </w:p>
    <w:p>
      <w:pPr>
        <w:pStyle w:val="Normal"/>
        <w:numPr>
          <w:ilvl w:val="1"/>
          <w:numId w:val="4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 clear plan and implementation for how secrets will be handled (e.g., using Kubernetes Secrets directly, integration with a dedicated secret management solution like HashiCorp Vault, or cloud-native secret managers like AWS Secrets Manager or Azure Key Vault).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Documentation:</w:t>
      </w:r>
    </w:p>
    <w:p>
      <w:pPr>
        <w:pStyle w:val="Normal"/>
        <w:numPr>
          <w:ilvl w:val="1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 markdown document (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Secret_Management.md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) outlining the chosen secret management strategy, how secrets are created, updated, and accessed by applications within Kubernetes.</w:t>
      </w:r>
    </w:p>
    <w:p>
      <w:pPr>
        <w:pStyle w:val="Normal"/>
        <w:numPr>
          <w:ilvl w:val="1"/>
          <w:numId w:val="4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Instructions on how to apply and manage these secrets.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2"/>
        <w:rPr>
          <w:rFonts w:ascii="Times New Roman" w:hAnsi="Times New Roman" w:eastAsia="Times New Roman" w:cs="Times New Roman"/>
          <w:b/>
          <w:bCs/>
          <w:color w:val="1B1C1D"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7"/>
          <w:szCs w:val="27"/>
        </w:rPr>
        <w:t>Phase 5: Monitoring Tools (Prometheus, Loki, Grafana)</w:t>
      </w:r>
    </w:p>
    <w:p>
      <w:pPr>
        <w:pStyle w:val="Normal"/>
        <w:spacing w:lineRule="auto" w:line="240" w:beforeAutospacing="1" w:after="24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This phase focuses on setting up a comprehensive monitoring solution to observe the health and performance of the applications and infrastructure.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Deliverables: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Prometheus Configuration:</w:t>
      </w:r>
    </w:p>
    <w:p>
      <w:pPr>
        <w:pStyle w:val="Normal"/>
        <w:numPr>
          <w:ilvl w:val="1"/>
          <w:numId w:val="5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Kubernetes manifests for deploying Prometheus (e.g., using the Prometheus Operator or Helm charts).</w:t>
      </w:r>
    </w:p>
    <w:p>
      <w:pPr>
        <w:pStyle w:val="Normal"/>
        <w:numPr>
          <w:ilvl w:val="1"/>
          <w:numId w:val="5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Configuration for scraping metrics from the frontend, backend, Redis, and PostgreSQL.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Loki Configuration:</w:t>
      </w:r>
    </w:p>
    <w:p>
      <w:pPr>
        <w:pStyle w:val="Normal"/>
        <w:numPr>
          <w:ilvl w:val="1"/>
          <w:numId w:val="5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Kubernetes manifests for deploying Loki (e.g., using Helm charts or direct manifests).</w:t>
      </w:r>
    </w:p>
    <w:p>
      <w:pPr>
        <w:pStyle w:val="Normal"/>
        <w:numPr>
          <w:ilvl w:val="1"/>
          <w:numId w:val="5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Configuration for collecting logs from all application pods.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Grafana Dashboards:</w:t>
      </w:r>
    </w:p>
    <w:p>
      <w:pPr>
        <w:pStyle w:val="Normal"/>
        <w:numPr>
          <w:ilvl w:val="1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JSON export files of Grafana dashboards (e.g.,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./grafana/dashboards/application-dashboard.json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 xml:space="preserve">, 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./grafana/dashboards/kubernetes-dashboard.json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).</w:t>
      </w:r>
    </w:p>
    <w:p>
      <w:pPr>
        <w:pStyle w:val="Normal"/>
        <w:numPr>
          <w:ilvl w:val="1"/>
          <w:numId w:val="5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Dashboards should include:</w:t>
      </w:r>
    </w:p>
    <w:p>
      <w:pPr>
        <w:pStyle w:val="Normal"/>
        <w:numPr>
          <w:ilvl w:val="2"/>
          <w:numId w:val="5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Application-specific metrics (frontend and backend performance, error rates).</w:t>
      </w:r>
    </w:p>
    <w:p>
      <w:pPr>
        <w:pStyle w:val="Normal"/>
        <w:numPr>
          <w:ilvl w:val="2"/>
          <w:numId w:val="5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Kubernetes cluster metrics (node health, pod resource utilization).</w:t>
      </w:r>
    </w:p>
    <w:p>
      <w:pPr>
        <w:pStyle w:val="Normal"/>
        <w:numPr>
          <w:ilvl w:val="2"/>
          <w:numId w:val="5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Redis and PostgreSQL metrics.</w:t>
      </w:r>
    </w:p>
    <w:p>
      <w:pPr>
        <w:pStyle w:val="Normal"/>
        <w:numPr>
          <w:ilvl w:val="2"/>
          <w:numId w:val="5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Log visualization from Loki.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Alerting Rules (Optional but Recommended):</w:t>
      </w:r>
    </w:p>
    <w:p>
      <w:pPr>
        <w:pStyle w:val="Normal"/>
        <w:numPr>
          <w:ilvl w:val="1"/>
          <w:numId w:val="5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Prometheus Alertmanager configuration with basic alerting rules for critical issues (e.g., high error rates, pod restarts).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B1C1D"/>
          <w:sz w:val="24"/>
          <w:szCs w:val="24"/>
        </w:rPr>
        <w:t>Documentation:</w:t>
      </w:r>
    </w:p>
    <w:p>
      <w:pPr>
        <w:pStyle w:val="Normal"/>
        <w:numPr>
          <w:ilvl w:val="1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A markdown document (</w:t>
      </w:r>
      <w:r>
        <w:rPr>
          <w:rFonts w:eastAsia="Times New Roman" w:cs="Courier New" w:ascii="Courier New" w:hAnsi="Courier New"/>
          <w:color w:val="575B5F"/>
          <w:sz w:val="20"/>
          <w:szCs w:val="20"/>
        </w:rPr>
        <w:t>Monitoring_Setup.md</w:t>
      </w: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) explaining the deployment of Prometheus, Loki, and Grafana, how metrics and logs are collected, and how to access and interpret the dashboards.</w:t>
      </w:r>
    </w:p>
    <w:p>
      <w:pPr>
        <w:pStyle w:val="Normal"/>
        <w:numPr>
          <w:ilvl w:val="1"/>
          <w:numId w:val="5"/>
        </w:numPr>
        <w:spacing w:lineRule="auto" w:line="240" w:before="0" w:after="120"/>
        <w:rPr>
          <w:rFonts w:ascii="Times New Roman" w:hAnsi="Times New Roman" w:eastAsia="Times New Roman" w:cs="Times New Roman"/>
          <w:color w:val="1B1C1D"/>
          <w:sz w:val="24"/>
          <w:szCs w:val="24"/>
        </w:rPr>
      </w:pPr>
      <w:r>
        <w:rPr>
          <w:rFonts w:eastAsia="Times New Roman" w:cs="Times New Roman" w:ascii="Times New Roman" w:hAnsi="Times New Roman"/>
          <w:color w:val="1B1C1D"/>
          <w:sz w:val="24"/>
          <w:szCs w:val="24"/>
        </w:rPr>
        <w:t>Instructions on how to set up and manage alerts.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4</Pages>
  <Words>802</Words>
  <Characters>5440</Characters>
  <CharactersWithSpaces>6104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2025-06-30T10:00:00Z</dcterms:created>
  <dc:creator>Sourav Roy</dc:creator>
  <dc:description/>
  <dc:language>en-US</dc:language>
  <cp:lastModifiedBy/>
  <dcterms:modified xsi:type="dcterms:W3CDTF">2026-01-02T17:36:25Z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