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left"/>
        <w:spacing w:after="1400"/>
      </w:pPr>
      <w:r>
        <w:drawing>
          <wp:inline distT="0" distB="0" distL="0" distR="0">
            <wp:extent cx="1737360" cy="652569"/>
            <wp:docPr id="1" name="Jube wordmar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be wordmark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65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Brand and style guide</w:t>
      </w:r>
    </w:p>
    <w:p>
      <w:pPr>
        <w:pStyle w:val="Subtitle"/>
      </w:pPr>
      <w:r>
        <w:t xml:space="preserve">How Jube looks, sounds and writes, across the product, the website, the documentation and our documents.</w:t>
      </w:r>
    </w:p>
    <w:p>
      <w:pPr>
        <w:jc w:val="center"/>
        <w:spacing w:after="900"/>
      </w:pPr>
      <w:r>
        <w:drawing>
          <wp:inline distT="0" distB="0" distL="0" distR="0">
            <wp:extent cx="3291840" cy="2753650"/>
            <wp:docPr id="2" name="Jube buffal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be buffalo"/>
                    <pic:cNvPicPr/>
                  </pic:nvPicPr>
                  <pic:blipFill>
                    <a:blip r:embed="rIdBull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4A4842"/>
          <w:sz w:val="20"/>
          <w:szCs w:val="20"/>
        </w:rPr>
        <w:t xml:space="preserve">Jube Holdings Limited</w:t>
      </w:r>
      <w:r>
        <w:rPr>
          <w:color w:val="4A4842"/>
          <w:sz w:val="20"/>
          <w:szCs w:val="20"/>
        </w:rPr>
        <w:t xml:space="preserve"> · Version 1.0 · 4 October 2026</w:t>
      </w:r>
    </w:p>
    <w:p>
      <w:r>
        <w:br w:type="page"/>
      </w:r>
    </w:p>
    <w:p>
      <w:pPr>
        <w:pStyle w:val="Heading1"/>
      </w:pPr>
      <w:r>
        <w:t xml:space="preserve">1. The brand in one page</w:t>
      </w:r>
    </w:p>
    <w:p>
      <w:pPr/>
      <w:r>
        <w:rPr>
          <w:b/>
        </w:rPr>
        <w:t xml:space="preserve">What Jube is.</w:t>
      </w:r>
      <w:r>
        <w:t xml:space="preserve"> Open-source, real-time anti-money-laundering and fraud transaction monitoring, with AI on every screen and the detection platform underneath it.</w:t>
      </w:r>
    </w:p>
    <w:p>
      <w:pPr>
        <w:pStyle w:val="Heading2"/>
      </w:pPr>
      <w:r>
        <w:t xml:space="preserve">What we stand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Open.</w:t>
      </w:r>
      <w:r>
        <w:t xml:space="preserve"> Every feature is open source under AGPLv3. Nothing is held 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Explainable.</w:t>
      </w:r>
      <w:r>
        <w:t xml:space="preserve"> Every score, rule and AI answer can be walked through with a regulator.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Sovereign.</w:t>
      </w:r>
      <w:r>
        <w:t xml:space="preserve"> Customers run Jube on their own infrastructure, in their own jurisdiction.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AI-first, on our own platform.</w:t>
      </w:r>
      <w:r>
        <w:t xml:space="preserve"> AskJooby reasons over the same models and data that made the decision.</w:t>
      </w:r>
    </w:p>
    <w:p>
      <w:pPr>
        <w:pStyle w:val="Heading2"/>
      </w:pPr>
      <w:r>
        <w:t xml:space="preserve">How we sound</w:t>
      </w:r>
    </w:p>
    <w:p>
      <w:pPr/>
      <w:r>
        <w:rPr>
          <w:b/>
        </w:rPr>
        <w:t xml:space="preserve">Plain, exact and calm.</w:t>
      </w:r>
      <w:r>
        <w:t xml:space="preserve"> We write for compliance officers, analysts and engineers who are busy and sceptical. We state facts, give numbers, and never oversell.</w:t>
      </w:r>
    </w:p>
    <w:p>
      <w:pPr>
        <w:pStyle w:val="Heading1"/>
      </w:pPr>
      <w:r>
        <w:t xml:space="preserve">2. Logo</w:t>
      </w:r>
    </w:p>
    <w:p>
      <w:pPr/>
      <w:r>
        <w:t xml:space="preserve">The wordmark is the logo. Use it from the supplied PNG or SVG files; never retype it.</w:t>
      </w:r>
    </w:p>
    <w:p>
      <w:pPr>
        <w:jc w:val="left"/>
        <w:spacing w:after="160"/>
      </w:pPr>
      <w:r>
        <w:drawing>
          <wp:inline distT="0" distB="0" distL="0" distR="0">
            <wp:extent cx="2377440" cy="892990"/>
            <wp:docPr id="3" name="Jube wordmar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ube wordmark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CFCCC4"/>
          <w:left w:val="single" w:sz="4" w:space="0" w:color="CFCCC4"/>
          <w:bottom w:val="single" w:sz="4" w:space="0" w:color="CFCCC4"/>
          <w:right w:val="single" w:sz="4" w:space="0" w:color="CFCCC4"/>
          <w:insideH w:val="single" w:sz="4" w:space="0" w:color="CFCCC4"/>
          <w:insideV w:val="single" w:sz="4" w:space="0" w:color="CFCCC4"/>
        </w:tblBorders>
        <w:tblLayout w:type="fixed"/>
        <w:tblLook w:val="04A0"/>
      </w:tblPr>
      <w:tblGrid>
        <w:gridCol w:w="2200"/>
        <w:gridCol w:w="7438"/>
      </w:tblGrid>
      <w:tr>
        <w:trPr>
          <w:tblHeader/>
        </w:trPr>
        <w:tc>
          <w:tcPr>
            <w:tcW w:w="22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Rule</w:t>
            </w:r>
          </w:p>
        </w:tc>
        <w:tc>
          <w:tcPr>
            <w:tcW w:w="7438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Colour</w:t>
            </w:r>
          </w:p>
        </w:tc>
        <w:tc>
          <w:tcPr>
            <w:tcW w:w="74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 Navy on white or light backgrounds. White on Jube Navy. Nothing else.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Clear space</w:t>
            </w:r>
          </w:p>
        </w:tc>
        <w:tc>
          <w:tcPr>
            <w:tcW w:w="74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On every side, at least half the height of the wordmark.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Minimum size</w:t>
            </w:r>
          </w:p>
        </w:tc>
        <w:tc>
          <w:tcPr>
            <w:tcW w:w="74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24 px high on screen; 8 mm high in print.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Placement</w:t>
            </w:r>
          </w:p>
        </w:tc>
        <w:tc>
          <w:tcPr>
            <w:tcW w:w="74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Top left of documents and pages; top left of the product shell.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Never</w:t>
            </w:r>
          </w:p>
        </w:tc>
        <w:tc>
          <w:tcPr>
            <w:tcW w:w="74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Stretch, rotate, outline, add shadows, recolour, place on photos or busy backgrounds, or set "Jube" in another font as a logo.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The Jube buffalo</w:t>
      </w:r>
    </w:p>
    <w:p>
      <w:pPr/>
      <w:r>
        <w:t xml:space="preserve">The buffalo is our mascot. It adds warmth where people meet Jube for the first time.</w:t>
      </w:r>
    </w:p>
    <w:tbl>
      <w:tblPr>
        <w:tblW w:w="9638" w:type="dxa"/>
        <w:tblBorders>
          <w:top w:val="single" w:sz="4" w:space="0" w:color="CFCCC4"/>
          <w:left w:val="single" w:sz="4" w:space="0" w:color="CFCCC4"/>
          <w:bottom w:val="single" w:sz="4" w:space="0" w:color="CFCCC4"/>
          <w:right w:val="single" w:sz="4" w:space="0" w:color="CFCCC4"/>
          <w:insideH w:val="single" w:sz="4" w:space="0" w:color="CFCCC4"/>
          <w:insideV w:val="single" w:sz="4" w:space="0" w:color="CFCCC4"/>
        </w:tblBorders>
        <w:tblLayout w:type="fixed"/>
        <w:tblLook w:val="04A0"/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Use it on</w:t>
            </w:r>
          </w:p>
        </w:tc>
        <w:tc>
          <w:tcPr>
            <w:tcW w:w="4819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Do not use it on</w:t>
            </w:r>
          </w:p>
        </w:tc>
      </w:tr>
      <w:tr>
        <w:trPr>
          <w:cantSplit/>
        </w:trPr>
        <w:tc>
          <w:tcPr>
            <w:tcW w:w="4819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Covers of guides and proposals; training material; the website; social posts; empty states and onboarding</w:t>
            </w:r>
          </w:p>
        </w:tc>
        <w:tc>
          <w:tcPr>
            <w:tcW w:w="4819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Product screens where people make decisions; reports to regulators; anywhere it would sit beside a case, a payment or a customer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supplied artwork only. Never redraw, crop the buffalo, change its colours or add speech.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width 30 mm in print, 120 px on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buffalo per page.</w:t>
      </w:r>
    </w:p>
    <w:p>
      <w:pPr>
        <w:pStyle w:val="Heading1"/>
      </w:pPr>
      <w:r>
        <w:t xml:space="preserve">4. Colour</w:t>
      </w:r>
    </w:p>
    <w:p>
      <w:pPr/>
      <w:r>
        <w:t xml:space="preserve">Two brand colours, three neutrals and one signal colour. Most of any page is white and ink; colour is used to mark, not to decorate.</w:t>
      </w:r>
    </w:p>
    <w:tbl>
      <w:tblPr>
        <w:tblW w:w="9638" w:type="dxa"/>
        <w:tblBorders>
          <w:top w:val="single" w:sz="4" w:space="0" w:color="CFCCC4"/>
          <w:left w:val="single" w:sz="4" w:space="0" w:color="CFCCC4"/>
          <w:bottom w:val="single" w:sz="4" w:space="0" w:color="CFCCC4"/>
          <w:right w:val="single" w:sz="4" w:space="0" w:color="CFCCC4"/>
          <w:insideH w:val="single" w:sz="4" w:space="0" w:color="CFCCC4"/>
          <w:insideV w:val="single" w:sz="4" w:space="0" w:color="CFCCC4"/>
        </w:tblBorders>
        <w:tblLayout w:type="fixed"/>
        <w:tblLook w:val="04A0"/>
      </w:tblPr>
      <w:tblGrid>
        <w:gridCol w:w="900"/>
        <w:gridCol w:w="1700"/>
        <w:gridCol w:w="1300"/>
        <w:gridCol w:w="1700"/>
        <w:gridCol w:w="4038"/>
      </w:tblGrid>
      <w:tr>
        <w:trPr>
          <w:tblHeader/>
        </w:trPr>
        <w:tc>
          <w:tcPr>
            <w:tcW w:w="9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Name</w:t>
            </w:r>
          </w:p>
        </w:tc>
        <w:tc>
          <w:tcPr>
            <w:tcW w:w="13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tcW w:w="17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RGB</w:t>
            </w:r>
          </w:p>
        </w:tc>
        <w:tc>
          <w:tcPr>
            <w:tcW w:w="4038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005F7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 Navy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#005F7F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0, 95, 127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Logo, headings, links, primary buttons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2FAB9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 Teal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#2FAB9B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47, 171, 155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Accents, rules, highlights. Not for text on white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23221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Ink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#23221F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35, 34, 31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Body text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4A484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Slate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#4A4842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74, 72, 66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Secondary text, captions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CFCCC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Stone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#CFCCC4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207, 204, 196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Lines and table borders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Mist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#F4F3EF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244, 243, 239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Table headers, panels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B42318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Signal Red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#B42318</w:t>
            </w:r>
          </w:p>
        </w:tc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180, 35, 24</w:t>
            </w:r>
          </w:p>
        </w:tc>
        <w:tc>
          <w:tcPr>
            <w:tcW w:w="40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Risk only: high risk, confirmed fraud, errors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Text is Ink or Navy on white, or white on Navy. Both pass WCAG AA.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Teal on white is too light for text; use it for shapes and lines.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means risk and nothing else. Never use it for emphasis or branding.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buffalo's browns belong to the mascot artwork only.</w:t>
      </w:r>
    </w:p>
    <w:p>
      <w:pPr>
        <w:pStyle w:val="Heading1"/>
      </w:pPr>
      <w:r>
        <w:t xml:space="preserve">5. Typography</w:t>
      </w:r>
    </w:p>
    <w:p>
      <w:pPr/>
      <w:r>
        <w:rPr>
          <w:b/>
        </w:rPr>
        <w:t xml:space="preserve">IBM Plex Sans</w:t>
      </w:r>
      <w:r>
        <w:t xml:space="preserve"> for everything we write; </w:t>
      </w:r>
      <w:r>
        <w:rPr>
          <w:b/>
        </w:rPr>
        <w:t xml:space="preserve">IBM Plex Mono</w:t>
      </w:r>
      <w:r>
        <w:t xml:space="preserve"> for identifiers, code and data. Both are free, open source and available in Google Docs, Word and on the web.</w:t>
      </w:r>
    </w:p>
    <w:tbl>
      <w:tblPr>
        <w:tblW w:w="9638" w:type="dxa"/>
        <w:tblBorders>
          <w:top w:val="single" w:sz="4" w:space="0" w:color="CFCCC4"/>
          <w:left w:val="single" w:sz="4" w:space="0" w:color="CFCCC4"/>
          <w:bottom w:val="single" w:sz="4" w:space="0" w:color="CFCCC4"/>
          <w:right w:val="single" w:sz="4" w:space="0" w:color="CFCCC4"/>
          <w:insideH w:val="single" w:sz="4" w:space="0" w:color="CFCCC4"/>
          <w:insideV w:val="single" w:sz="4" w:space="0" w:color="CFCCC4"/>
        </w:tblBorders>
        <w:tblLayout w:type="fixed"/>
        <w:tblLook w:val="04A0"/>
      </w:tblPr>
      <w:tblGrid>
        <w:gridCol w:w="1800"/>
        <w:gridCol w:w="2500"/>
        <w:gridCol w:w="2000"/>
        <w:gridCol w:w="3338"/>
      </w:tblGrid>
      <w:tr>
        <w:trPr>
          <w:tblHeader/>
        </w:trPr>
        <w:tc>
          <w:tcPr>
            <w:tcW w:w="18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Element</w:t>
            </w:r>
          </w:p>
        </w:tc>
        <w:tc>
          <w:tcPr>
            <w:tcW w:w="25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Font</w:t>
            </w:r>
          </w:p>
        </w:tc>
        <w:tc>
          <w:tcPr>
            <w:tcW w:w="20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Size in documents</w:t>
            </w:r>
          </w:p>
        </w:tc>
        <w:tc>
          <w:tcPr>
            <w:tcW w:w="3338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IBM Plex Sans SemiBold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28 pt, Navy</w:t>
            </w:r>
          </w:p>
        </w:tc>
        <w:tc>
          <w:tcPr>
            <w:tcW w:w="33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Covers only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Heading 1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IBM Plex Sans SemiBold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18 pt, Navy</w:t>
            </w:r>
          </w:p>
        </w:tc>
        <w:tc>
          <w:tcPr>
            <w:tcW w:w="33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Numbered: 1, 2, 3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Heading 2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IBM Plex Sans SemiBold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13 pt, Ink</w:t>
            </w:r>
          </w:p>
        </w:tc>
        <w:tc>
          <w:tcPr>
            <w:tcW w:w="33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IBM Plex Sans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11 pt, Ink</w:t>
            </w:r>
          </w:p>
        </w:tc>
        <w:tc>
          <w:tcPr>
            <w:tcW w:w="33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Line spacing 1.15; 6 pt after paragraphs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Caption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IBM Plex Sans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9 pt, Slate</w:t>
            </w:r>
          </w:p>
        </w:tc>
        <w:tc>
          <w:tcPr>
            <w:tcW w:w="33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Below figures: "Fig. 3 · Cases page"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Data and code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IBM Plex Mono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10 pt</w:t>
            </w:r>
          </w:p>
        </w:tc>
        <w:tc>
          <w:tcPr>
            <w:tcW w:w="33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Case ids, field names, endpoints: </w:t>
            </w:r>
            <w:r>
              <w:rPr>
                <w:rFonts w:ascii="IBM Plex Mono" w:hAnsi="IBM Plex Mono" w:cs="IBM Plex Mono"/>
                <w:sz w:val="20"/>
                <w:szCs w:val="20"/>
              </w:rPr>
              <w:t xml:space="preserve">C-9041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IBM Plex Mono" w:hAnsi="IBM Plex Mono" w:cs="IBM Plex Mono"/>
                <w:sz w:val="20"/>
                <w:szCs w:val="20"/>
              </w:rPr>
              <w:t xml:space="preserve">GET /api/Me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Sentence case for every heading and button: "Decide payment", not "Decide Payment".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Bold for the few words a reader must not miss. No underlines except links. No italics for emphasis.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use more than two sizes of heading on a page.</w:t>
      </w:r>
    </w:p>
    <w:p>
      <w:pPr>
        <w:pStyle w:val="Heading1"/>
      </w:pPr>
      <w:r>
        <w:t xml:space="preserve">6. Writing</w:t>
      </w:r>
    </w:p>
    <w:p>
      <w:pPr>
        <w:pStyle w:val="Heading2"/>
      </w:pPr>
      <w:r>
        <w:t xml:space="preserve">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Lead with the point.</w:t>
      </w:r>
      <w:r>
        <w:t xml:space="preserve"> The first sentence says what happened or what to 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Be exact.</w:t>
      </w:r>
      <w:r>
        <w:t xml:space="preserve"> "EGP 48,500 to a new payee, 41 s after login", not "a suspicious payment".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Show the evidence.</w:t>
      </w:r>
      <w:r>
        <w:t xml:space="preserve"> Every claim can be traced to a fact, a source or a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Short sentences, common words.</w:t>
      </w:r>
      <w:r>
        <w:t xml:space="preserve"> Explain a term the first time you use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Calm, never alarming.</w:t>
      </w:r>
      <w:r>
        <w:t xml:space="preserve"> State risk plainly; no exclamation marks, no hype.</w:t>
      </w:r>
    </w:p>
    <w:p>
      <w:pPr>
        <w:pStyle w:val="Heading2"/>
      </w:pPr>
      <w:r>
        <w:t xml:space="preserve">House rules</w:t>
      </w:r>
    </w:p>
    <w:tbl>
      <w:tblPr>
        <w:tblW w:w="9638" w:type="dxa"/>
        <w:tblBorders>
          <w:top w:val="single" w:sz="4" w:space="0" w:color="CFCCC4"/>
          <w:left w:val="single" w:sz="4" w:space="0" w:color="CFCCC4"/>
          <w:bottom w:val="single" w:sz="4" w:space="0" w:color="CFCCC4"/>
          <w:right w:val="single" w:sz="4" w:space="0" w:color="CFCCC4"/>
          <w:insideH w:val="single" w:sz="4" w:space="0" w:color="CFCCC4"/>
          <w:insideV w:val="single" w:sz="4" w:space="0" w:color="CFCCC4"/>
        </w:tblBorders>
        <w:tblLayout w:type="fixed"/>
        <w:tblLook w:val="04A0"/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w="17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Topic</w:t>
            </w:r>
          </w:p>
        </w:tc>
        <w:tc>
          <w:tcPr>
            <w:tcW w:w="37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Rule</w:t>
            </w:r>
          </w:p>
        </w:tc>
        <w:tc>
          <w:tcPr>
            <w:tcW w:w="4238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Spelling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British English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colour, authorise, licence (noun)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Dates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Day, month name, year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4 October 2026; 4 Oct in tables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Times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24-hour, with seconds only when they matter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10:14, 10:14:55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Money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Currency code, space, amount with commas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EGP 25,000; GBP 85,000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Numbers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Numerals for 10 and above and all measurements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9 days, 11 deposits, 56%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Lists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Sentence case; full stop only if items are sentences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See this list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Buttons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Verb first, sentence case, two or three words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Release payment; Add as fact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Errors</w:t>
            </w:r>
          </w:p>
        </w:tc>
        <w:tc>
          <w:tcPr>
            <w:tcW w:w="37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What happened, then what to do</w:t>
            </w:r>
          </w:p>
        </w:tc>
        <w:tc>
          <w:tcPr>
            <w:tcW w:w="42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"Payment system unavailable since 08:41. Try again when it is back."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Names and terms</w:t>
      </w:r>
    </w:p>
    <w:tbl>
      <w:tblPr>
        <w:tblW w:w="9638" w:type="dxa"/>
        <w:tblBorders>
          <w:top w:val="single" w:sz="4" w:space="0" w:color="CFCCC4"/>
          <w:left w:val="single" w:sz="4" w:space="0" w:color="CFCCC4"/>
          <w:bottom w:val="single" w:sz="4" w:space="0" w:color="CFCCC4"/>
          <w:right w:val="single" w:sz="4" w:space="0" w:color="CFCCC4"/>
          <w:insideH w:val="single" w:sz="4" w:space="0" w:color="CFCCC4"/>
          <w:insideV w:val="single" w:sz="4" w:space="0" w:color="CFCCC4"/>
        </w:tblBorders>
        <w:tblLayout w:type="fixed"/>
        <w:tblLook w:val="04A0"/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w="30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Write</w:t>
            </w:r>
          </w:p>
        </w:tc>
        <w:tc>
          <w:tcPr>
            <w:tcW w:w="2800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Not</w:t>
            </w:r>
          </w:p>
        </w:tc>
        <w:tc>
          <w:tcPr>
            <w:tcW w:w="3838" w:type="dxa"/>
            <w:shd w:val="clear" w:color="auto" w:fill="F4F3E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JUBE, jube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The wordmark is capitals; in text it is "Jube"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 v2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 2.0, Jube V2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open source; open-source software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opensource, Open Source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Hyphenate only before a noun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AML and fraud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fraud and AML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In that order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AskJooby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Ask Jooby, Askjooby, the chatbot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The product. In a sentence the assistant is "Jooby"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Bites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bites, Jooby Bites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Short AskJooby narratives in case work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Analyst Agent, Rule Writer, Researcher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analyst agent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AskJooby personas, title case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Exhaustive adaptation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exhaustive learning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Jube's model training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case, hold, release, refuse, suppression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ticket, block, approve payment</w:t>
            </w:r>
          </w:p>
        </w:tc>
        <w:tc>
          <w:tcPr>
            <w:tcW w:w="3838" w:type="dx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 w:line="260" w:lineRule="auto"/>
            </w:pPr>
            <w:r>
              <w:rPr>
                <w:sz w:val="20"/>
                <w:szCs w:val="20"/>
              </w:rPr>
              <w:t xml:space="preserve">Use the product's words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In the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with daisyUI themes: primary is Jube Navy, accent is Jube Teal, both in light and dark.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Icons are Lucide, outline style, at text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means state. Red is risk only; amber is a deadline; green is confirmed. Every state also has a word or icon, never colour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Identifiers and amounts use IBM Plex Mono with tabular figures.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output is always labelled: "Drafted by Jooby", "Bite", or a Finding card with its sources.</w:t>
      </w:r>
    </w:p>
    <w:p>
      <w:pPr>
        <w:pStyle w:val="Heading1"/>
      </w:pPr>
      <w:r>
        <w:t xml:space="preserve">9. Documents and slides</w:t>
      </w:r>
    </w:p>
    <w:p>
      <w:pPr>
        <w:pStyle w:val="Heading2"/>
      </w:pPr>
      <w:r>
        <w:t xml:space="preserve">Documents (Google Docs and Word)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A4, 2 cm margins. Use the built-in Title, Heading 1, Heading 2 and Normal text styles; never format headings by 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Cover: wordmark top left, title, one-line subtitle, optionally the buffalo, then author, date and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from page 2: the wordmark small on the left, the document title on the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Figures inline, full text width, with a caption below. Tables have a Mist header row and Stone borders.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text boxes, columns or floating images; they do not survive Google Docs.</w:t>
      </w:r>
    </w:p>
    <w:p>
      <w:pPr>
        <w:pStyle w:val="Heading2"/>
      </w:pPr>
      <w:r>
        <w:t xml:space="preserve">Slides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16:9, white background, Navy titles, one idea per slide.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at least 24 pt. A number, a screenshot or a short list, not all three.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Teal for a single accent line or shape per slide.</w:t>
      </w:r>
    </w:p>
    <w:p>
      <w:pPr>
        <w:pStyle w:val="Heading1"/>
      </w:pPr>
      <w:r>
        <w:t xml:space="preserve">10. Before you publish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wordmark is the supplied file, with clear space, in Navy or white.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the colours in section 4; red only for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Plex Sans and Plex Mono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Headings in sentence case; British spelling; dates as 4 October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number and claim can be traced to its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AI-written text is labelled.</w:t>
      </w: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  <w:spacing w:after="0"/>
    </w:pPr>
    <w:r>
      <w:rPr>
        <w:color w:val="4A4842"/>
        <w:sz w:val="17"/>
      </w:rPr>
      <w:t xml:space="preserve">Page </w:t>
    </w:r>
    <w:r>
      <w:rPr>
        <w:color w:val="4A4842"/>
        <w:sz w:val="17"/>
      </w:rPr>
      <w:fldChar w:fldCharType="begin"/>
    </w:r>
    <w:r>
      <w:rPr>
        <w:color w:val="4A4842"/>
        <w:sz w:val="17"/>
      </w:rPr>
      <w:instrText xml:space="preserve"> PAGE </w:instrText>
    </w:r>
    <w:r>
      <w:rPr>
        <w:color w:val="4A4842"/>
        <w:sz w:val="17"/>
      </w:rPr>
      <w:fldChar w:fldCharType="separate"/>
    </w:r>
    <w:r>
      <w:rPr>
        <w:color w:val="4A4842"/>
        <w:sz w:val="17"/>
      </w:rPr>
      <w:t>2</w:t>
    </w:r>
    <w:r>
      <w:rPr>
        <w:color w:val="4A4842"/>
        <w:sz w:val="17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638"/>
      </w:tabs>
      <w:pBdr>
        <w:bottom w:val="single" w:sz="8" w:space="4" w:color="005F7F"/>
      </w:pBdr>
      <w:spacing w:after="0"/>
    </w:pPr>
    <w:r>
      <w:drawing>
        <wp:inline distT="0" distB="0" distL="0" distR="0">
          <wp:extent cx="566928" cy="212944"/>
          <wp:docPr id="4" name="Jube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Jube"/>
                  <pic:cNvPicPr/>
                </pic:nvPicPr>
                <pic:blipFill>
                  <a:blip r:embed="rIdLogoH"/>
                  <a:stretch>
                    <a:fillRect/>
                  </a:stretch>
                </pic:blipFill>
                <pic:spPr>
                  <a:xfrm>
                    <a:off x="0" y="0"/>
                    <a:ext cx="566928" cy="2129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4A4842"/>
        <w:sz w:val="17"/>
      </w:rPr>
      <w:tab/>
      <w:t>Brand and style guide · v1.0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color w:val="005F7F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IBM Plex Sans" w:hAnsi="IBM Plex Sans" w:cs="IBM Plex Sans" w:eastAsia="IBM Plex Sans"/>
        <w:color w:val="23221F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00"/>
    </w:pPr>
    <w:rPr>
      <w:rFonts w:ascii="IBM Plex Sans SemiBold" w:hAnsi="IBM Plex Sans SemiBold" w:cs="IBM Plex Sans SemiBold" w:eastAsia="IBM Plex Sans SemiBold"/>
      <w:b/>
      <w:color w:val="005F7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600"/>
    </w:pPr>
    <w:rPr>
      <w:color w:val="4A4842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400" w:after="140"/>
      <w:outlineLvl w:val="0"/>
    </w:pPr>
    <w:rPr>
      <w:rFonts w:ascii="IBM Plex Sans SemiBold" w:hAnsi="IBM Plex Sans SemiBold" w:cs="IBM Plex Sans SemiBold" w:eastAsia="IBM Plex Sans SemiBold"/>
      <w:b/>
      <w:color w:val="005F7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rFonts w:ascii="IBM Plex Sans SemiBold" w:hAnsi="IBM Plex Sans SemiBold" w:cs="IBM Plex Sans SemiBold" w:eastAsia="IBM Plex Sans SemiBold"/>
      <w:b/>
      <w:color w:val="23221F"/>
      <w:sz w:val="26"/>
      <w:szCs w:val="26"/>
    </w:rPr>
  </w:style>
  <w:style w:type="paragraph" w:styleId="ListParagraph">
    <w:name w:val="List Paragraph"/>
    <w:basedOn w:val="Normal"/>
    <w:next w:val="Normal"/>
    <w:qFormat/>
    <w:pPr>
      <w:ind w:left="360" w:hanging="360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Logo" Type="http://schemas.openxmlformats.org/officeDocument/2006/relationships/image" Target="media/logo.png"/><Relationship Id="rIdBull" Type="http://schemas.openxmlformats.org/officeDocument/2006/relationships/image" Target="media/bull.png"/></Relationships>
</file>

<file path=word/_rels/header1.xml.rels><?xml version="1.0" encoding="UTF-8" standalone="yes"?><Relationships xmlns="http://schemas.openxmlformats.org/package/2006/relationships"><Relationship Id="rIdLogoH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Jube brand and style guide</dc:title>
  <dc:creator>Jube Holdings Limited</dc:creator>
  <dcterms:created xsi:type="dcterms:W3CDTF">2026-10-04T00:00:00Z</dcterms:created>
</cp:coreProperties>
</file>