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Mestizo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 (0.21 to 1.13)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 (0.49 to 6.21)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0.371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 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Primary or Secundary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Higher than Secondary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3.24 (1.39 to 8.09)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 (0.14 to 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0.337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1.28 (0.31 to 5.54)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 (0.05 to 20.05)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0.826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(0.20 to 4.13)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0.920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at first sexual intercourse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2.13 (1.08 to 4.34)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0.033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 (0.07 to 1.29)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0.148</w:t>
            </w:r>
          </w:p>
        </w:tc>
      </w:tr>
      <w:tr>
        <w:trPr>
          <w:trHeight w:val="57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Number of children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4.14 (1.00 to 18.81)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0.055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 (0.38 to 6.04)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0.592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or more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3.76 (0.95 to 16.49)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 = Odds Ratio, 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2025-04-01T22:02:13Z</dcterms:modified>
  <cp:category/>
</cp:coreProperties>
</file>