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de la biblioteca documental de EVYDENTIA</w:t>
      </w:r>
    </w:p>
    <w:p>
      <w:pPr>
        <w:pStyle w:val="Subtitle"/>
      </w:pPr>
      <w:r>
        <w:t>Arquitectura catálogo y primer lote de plantillas</w:t>
      </w:r>
    </w:p>
    <w:p>
      <w:r>
        <w:t>EVYDENTIA  |  DISENO-01  |  Corte normativo 2026-10-24</w:t>
      </w:r>
    </w:p>
    <w:p>
      <w:r>
        <w:t>Se propone una biblioteca maestra de 50 entradas con variantes y reglas de aplicabilidad. Esta entrega incluye ocho plantillas editables para revisión y adaptación, el catálogo ampliado y la especificación funcional. Las otras entradas permanecen identificadas como planificadas o como salidas existentes por mapear; no se presentan como archivos ya producidos.</w:t>
      </w:r>
    </w:p>
    <w:p>
      <w:pPr>
        <w:pStyle w:val="Heading1"/>
      </w:pPr>
      <w:r>
        <w:t>Alcance y entregables</w:t>
      </w:r>
    </w:p>
    <w:p>
      <w:r>
        <w:t>Se revisaron las tres hojas del catálogo original y se conservaron sus veinte códigos. El primer lote prioriza inventarios, tratamientos, legitimación, selección de EIPD, información, derechos y plan de acciones. No se dispone del código de EVYDENTIA, del cuestionario completo de 80 preguntas ni de sus identificadores; el mapeo de preguntas y la integración ejecutable quedan pendientes. El diseño no implica que la pestaña ya esté programada o publicada.</w:t>
      </w:r>
    </w:p>
    <w:p>
      <w:r>
        <w:t>Archivos: catálogo maestro; INV-01, INV-02, RAT-01, LEG-01 y PLA-01 en Excel; EIPD-00, AVI-01 y PRO-01 en Word. Los Excel incluyen registro en blanco, ejemplo ficticio independiente e instrucciones. No se proporcionaron logotipos ni manual oficial: se utiliza identificación textual neutral sin recrear la marca.</w:t>
      </w:r>
    </w:p>
    <w:p>
      <w:pPr>
        <w:pStyle w:val="Heading1"/>
      </w:pPr>
      <w:r>
        <w:t>Diagnóstico del catálogo de origen</w:t>
      </w:r>
    </w:p>
    <w:p>
      <w:r>
        <w:t>El catálogo es una base para centro médico mediano. Su secuencia es aprovechable, pero mezcla instrumentos de gestión, obligaciones jurídicas y estados de ejecución. Faltan el control de las plantillas maestras, reglas de selección verificables y registros operativos separados para derechos, incidentes y terceros. Las referencias a historia clínica se trasladan a la variante de salud.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512"/>
        <w:gridCol w:w="7056"/>
      </w:tblGrid>
      <w:tr>
        <w:trPr>
          <w:cantSplit/>
          <w:tblHeader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Cambio y razón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DIA-01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Conservar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Exportación o espejo del assessment existente; no reconstruir las 80 preguntas sin su fuente.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DIA-02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Distinguir falta de evidencia de incumplimiento confirmado; añadir requisito y revisión humana.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INV-01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Mantener catálogo de categorías; no recopilar datos de personas en este inventario.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INV-02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Incluir archivo físico nube custodios y accesos desde otros países.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RAT-01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Evaluar art. 38 RGLOPDP y regla de gran escala N09 art. 6; separar adopción voluntaria.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LEG-01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Una base justificada por finalidad y condiciones adicionales para categorías especiales.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LIA-01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Seguir N07 y anexo; no basta una casilla de interés legítimo ni sustituye régimen sensible.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RIE-01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Escenarios de daño al titular y evidencia de controles; sin porcentaje automático de reducción.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EIPD-00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Conservar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Agregar disparadores específicos de biometría y otros que resulten aplicables.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EIPD-01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Separar análisis asesoría del DPD y decisiones del responsable; registrar riesgo residual.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SEG-01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Eficacia probada por control y riesgo; no solo declaración de existencia.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POL-01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Conservar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Documento interno de gobierno; no sustituye aviso al titular.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AVI-01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Versionar por finalidad audiencia y canal con trazabilidad de comunicación.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Verificar rol del proveedor antes de asignar contrato de encargo; anexos de N04.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Dividir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Procedimiento más DER-01 solicitud DER-02 registro y DER-03 respuestas; sin formulario obligatorio exclusivo.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PRO-02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Dividir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Procedimiento más INC-01 expediente del evento e INC-02 auxiliar para notificar.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PRO-03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Dividir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Procedimiento más RET-01 tabla y RET-02 acta; plazos sanitarios pasan a variante salud.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CAP-01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Conservar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Plan y registro integrados por función con evaluación de aprendizaje.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PLA-01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Exportación del módulo de acciones con control de cierre por evidencia y eficacia.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AUD-01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Ampliar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Aclarar alcance interno; separar auditoría regulatoria y acciones correctivas AUD-02.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Arquitectura y entidades</w:t>
      </w:r>
    </w:p>
    <w:p>
      <w:r>
        <w:t>Biblioteca maestra: una definición de plantilla con su versión y archivos. Variantes: bloques o anexos vinculados a un maestro, habilitados por contexto. Instancias: documentos de una organización, creados desde una versión determinada y con aprobación propia. Ejemplos e instrucciones quedan separados de la versión para uso.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Identidad y relaciones esenciales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Organización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organization_id; perfil; sector; tamaño; roles por actividad; sin compartir datos de clientes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Plantilla y versión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template_id; código; template_version_id; archivo; estado editorial; fuentes; variables; checksum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Regla de aplicabilidad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rule_id; versión; hechos requeridos; resultado; fundamento; revisor; fecha; evidencia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Documento del cliente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document_id; organization_id; template_version_id; versión propia; estado; aprobaciones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Actividad y requisito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treatment_id; requirement_id; norma y versión; responsables; relaciones con hallazgos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Hallazgo y acción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gap_id; action_id; prioridad; fechas; dueño; aceptación; enlaces muchos a muchos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Evidencia y revisión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evidence_id; versión; hash; acceso; retención; review_id; criterio; resultado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Evento de auditoría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actor; organization_id; entidad; acción; versión anterior y nueva; fecha; motivo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Estados y aprobación</w:t>
      </w:r>
    </w:p>
    <w:p>
      <w:r>
        <w:t>Plantilla maestra: Planificada, En elaboración, Revisión jurídica, Revisión técnica, Publicada, Sustituida o Retirada. El estado Creada para revisión de este lote equivale a borrador editorial, no a Publicada. Solo versiones publicadas se ofrecen como vigentes por defecto.</w:t>
      </w:r>
    </w:p>
    <w:p>
      <w:r>
        <w:t>Documento de cliente: Borrador, En revisión, Aprobado, Implementado, Verificado eficaz, Sustituido o Archivado. Aprobar congela la versión; una corrección crea una nueva. La revisión del DPD puede quedar registrada como opinión y discrepancias, sin convertirlo en ejecutor ni aprobador automático de la decisión empresarial.</w:t>
      </w:r>
    </w:p>
    <w:p>
      <w:r>
        <w:t>Aplicabilidad tiene tres resultados: Aplica, No aplica, Información insuficiente. El sistema guarda por separado si hay obligación expresa, una medida demostrativa o una buena práctica. Un documento puede servir para cumplir una obligación sin que su nombre o formato concreto esté impuesto por ley.</w:t>
      </w:r>
    </w:p>
    <w:p>
      <w:pPr>
        <w:pStyle w:val="Heading1"/>
      </w:pPr>
      <w:r>
        <w:t>Experiencia de la pestaña</w:t>
      </w:r>
    </w:p>
    <w:p>
      <w:r>
        <w:t>Al ingresar a una organización, mostrar Documentos recomendados, Todos los documentos y Mis documentos. Encabezado con organización activa y estado de perfil. Buscador por código nombre finalidad y contenido autorizado; filtros por familia etapa formato naturaleza aplicabilidad variante y estado.</w:t>
      </w:r>
    </w:p>
    <w:p>
      <w:r>
        <w:t>Cada fila muestra código, título, propósito breve, formato, motivo de recomendación, versión y estado. Una ficha lateral contiene cuándo se usa, insumos, fuentes, pendientes, campos requeridos, vista previa y documentos relacionados. No mostrar al cliente una plantilla planificada como descargable.</w:t>
      </w:r>
    </w:p>
    <w:p>
      <w:r>
        <w:t>Acciones: ver ficha; crear documento para esta organización; completar datos; guardar borrador; descargar editable; vincular a acción; enviar a revisión; aprobar según permiso; registrar implementación; adjuntar evidencia; consultar historial. Si faltan campos obligatorios, señalar cada campo y bloquear aprobación, manteniendo guardado y descarga de borrador identificada.</w:t>
      </w:r>
    </w:p>
    <w:p>
      <w:r>
        <w:t>La vista previa y los ejemplos deben indicarse como demostrativos. La descarga necesita permisos de lectura y genera evento de auditoría. La búsqueda de contenido respeta el aislamiento de cada organización y nunca utiliza documentos de otros clientes como ejemplos de IA.</w:t>
      </w:r>
    </w:p>
    <w:p>
      <w:pPr>
        <w:pStyle w:val="Heading1"/>
      </w:pPr>
      <w:r>
        <w:t>Reglas de selección y trazabilidad</w:t>
      </w:r>
    </w:p>
    <w:p>
      <w:r>
        <w:t>La selección usa hechos por tratamiento. Los valores desconocidos no se convierten en No. Las reglas AP-01 a AP-16 del catálogo conservan pregunta, lógica, documentos y responsable de validación. Su automatización requiere prueba contra la norma completa y control de versión. Los resultados son sugerencias revisables, no dictámenes automáticos.</w:t>
      </w:r>
    </w:p>
    <w:p>
      <w:r>
        <w:t>RAT: separar el supuesto general del art. 38 RGLOPDP de los supuestos específicos de gran escala. El oficio N12 diferencia RAT y DPD pero es no vinculante y no elimina la revisión de N09. No configurar la regla simplista Todo centro médico tiene RAT obligatorio ni la regla Solo 100 trabajadores en todos los casos.</w:t>
      </w:r>
    </w:p>
    <w:p>
      <w:r>
        <w:t>Cada pregunta del assessment se vincula a uno o varios requisitos; cada requisito a hallazgos; hallazgos a acciones; acciones a documentos y evidencias. Definir tablas de enlace para relaciones muchos a muchos. No utilizar el nombre del archivo como clave de relación.</w:t>
      </w:r>
    </w:p>
    <w:p>
      <w:r>
        <w:t>Las 80 preguntas no fueron suministradas. Crear una tabla de mapeo con question_id real, versión de cuestionario, requirement_id, tipo de evidencia y regla; mantener Sin mapear hasta recibir la fuente. No inventar números de preguntas.</w:t>
      </w:r>
    </w:p>
    <w:p>
      <w:pPr>
        <w:pStyle w:val="Heading1"/>
      </w:pPr>
      <w:r>
        <w:t>Automatización y actualización de documentos</w:t>
      </w:r>
    </w:p>
    <w:p>
      <w:r>
        <w:t>1. Capturar perfil y actividad. 2. Evaluar reglas con evidencia. 3. Recomendar plantillas. 4. Instanciar la versión seleccionada. 5. Insertar únicamente variables verificadas. 6. Marcar campos faltantes. 7. Revisión y aprobación. 8. Implementación y comprobación. Cualquier IA debe mostrar origen de los datos, versión del modelo y cambios propuestos.</w:t>
      </w:r>
    </w:p>
    <w:p>
      <w:r>
        <w:t>Para generación determinista de DOCX, el futuro motor sustituirá variables y bloques condicionales. En Excel mantendrá fórmulas y validaciones. Esta entrega proporciona archivos y diccionario; no incluye un servicio de generación conectado a la plataforma.</w:t>
      </w:r>
    </w:p>
    <w:p>
      <w:r>
        <w:t>Cuando cambia una norma, crear evento normativo, identificar requisitos y versiones afectadas y asignar revisión. Publicar una nueva versión tras aprobarla, emitir aviso a organizaciones afectadas y ofrecer comparación. Nunca sobrescribir documentos aprobados ni afirmar que el aviso equivale a su actualización efectiva.</w:t>
      </w:r>
    </w:p>
    <w:p>
      <w:pPr>
        <w:pStyle w:val="Heading1"/>
      </w:pPr>
      <w:r>
        <w:t>Permisos y protección de la información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Permisos propuestos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Administrador editorial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Gestiona maestros reglas y fuentes; publicación exige revisiones registradas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Consultor asignado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Accede solo a organizaciones autorizadas; elabora instancias y solicita revisión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Dueño de proceso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Completa datos y aporta evidencias de sus actividades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Revisor jurídico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Revisa fundamento aplicabilidad y restricciones; deja observaciones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DPD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Asesora y supervisa; acceso necesario sin asumir decisiones de implementación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Responsable o delegado autorizado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Aprueba documentos decisiones de riesgo y recursos según facultades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Lectura de alcance autorizado y evidencias; registra comprobaciones sin alterar aprobaciones</w:t>
            </w:r>
          </w:p>
        </w:tc>
      </w:tr>
    </w:tbl>
    <w:p>
      <w:pPr>
        <w:spacing w:after="40" w:before="0" w:line="40" w:lineRule="exact"/>
      </w:pPr>
    </w:p>
    <w:p>
      <w:r>
        <w:t>Aplicar autorización por organización en cada petición y descarga; denegar acceso por defecto; usar enlaces temporales; registrar lectura y descarga de evidencias sensibles; cifrar tránsito y almacenamiento; autenticar roles privilegiados y disponer de respaldo y recuperación verificados. Los registros de auditoría deben resistir alteraciones y tener retención definida. Son requisitos de diseño que deben comprobarse en la implementación.</w:t>
      </w:r>
    </w:p>
    <w:p>
      <w:pPr>
        <w:pStyle w:val="Heading1"/>
      </w:pPr>
      <w:r>
        <w:t>Cierre de acciones e indicadores</w:t>
      </w:r>
    </w:p>
    <w:p>
      <w:r>
        <w:t>Una acción se cierra al cumplir sus criterios de aceptación, con evidencia accesible y verificable, revisión por persona autorizada y comprobación de eficacia cuando corresponda. Cargar o descargar un archivo no acredita implementación. Las exclusiones necesitan decisión motivada e historial, no borrado del hallazgo.</w:t>
      </w:r>
    </w:p>
    <w:p>
      <w:r>
        <w:t>PLA-01 utiliza fecha de corte explícita, fechas Excel reales y una puerta de cierre verificable. La alerta detecta evidencia, revisor, resultado y fecha de verificación faltantes. Es una ayuda operacional que requiere comprobar el contenido de la evidencia. En producción impedir que un estado Cerrada se acepte si falta un requisito.</w:t>
      </w:r>
    </w:p>
    <w:p>
      <w:r>
        <w:t>Indicadores propuestos: acciones verificadas sobre acciones aplicables; acciones vencidas con fecha validada; documentos desactualizados; decisiones pendientes de información. Mostrar denominador, exclusiones, fecha de corte y resultados sin mapear. Ningún porcentaje debe denominarse garantía de cumplimiento legal.</w:t>
      </w:r>
    </w:p>
    <w:p>
      <w:pPr>
        <w:pStyle w:val="Heading1"/>
      </w:pPr>
      <w:r>
        <w:t>Pruebas de aplicabilidad con perfiles ficticios</w:t>
      </w:r>
    </w:p>
    <w:p>
      <w:pPr>
        <w:pStyle w:val="Heading2"/>
      </w:pPr>
      <w:r>
        <w:t>Microempresa privada de servicios</w:t>
      </w:r>
    </w:p>
    <w:p>
      <w:r>
        <w:t>8 trabajadores; clientes adultos; sin biometría; nube con soporte extranjero; encargados de nómina</w:t>
      </w:r>
    </w:p>
    <w:p>
      <w:r>
        <w:t>Selección propuesta: INV-01;INV-02;LEG-01;AVI-01;PRO-01;PLA-01;PRV-01;TRA-01;GOB-01;EIPD-00</w:t>
      </w:r>
    </w:p>
    <w:p>
      <w:r>
        <w:t>Decisiones: RAT: adopción recomendada si no concurre supuesto específico; escala pendiente de datos. DPD: evaluar actividad, no presumir exención.</w:t>
      </w:r>
    </w:p>
    <w:p>
      <w:r>
        <w:t>No activar VAR-BIO; CON-01 solo al confirmar encargado; LIA solo si base elegida lo requiere.</w:t>
      </w:r>
    </w:p>
    <w:p>
      <w:pPr>
        <w:pStyle w:val="Heading2"/>
      </w:pPr>
      <w:r>
        <w:t>Centro médico privado mediano</w:t>
      </w:r>
    </w:p>
    <w:p>
      <w:r>
        <w:t>60 trabajadores; historias clínicas; sin biometría; prestador institucional no consultorio individual; escala por verificar</w:t>
      </w:r>
    </w:p>
    <w:p>
      <w:r>
        <w:t>Selección propuesta: Base general;VAR-SAL;GOB-01;GOB-02 si confirma art.10.7;ESC-01;EIPD-00;RET-01;PRV-01</w:t>
      </w:r>
    </w:p>
    <w:p>
      <w:r>
        <w:t>Decisiones: DPD: supuesto sectorial N05 art.10.7 a contrastar. RAT: no inferir obligatoriedad solo por salud; valorar N09 art.6. EIPD: si escala especial o alto riesgo.</w:t>
      </w:r>
    </w:p>
    <w:p>
      <w:r>
        <w:t>Plazo historia clínica pendiente de normativa sanitaria; consentimiento asistencial separado.</w:t>
      </w:r>
    </w:p>
    <w:p>
      <w:pPr>
        <w:pStyle w:val="Heading2"/>
      </w:pPr>
      <w:r>
        <w:t>Entidad pública municipal</w:t>
      </w:r>
    </w:p>
    <w:p>
      <w:r>
        <w:t>180 trabajadores; competencias públicas; plataforma de trámites; proyecto de acceso biométrico</w:t>
      </w:r>
    </w:p>
    <w:p>
      <w:r>
        <w:t>Selección propuesta: Base general;RAT-01;GOB-01;GOB-02;VAR-PUB;VAR-BIO;EIPD-01;DIS-01</w:t>
      </w:r>
    </w:p>
    <w:p>
      <w:r>
        <w:t>Decisiones: RAT por art.38; DPD por sector público. Biometría exige revisión de necesidad y EIPD; no autoriza por sí sola su uso.</w:t>
      </w:r>
    </w:p>
    <w:p>
      <w:r>
        <w:t>Competencias públicas por finalidad; transparencia no habilita divulgar indiscriminadamente datos personales.</w:t>
      </w:r>
    </w:p>
    <w:p>
      <w:pPr>
        <w:pStyle w:val="Heading1"/>
      </w:pPr>
      <w:r>
        <w:t>Producción por lotes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600"/>
        <w:gridCol w:w="5328"/>
      </w:tblGrid>
      <w:tr>
        <w:trPr>
          <w:cantSplit/>
          <w:tblHeader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Lote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Salida y criterio de cierre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DIA-01 y DIA-02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Mapear salidas existentes; requiere cuestionario y esquema reales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8 plantillas iniciales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Entregadas v0.1 para revisión; archivos abren y controles revisados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Riesgos gobierno controles e incidentes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Producir 10 archivos tras consolidar N03 N05 N09 N13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Legitimación derechos consentimiento y terceros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Producir 10 archivos; cotejar anexos y reglas de N04 N07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Transferencias diseño y conservación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Producir 6 archivos; verificar N06 y normativa sectorial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Formación monitoreo auditoría y documentación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Producir 5 archivos; definir métricas y evidencias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9 variantes sectoriales y tecnológicas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Producir anexos condicionales; fuentes sectoriales e IA consolidadas</w:t>
            </w:r>
          </w:p>
        </w:tc>
      </w:tr>
    </w:tbl>
    <w:p>
      <w:pPr>
        <w:spacing w:after="40" w:before="0" w:line="40" w:lineRule="exact"/>
      </w:pPr>
    </w:p>
    <w:p>
      <w:r>
        <w:t>Orden propuesto dentro del lote 2: PRO-02, INC-01, INC-02, GOB-01, GOB-03, ESC-01, RIE-01, SEG-01, EIPD-01 y POL-01. Ajustar prioridad ante incidentes o tratamientos de alto riesgo. Los lotes siguientes están planificados, no generados en este primer paquete.</w:t>
      </w:r>
    </w:p>
    <w:p>
      <w:pPr>
        <w:pStyle w:val="Heading1"/>
      </w:pPr>
      <w:r>
        <w:t>Fuentes y límites de verificación</w:t>
      </w:r>
    </w:p>
    <w:p>
      <w:r>
        <w:t>Fecha de consulta y corte de esta entrega: 24 de octubre de 2026, Ecuador. La revisión es específica de las disposiciones señaladas; no representa una certificación de vigencia consolidada de todo el ordenamiento. El catálogo Fuentes distingue texto localizado, disposición revisada, publicación corroborada y pendientes.</w:t>
      </w:r>
    </w:p>
    <w:p>
      <w:r>
        <w:t>N01 — LOPDP. Arts. 7 a 10, 12 a 24, 25 a 30, 37 a 43, 46 a 50 y 55 a 61. Publicación original 26 mayo 2021. Texto consultado; verificar reformas al aplicar.</w:t>
        <w:br/>
        <w:t>https://www.finanzaspopulares.gob.ec/wp-content/uploads/2021/07/ley_organica_de_proteccion_de_datos_personales.pdf</w:t>
      </w:r>
    </w:p>
    <w:p>
      <w:r>
        <w:t>N02 — Reglamento General Decreto 904. Art. 38 y capítulos sobre derechos, EIPD y DPD. RO tercer suplemento 435 de 13 noviembre 2023. Verificación de publicación; cotejo específico pendiente salvo art. 38 reproducido por SPDP.</w:t>
        <w:br/>
        <w:t>https://www.spdp.gob.ec/wp-content/uploads/2026/09/03-Reglamento-General-de-la-Ley-Organica-de-Proteccion-de-Datos-Personales-2023.pdf</w:t>
      </w:r>
    </w:p>
    <w:p>
      <w:r>
        <w:t>N03 — SPDP-SPD-2025-0003-R y guía de riesgos. Guía y anexo de evaluación de impacto. Instrumento localizado en portal oficial; cotejo metodológico íntegro pendiente.</w:t>
        <w:br/>
        <w:t>https://spdp.gob.ec/wp-content/uploads/2025/05/GUIA-DE-GESTION-DE-RIESGOS-E-IMPACTO-VERSION-1.pdf</w:t>
      </w:r>
    </w:p>
    <w:p>
      <w:r>
        <w:t>N04 — SPDP-SPD-2025-0006-R. Cláusulas contractuales y anexos por relación. Texto oficial localizado. Publicación y control de reformas pendientes de cotejo antes del lote contractual.</w:t>
        <w:br/>
        <w:t>https://www.spdp.gob.ec/wp-content/uploads/2025/12/06.01.01-SPDP-SPD-2025-0006-R-clausulas-para-contratos-en-Ecuador-signed_compressed.pdf</w:t>
      </w:r>
    </w:p>
    <w:p>
      <w:r>
        <w:t>N05 — SPDP-SPD-2025-0028-R. Arts. 4 y 10 y reglas de independencia. RO 105 de 19 agosto 2025 corroborado por oficio oficial N12. Verificar reformas antes de nombramiento.</w:t>
        <w:br/>
        <w:t>https://www.spdp.gob.ec/wp-content/uploads/2025/12/028-R_compressed.pdf</w:t>
      </w:r>
    </w:p>
    <w:p>
      <w:r>
        <w:t>N06 — SPDP-SPD-2025-0030-R. Reglamento de seudonimización anonimización bloqueo y eliminación. Existencia y título comprobados; PDF no accesible. Articulado pendiente de verificación normativa.</w:t>
        <w:br/>
        <w:t>https://www.spdp.gob.ec/resoluciones/</w:t>
      </w:r>
    </w:p>
    <w:p>
      <w:r>
        <w:t>N07 — SPDP-SPD-2025-0041-R. Arts. 5 a 10 y anexo 1; supuestos y prohibiciones. Texto oficial revisado en disposiciones indicadas; publicación y reformas por corroborar antes de aprobar LIA.</w:t>
        <w:br/>
        <w:t>https://www.spdp.gob.ec/wp-content/uploads/2025/12/41.01.01-SPSP-SPD-2025-0041-R-Normativa-general-para-la-aplicacion-del-interes-legitimo-y-su-anexo_compressed.pdf</w:t>
      </w:r>
    </w:p>
    <w:p>
      <w:r>
        <w:t>N08 — SPDP-SPD-2026-0004-R. Arts. 49 y 50 y régimen de transferencias. Texto oficial revisado parcialmente; publicación y relación con norma 2025-0024-R pendientes. No afirmar derogatoria no comprobada.</w:t>
        <w:br/>
        <w:t>https://www.spdp.gob.ec/wp-content/uploads/2026/08/04.01.01-SPSP-SPD-2026-0004-R-Norma-general-de-transferencias-signed.pdf</w:t>
      </w:r>
    </w:p>
    <w:p>
      <w:r>
        <w:t>N09 — SPDP-SPD-2026-0005-R. Arts. 4 a 6; MTGE y anexos. Art. 6 revisado. Publicación y validación íntegra del MTGE pendientes antes de automatizar la clasificación.</w:t>
        <w:br/>
        <w:t>https://www.spdp.gob.ec/wp-content/uploads/2026/08/Resolucion0005.pdf</w:t>
      </w:r>
    </w:p>
    <w:p>
      <w:r>
        <w:t>N10 — SPDP-SPD-2026-0009-R y reforma 0037-R. Norma de IA y reforma de septiembre 2026. Textos oficiales localizados; consolidación y publicación pendientes antes de producir variante IA.</w:t>
        <w:br/>
        <w:t>https://www.spdp.gob.ec/wp-content/uploads/2026/10/SPDP-SPD-2026-0037-R.pdf</w:t>
      </w:r>
    </w:p>
    <w:p>
      <w:r>
        <w:t>N11 — SPDP-SPD-2026-0039-R. Arts. 13 a 16 y disposición transitoria. Publicación confirmada RO 376 de 24 septiembre 2026. Revisar transición de sistemas preexistentes.</w:t>
        <w:br/>
        <w:t>https://www.spdp.gob.ec/wp-content/uploads/2026/10/SPDP-SPD-2026-0039-R-Norma-General-para-el-Tratamiento-de-Datos-Biometricos-signed.pdf</w:t>
      </w:r>
    </w:p>
    <w:p>
      <w:r>
        <w:t>N12 — Oficio SPDP-IRD-2026-0064-O. Reproduce art. 38 RGLOPDP y diferencia RAT y DPD. Texto oficial revisado. Es opinión para la consulta; no norma general ni exención frente a otras normas posteriores.</w:t>
        <w:br/>
        <w:t>https://www.spdp.gob.ec/docs/consultas-absueltas/2026-2/oficio-n-spdp-ird-2026-0064-o/</w:t>
      </w:r>
    </w:p>
    <w:p>
      <w:r>
        <w:t>N13 — SPDP-SPD-2026-0040-R. Arts. 8, 11 a 13 y disposición final. Publicación confirmada suplemento RO 376 de 24 septiembre 2026. Canal SISPDP; auxiliar no sustituye envío.</w:t>
        <w:br/>
        <w:t>https://www.spdp.gob.ec/wp-content/uploads/2026/10/SPDP-SPD-2026-0040-r.pdf</w:t>
      </w:r>
    </w:p>
    <w:p>
      <w:r>
        <w:t>N14 — Registro Oficial 376. Sumario biometría 0039-R. 24 septiembre 2026; comprobado.</w:t>
        <w:br/>
        <w:t>https://www.registroficial.gob.ec/registro-oficial-no-376-16/</w:t>
      </w:r>
    </w:p>
    <w:p>
      <w:r>
        <w:t>N15 — Suplemento Registro Oficial 376. Sumario notificaciones 0040-R. 24 septiembre 2026; comprobado.</w:t>
        <w:br/>
        <w:t>https://www.registroficial.gob.ec/suplemento-no-376/</w:t>
      </w:r>
    </w:p>
    <w:p>
      <w:r>
        <w:t>Pendientes materiales: articulado íntegro de N06; consolidación de IA N10; plazos por cada derecho del Reglamento; formalidades de transferencias y su régimen vigente; conservación sanitaria educativa laboral y archivo público. Las variantes sectoriales permanecen planificadas hasta completar esa revisión. Las fuentes oficiales publicadas después de la fecha de corte quedan fuera.</w:t>
      </w:r>
    </w:p>
    <w:p>
      <w:pPr>
        <w:pStyle w:val="Heading1"/>
      </w:pPr>
      <w:r>
        <w:t>Validación y condiciones para publicar la biblioteca</w:t>
      </w:r>
    </w:p>
    <w:p>
      <w:r>
        <w:t>Este paquete se verifica por apertura, estructura y revisión visual de Word y hojas de Excel; los controles de fórmulas se prueban con datos ficticios. El informe de validación incluido en el paquete recoge los resultados efectivos y sus límites. No se ha probado integración web ni operación en una cuenta real de EVYDENTIA.</w:t>
      </w:r>
    </w:p>
    <w:p>
      <w:r>
        <w:t>Antes de publicar: revisión jurídica y sectorial; completar configuración de plazos; validar motor de reglas; aprobar versiones maestras; probar separación de organizaciones, permisos y generación; ejecutar pruebas de aceptación con consultores. Mantener una política de revisión normativa con responsable y evidencias.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DISENO-01   •   v0.1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EVYDENTIA    Biblioteca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la biblioteca documental de EVYDENTIA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