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 necesidad de evaluación de impacto</w:t>
      </w:r>
    </w:p>
    <w:p>
      <w:pPr>
        <w:pStyle w:val="Subtitle"/>
      </w:pPr>
      <w:r>
        <w:t>Versión 0.2 para revisión y adaptación</w:t>
      </w:r>
    </w:p>
    <w:p>
      <w:r>
        <w:t>EVYDENTIA  |  EIPD-00  |  Corte normativo 2026-10-26</w:t>
      </w:r>
    </w:p>
    <w:p>
      <w:r>
        <w:t>Documentar, antes de iniciar o modificar una actividad, si procede una EIPD y qué información falta para decidir. Este análisis no sustituye la EIPD ni autoriza un tratamiento ilícito.</w:t>
      </w:r>
    </w:p>
    <w:p>
      <w:pPr>
        <w:pStyle w:val="Heading1"/>
      </w:pPr>
      <w:r>
        <w:t>Instrucciones de adaptación</w:t>
      </w:r>
    </w:p>
    <w:p>
      <w:r>
        <w:t>Esta es una plantilla maestra de EVYDENTIA, no un documento aprobado de una organización. Duplique el archivo, complete las variables {{...}}, elimine las instrucciones y el ejemplo antes de emitir la versión de uso. No registre información personal real en ejemplos ni publique información reservada.</w:t>
      </w:r>
    </w:p>
    <w:p>
      <w:r>
        <w:t xml:space="preserve">Campos obligatorios: organización, tratamiento o alcance, responsable de elaboración, revisión, fecha, versión, respuesta, evidencia y evaluador de cada criterio, y motivación. Campos condicionales: otros supuestos establecidos por la Autoridad, datos faltantes con su responsable y fecha límite, consulta a la Autoridad, evento de revisión y acción vinculada. Si faltan datos esenciales, conserve el estado Borrador y registre la acción necesaria.</w:t>
      </w:r>
    </w:p>
    <w:tbl>
      <w:tblPr>
        <w:tblW w:type="auto" w:w="0"/>
        <w:tblLayout w:type="fixed"/>
        <w:tblLook w:firstColumn="1" w:firstRow="1" w:lastColumn="0" w:lastRow="0" w:noHBand="0" w:noVBand="1" w:val="04A0"/>
      </w:tblPr>
      <w:tblGrid>
        <w:gridCol w:w="3024"/>
        <w:gridCol w:w="6768"/>
      </w:tblGrid>
      <w:tr>
        <w:trPr>
          <w:cantSplit/>
          <w:tblHeader/>
        </w:trPr>
        <w:tc>
          <w:tcPr>
            <w:tcW w:type="dxa" w:w="3024"/>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Control</w:t>
            </w:r>
          </w:p>
        </w:tc>
        <w:tc>
          <w:tcPr>
            <w:tcW w:type="dxa" w:w="6768"/>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Valor a completar</w:t>
            </w:r>
          </w:p>
        </w:tc>
      </w:tr>
      <w:tr>
        <w:trPr>
          <w:cantSplit/>
        </w:trPr>
        <w:tc>
          <w:tcPr>
            <w:tcW w:type="dxa" w:w="302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Organización</w:t>
            </w:r>
          </w:p>
        </w:tc>
        <w:tc>
          <w:tcPr>
            <w:tcW w:type="dxa" w:w="676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{{RAZON_SOCIAL}}</w:t>
            </w:r>
          </w:p>
        </w:tc>
      </w:tr>
      <w:tr>
        <w:trPr>
          <w:cantSplit/>
        </w:trPr>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Identificador</w:t>
            </w:r>
          </w:p>
        </w:tc>
        <w:tc>
          <w:tcPr>
            <w:tcW w:type="dxa" w:w="67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{{ORGANIZACION_ID}}</w:t>
            </w:r>
          </w:p>
        </w:tc>
      </w:tr>
      <w:tr>
        <w:trPr>
          <w:cantSplit/>
        </w:trPr>
        <w:tc>
          <w:tcPr>
            <w:tcW w:type="dxa" w:w="302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Tratamiento o alcance</w:t>
            </w:r>
          </w:p>
        </w:tc>
        <w:tc>
          <w:tcPr>
            <w:tcW w:type="dxa" w:w="676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{{TRATAMIENTO_ID}} / {{ALCANCE}}</w:t>
            </w:r>
          </w:p>
        </w:tc>
      </w:tr>
      <w:tr>
        <w:trPr>
          <w:cantSplit/>
        </w:trPr>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Elabora y fecha</w:t>
            </w:r>
          </w:p>
        </w:tc>
        <w:tc>
          <w:tcPr>
            <w:tcW w:type="dxa" w:w="67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{{ELABORA}} / {{FECHA}}</w:t>
            </w:r>
          </w:p>
        </w:tc>
      </w:tr>
      <w:tr>
        <w:trPr>
          <w:cantSplit/>
        </w:trPr>
        <w:tc>
          <w:tcPr>
            <w:tcW w:type="dxa" w:w="302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Revisa</w:t>
            </w:r>
          </w:p>
        </w:tc>
        <w:tc>
          <w:tcPr>
            <w:tcW w:type="dxa" w:w="676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{{REVISA}}</w:t>
            </w:r>
          </w:p>
        </w:tc>
      </w:tr>
      <w:tr>
        <w:trPr>
          <w:cantSplit/>
        </w:trPr>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Aprueba</w:t>
            </w:r>
          </w:p>
        </w:tc>
        <w:tc>
          <w:tcPr>
            <w:tcW w:type="dxa" w:w="67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{{APRUEBA}}</w:t>
            </w:r>
          </w:p>
        </w:tc>
      </w:tr>
      <w:tr>
        <w:trPr>
          <w:cantSplit/>
        </w:trPr>
        <w:tc>
          <w:tcPr>
            <w:tcW w:type="dxa" w:w="302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Estado y versión del cliente</w:t>
            </w:r>
          </w:p>
        </w:tc>
        <w:tc>
          <w:tcPr>
            <w:tcW w:type="dxa" w:w="676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{{ESTADO_DOCUMENTO}} / {{VERSION_CLIENTE}}</w:t>
            </w:r>
          </w:p>
        </w:tc>
      </w:tr>
    </w:tbl>
    <w:p>
      <w:pPr>
        <w:spacing w:after="40" w:before="0" w:line="40" w:lineRule="exact"/>
      </w:pPr>
    </w:p>
    <w:p>
      <w:pPr>
        <w:pStyle w:val="Heading1"/>
      </w:pPr>
      <w:r>
        <w:t>Descripción del tratamiento</w:t>
      </w:r>
    </w:p>
    <w:p>
      <w:r>
        <w:t>Finalidad específica y necesidad del tratamiento: {{FINALIDAD}}.</w:t>
      </w:r>
    </w:p>
    <w:p>
      <w:r>
        <w:t>Operaciones, sistemas, titulares y categorías de datos: {{OPERACIONES_DATOS_TITULARES}}.</w:t>
      </w:r>
    </w:p>
    <w:p>
      <w:r>
        <w:t>Rol de la organización, proveedores, países y acceso remoto: {{ROL_FLUJOS}}.</w:t>
      </w:r>
    </w:p>
    <w:p>
      <w:r>
        <w:t>Volumen, frecuencia, permanencia, alcance geográfico y evidencia sobre escala: {{CONTEXTO_ESCALA}}.</w:t>
      </w:r>
    </w:p>
    <w:p>
      <w:r>
        <w:t>Situación del proyecto: {{NUEVO_EXISTENTE_CAMBIO}}. Fecha prevista de inicio y decisiones previas: {{FECHA_INICIO}}.</w:t>
      </w:r>
    </w:p>
    <w:p>
      <w:pPr>
        <w:pStyle w:val="Heading1"/>
      </w:pPr>
      <w:r>
        <w:t>Comprobación de disparadores</w:t>
      </w:r>
    </w:p>
    <w:tbl>
      <w:tblPr>
        <w:tblW w:type="auto" w:w="0"/>
        <w:tblLayout w:type="fixed"/>
        <w:tblLook w:firstColumn="1" w:firstRow="1" w:lastColumn="0" w:lastRow="0" w:noHBand="0" w:noVBand="1" w:val="04A0"/>
      </w:tblPr>
      <w:tblGrid>
        <w:gridCol w:w="3888"/>
        <w:gridCol w:w="5904"/>
      </w:tblGrid>
      <w:tr>
        <w:trPr>
          <w:cantSplit/>
          <w:tblHeader/>
        </w:trPr>
        <w:tc>
          <w:tcPr>
            <w:tcW w:type="dxa" w:w="3888"/>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 xml:space="preserve">Criterio y fundamento</w:t>
            </w:r>
          </w:p>
        </w:tc>
        <w:tc>
          <w:tcPr>
            <w:tcW w:type="dxa" w:w="5904"/>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 xml:space="preserve">Respuesta, evidencia y evaluador</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Probabilidad de alto riesgo para los derechos y libertades del titular</w:t>
              <w:br/>
              <w:t xml:space="preserve">LOPDP art. 42, primer inciso</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{{SI_NO_DESCONOCIDO}}</w:t>
              <w:br/>
              <w:t xml:space="preserve">Evidencia y fundamento: {{ESCENARIOS_Y_SOPORTE}}</w:t>
              <w:br/>
              <w:t xml:space="preserve">Evaluador: {{EVALUADOR_ALTO_RIESGO}}</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Art. 42 a): evaluación sistemática y exhaustiva de aspectos personales basada en tratamiento automatizado, como la elaboración de perfiles, con decisiones que produzcan efectos jurídicos</w:t>
              <w:br/>
              <w:t xml:space="preserve">LOPDP art. 42 a); RGLOPDP art. 31</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{{EVALUACION_PERFILES_EFECTOS_JURIDICOS}}</w:t>
              <w:br/>
              <w:t xml:space="preserve">Evidencia y fundamento: {{EVIDENCIA_PERFILES}}</w:t>
              <w:br/>
              <w:t xml:space="preserve">Evaluador: {{EVALUADOR_PERFILES}}</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Art. 42 b): tratamiento a gran escala de categorías especiales de datos o de datos relativos a condenas e infracciones penales</w:t>
              <w:br/>
              <w:t xml:space="preserve">LOPDP art. 42 b); RGLOPDP art. 31; gran escala según N09 arts. 4 a 6 y 12.1</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Gran escala según el MTGE (Sí / No / Desconocido): {{GRAN_ESCALA}}</w:t>
              <w:br/>
              <w:t xml:space="preserve">Categorías especiales de datos (Sí / No / Desconocido): {{CAT_ESPECIAL}}</w:t>
              <w:br/>
              <w:t xml:space="preserve">Datos relativos a condenas e infracciones penales (Sí / No / Desconocido): {{PENAL}}</w:t>
              <w:br/>
              <w:t xml:space="preserve">Regla: requiere EIPD si hay gran escala y, además, categorías especiales o datos penales.</w:t>
              <w:br/>
              <w:t xml:space="preserve">Evidencia y fundamento: {{EVIDENCIA_GRAN_ESCALA}}</w:t>
              <w:br/>
              <w:t xml:space="preserve">Evaluador: {{EVALUADOR_GRAN_ESCALA}}</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Art. 42 c): observación sistemática a gran escala de una zona de acceso público</w:t>
              <w:br/>
              <w:t xml:space="preserve">LOPDP art. 42 c); RGLOPDP art. 31</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{{OBSERVACION_PUBLICA_GRAN_ESCALA}}</w:t>
              <w:br/>
              <w:t xml:space="preserve">Evidencia y fundamento: {{EVIDENCIA_OBSERVACION_PUBLICA}}</w:t>
              <w:br/>
              <w:t xml:space="preserve">Evaluador: {{EVALUADOR_OBSERVACION_PUBLICA}}</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Requerimiento de la Autoridad de Protección de Datos Personales</w:t>
              <w:br/>
              <w:t xml:space="preserve">LOPDP art. 42, primer inciso</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{{REQUERIMIENTO_AUTORIDAD}}</w:t>
              <w:br/>
              <w:t xml:space="preserve">Evidencia y fundamento: {{REQUERIMIENTO_REFERENCIA}}</w:t>
              <w:br/>
              <w:t xml:space="preserve">Evaluador: {{EVALUADOR_REQUERIMIENTO}}</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Sistema biométrico</w:t>
              <w:br/>
              <w:t xml:space="preserve">N11 arts. 5, 13 y 15 y disposición transitoria</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{{BIOMETRIA_SI_NO}}</w:t>
              <w:br/>
              <w:t xml:space="preserve">Sistema nuevo o en uso antes de la vigencia de N11: {{BIOMETRIA_NUEVO_O_EXISTENTE}}</w:t>
              <w:br/>
              <w:t xml:space="preserve">Evidencia y fundamento: {{EVIDENCIA_BIOMETRIA}}</w:t>
              <w:br/>
              <w:t xml:space="preserve">Evaluador: {{EVALUADOR_BIOMETRIA}}</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Otros supuestos establecidos por la Autoridad</w:t>
              <w:br/>
              <w:t xml:space="preserve">LOPDP art. 42, penúltimo inciso</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Respuesta (Sí / No / Desconocido): {{OTRO_SUPUESTO_RESPUESTA}}</w:t>
              <w:br/>
              <w:t xml:space="preserve">Evidencia y fundamento: {{NORMA_ARTICULO_SUPUESTO}}</w:t>
              <w:br/>
              <w:t xml:space="preserve">Evaluador: {{EVALUADOR_OTRO_SUPUESTO}}</w:t>
            </w:r>
          </w:p>
        </w:tc>
      </w:tr>
      <w:tr>
        <w:trPr>
          <w:cantSplit/>
        </w:trPr>
        <w:tc>
          <w:tcPr>
            <w:tcW w:type="dxa" w:w="3888"/>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Información insuficiente</w:t>
              <w:br/>
              <w:t xml:space="preserve">RGLOPDP art. 31, tercer inciso</w:t>
            </w:r>
          </w:p>
        </w:tc>
        <w:tc>
          <w:tcPr>
            <w:tcW w:type="dxa" w:w="590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 xml:space="preserve">Datos faltantes: {{DATOS_FALTANTES}}</w:t>
              <w:br/>
              <w:t xml:space="preserve">Responsable de obtenerlos: {{RESPONSABLE_OBTENERLOS}}</w:t>
              <w:br/>
              <w:t xml:space="preserve">Fecha límite: {{FECHA_LIMITE_DATOS}}</w:t>
              <w:br/>
              <w:t xml:space="preserve">En caso de duda, el responsable puede consultar a la Autoridad, que debe contestar en un término máximo de cinco días: {{CONSULTA_AUTORIDAD_REFERENCIA}}</w:t>
            </w:r>
          </w:p>
        </w:tc>
      </w:tr>
    </w:tbl>
    <w:p>
      <w:pPr>
        <w:spacing w:after="40" w:before="0" w:line="40" w:lineRule="exact"/>
      </w:pPr>
    </w:p>
    <w:p>
      <w:r>
        <w:t>Responder No exige evidencia. La ausencia de información sobre escala o riesgo no equivale a ausencia de alto riesgo. Un disparador confirmado prevalece sobre otros criterios negativos. No utilice una suma de respuestas como sustituto de los supuestos normativos.</w:t>
      </w:r>
    </w:p>
    <w:p>
      <w:pPr>
        <w:pStyle w:val="Heading1"/>
      </w:pPr>
      <w:r>
        <w:t>Conclusión motivada</w:t>
      </w:r>
    </w:p>
    <w:p>
      <w:r>
        <w:t>Resultado: {{RESULTADO_EIPD}}. Opciones: requiere EIPD; no se identifica obligación con la evidencia actual; información insuficiente. Fundamento concreto: {{NORMA_Y_ARTICULO}}. Evidencias utilizadas: {{EVIDENCIA_ID}}. Argumentos y limitaciones: {{MOTIVACION}}.</w:t>
      </w:r>
    </w:p>
    <w:p>
      <w:r>
        <w:t xml:space="preserve">Si requiere EIPD, crear la acción {{ACCION_ID}} y realizar la EIPD antes del inicio del tratamiento (LOPDP art. 42, último inciso; RGLOPDP art. 31). Cuando sea obligatoria, se presenta ante la Autoridad con el contenido mínimo del RGLOPDP art. 32. EIPD-01 es un código planificado sin maestro publicado en la Biblioteca; mientras no exista, vincular la evaluación que se utilice. Si falta información, mantener la decisión abierta y escalarla al responsable. Si no se identifica obligación, establecer {{EVENTO_REVISION}} y conservar la justificación.</w:t>
      </w:r>
    </w:p>
    <w:p>
      <w:r>
        <w:t xml:space="preserve">Biometría: N11 art. 15 exige realizar la EIPD antes de implementar cualquier sistema biométrico y revisarla y actualizarla cada doce meses y cuando cambie el nivel de riesgo; N11 art. 13 exige evaluar antes si existen mecanismos menos invasivos. Los sistemas en uso al entrar en vigencia N11 deben adecuarse dentro de doce meses desde su publicación en el Registro Oficial (RO Nº 376, 24 sep 2026; vence el 24 sep 2027), según su disposición transitoria. No reiniciar el plazo desde la fecha de este documento.</w:t>
      </w:r>
    </w:p>
    <w:p>
      <w:pPr>
        <w:pStyle w:val="Heading1"/>
      </w:pPr>
      <w:r>
        <w:t>Aprobación y actualización</w:t>
      </w:r>
    </w:p>
    <w:p>
      <w:r>
        <w:t>El responsable del tratamiento o su autoridad delegada decide y aprueba. Jurídico revisa la adecuación normativa. El DPD, cuando existe, asesora y supervisa con independencia; su participación no transfiere la responsabilidad de implementación. Registrar observaciones y su resolución antes de aprobar.</w:t>
      </w:r>
    </w:p>
    <w:p>
      <w:r>
        <w:t>Actualizar ante cambios de finalidad, datos, destinatarios, tecnología, riesgo o norma aplicable. Una periodicidad interna adicional debe responder al contexto y a las exigencias específicas verificadas.</w:t>
      </w:r>
    </w:p>
    <w:tbl>
      <w:tblPr>
        <w:tblW w:type="auto" w:w="0"/>
        <w:tblLayout w:type="fixed"/>
        <w:tblLook w:firstColumn="1" w:firstRow="1" w:lastColumn="0" w:lastRow="0" w:noHBand="0" w:noVBand="1" w:val="04A0"/>
      </w:tblPr>
      <w:tblGrid>
        <w:gridCol w:w="1584"/>
        <w:gridCol w:w="1440"/>
        <w:gridCol w:w="4896"/>
        <w:gridCol w:w="1872"/>
      </w:tblGrid>
      <w:tr>
        <w:trPr>
          <w:cantSplit/>
          <w:tblHeader/>
        </w:trPr>
        <w:tc>
          <w:tcPr>
            <w:tcW w:type="dxa" w:w="1584"/>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Versión</w:t>
            </w:r>
          </w:p>
        </w:tc>
        <w:tc>
          <w:tcPr>
            <w:tcW w:type="dxa" w:w="1440"/>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Fecha</w:t>
            </w:r>
          </w:p>
        </w:tc>
        <w:tc>
          <w:tcPr>
            <w:tcW w:type="dxa" w:w="4896"/>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Cambio</w:t>
            </w:r>
          </w:p>
        </w:tc>
        <w:tc>
          <w:tcPr>
            <w:tcW w:type="dxa" w:w="1872"/>
            <w:tcBorders>
              <w:top w:val="single" w:sz="4" w:color="D9D9D9"/>
              <w:left w:val="single" w:sz="4" w:color="D9D9D9"/>
              <w:bottom w:val="single" w:sz="4" w:color="D9D9D9"/>
              <w:right w:val="single" w:sz="4" w:color="D9D9D9"/>
            </w:tcBorders>
            <w:shd w:fill="203B53"/>
            <w:tcMar>
              <w:top w:w="90" w:type="dxa"/>
              <w:left w:w="90" w:type="dxa"/>
              <w:bottom w:w="90" w:type="dxa"/>
              <w:right w:w="90" w:type="dxa"/>
            </w:tcMar>
          </w:tcPr>
          <w:p>
            <w:pPr>
              <w:spacing w:after="60"/>
            </w:pPr>
            <w:r>
              <w:rPr>
                <w:b/>
                <w:color w:val="FFFFFF"/>
                <w:sz w:val="18"/>
              </w:rPr>
              <w:t>Autoriza</w:t>
            </w:r>
          </w:p>
        </w:tc>
      </w:tr>
      <w:tr>
        <w:trPr>
          <w:cantSplit/>
        </w:trPr>
        <w:tc>
          <w:tcPr>
            <w:tcW w:type="dxa" w:w="158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{{VERSION_CLIENTE}}</w:t>
            </w:r>
          </w:p>
        </w:tc>
        <w:tc>
          <w:tcPr>
            <w:tcW w:type="dxa" w:w="1440"/>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{{FECHA_VERSION}}</w:t>
            </w:r>
          </w:p>
        </w:tc>
        <w:tc>
          <w:tcPr>
            <w:tcW w:type="dxa" w:w="4896"/>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{{DESCRIPCION_CAMBIO}}</w:t>
            </w:r>
          </w:p>
        </w:tc>
        <w:tc>
          <w:tcPr>
            <w:tcW w:type="dxa" w:w="1872"/>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60"/>
            </w:pPr>
            <w:r>
              <w:rPr>
                <w:sz w:val="18"/>
              </w:rPr>
              <w:t>{{APRUEBA}}</w:t>
            </w:r>
          </w:p>
        </w:tc>
      </w:tr>
    </w:tbl>
    <w:p>
      <w:pPr>
        <w:spacing w:after="40" w:before="0" w:line="40" w:lineRule="exact"/>
      </w:pPr>
    </w:p>
    <w:p>
      <w:pPr>
        <w:pStyle w:val="Heading1"/>
      </w:pPr>
      <w:r>
        <w:t>Referencias y comprobaciones previas</w:t>
      </w:r>
    </w:p>
    <w:p>
      <w:r>
        <w:t xml:space="preserve">N01 — Ley Orgánica de Protección de Datos Personales (LOPDP). Quinto Suplemento del Registro Oficial Nº 459, 26 de mayo de 2021. Art. 42. https://www.spdp.gob.ec/wp-content/uploads/2026/10/02-Ley-Organica-de-Proteccion-de-Datos-Personales-2021_compressed.pdf</w:t>
        <w:br/>
        <w:t xml:space="preserve">Estado de verificación: texto según RO 459 (26 may 2021); sin reformas al art. 42 identificadas al 26 oct 2026. Validar con un texto consolidado. Consulta: 2026-10-26.</w:t>
      </w:r>
    </w:p>
    <w:p>
      <w:r>
        <w:t xml:space="preserve">N02 — Reglamento General de la LOPDP, Decreto Ejecutivo 904. Tercer Suplemento del Registro Oficial Nº 435, 13 de noviembre de 2023. Arts. 29 a 32 (capítulo VII, evaluación de impacto). https://www.spdp.gob.ec/wp-content/uploads/2026/09/03-Reglamento-General-de-la-Ley-Organica-de-Proteccion-de-Datos-Personales-2023.pdf</w:t>
        <w:br/>
        <w:t xml:space="preserve">Estado de verificación: arts. 29 a 32 cotejados con la edición del RO. Consulta: 2026-10-26.</w:t>
      </w:r>
    </w:p>
    <w:p>
      <w:r>
        <w:t xml:space="preserve">N03 — Resolución SPDP-SPD-2025-0003-R, Guía de Gestión de Riesgos y Evaluación de Impacto del Tratamiento de Datos Personales. Cuarto Suplemento del Registro Oficial Nº 41, 19 de mayo de 2025; vigente desde su suscripción (29 abr 2025). Arts. 1 y 2: capítulo I obligatorio y capítulo II referencial. https://www.spdp.gob.ec/wp-content/uploads/2025/12/03.01.01-SPDP-SPD-2025-0003-R-Guia-Gest-de-Riesg-y-Ev-Imp-signed_compressed.pdf</w:t>
        <w:br/>
        <w:t xml:space="preserve">Estado de verificación: arts. 1 y 2 de la resolución cotejados; contenido íntegro de la guía pendiente de cotejo. Consulta: 2026-10-26.</w:t>
        <w:br/>
        <w:t xml:space="preserve">N09 — Resolución SPDP-SPD-2026-0005-R, Norma general sobre el tratamiento de datos personales a gran escala. Suplemento del Registro Oficial Nº 231, 25 de febrero de 2026. Arts. 4 a 6 y 12.1. https://www.spdp.gob.ec/wp-content/uploads/2026/08/Resolucion0005.pdf</w:t>
        <w:br/>
        <w:t xml:space="preserve">Estado de verificación: arts. 4 a 6 y 12 cotejados; validación íntegra del MTGE pendiente antes de automatizar la clasificación. Consulta: 2026-10-26.</w:t>
      </w:r>
    </w:p>
    <w:p>
      <w:r>
        <w:t xml:space="preserve">N11 — Resolución SPDP-SPD-2026-0039-R, Norma general para el tratamiento de datos biométricos. Registro Oficial Nº 376, 24 de septiembre de 2026. Arts. 5, 13 y 15 y disposición transitoria. https://www.spdp.gob.ec/wp-content/uploads/2026/10/SPDP-SPD-2026-0039-R-Norma-General-para-el-Tratamiento-de-Datos-Biometricos-signed.pdf</w:t>
        <w:br/>
        <w:t xml:space="preserve">Estado de verificación: arts. 5, 13 y 15 y disposición transitoria cotejados. Consulta: 2026-10-26.</w:t>
      </w:r>
    </w:p>
    <w:p>
      <w:r>
        <w:t>Antes del uso, registrar el resultado de la revisión jurídica, validar enlaces y comprobar normas sectoriales. La plantilla no certifica cumplimiento ni reemplaza trámites o formularios oficiales.</w:t>
      </w:r>
    </w:p>
    <w:p>
      <w:r>
        <w:br w:type="page"/>
      </w:r>
    </w:p>
    <w:p>
      <w:pPr>
        <w:pStyle w:val="Heading1"/>
      </w:pPr>
      <w:r>
        <w:t>Ejemplo ficticio separado de la plantilla</w:t>
      </w:r>
    </w:p>
    <w:p>
      <w:r>
        <w:t>Solo para capacitación. Eliminar este apartado en la versión que utilizará la organización.</w:t>
      </w:r>
    </w:p>
    <w:p>
      <w:r>
        <w:t>Organización ficticia Centro Delta, proceso de control de acceso. Se propone reconocimiento por huella; todavía no se ha instalado.</w:t>
      </w:r>
    </w:p>
    <w:p>
      <w:r>
        <w:t>Resultado de selección: requiere EIPD por disparador biométrico. La decisión de utilizar biometría queda pendiente de comparar alternativas menos invasivas y validar la legitimación.</w:t>
      </w:r>
    </w:p>
    <w:p>
      <w:r>
        <w:t>Acción propuesta: evaluar tarjeta y control manual, realizar EIPD y someter la decisión al responsable antes de la puesta en funcionamiento. No se incluye información de pacientes ni empleados.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EIPD-00   •   v0.2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EVYDENTIA    Biblioteca documental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necesidad de evaluación de impacto</dc:title>
  <dc:subject/>
  <dc:creator>EVYDENTIA</dc:creator>
  <cp:keywords/>
  <dc:description>generated by python-docx</dc:description>
  <cp:lastModifiedBy/>
  <cp:revision>1</cp:revision>
  <dcterms:created xsi:type="dcterms:W3CDTF">2013-12-23T23:15:00Z</dcterms:created>
  <dcterms:modified xsi:type="dcterms:W3CDTF">2013-12-23T23:15:00Z</dcterms:modified>
  <cp:category/>
</cp:coreProperties>
</file>