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Aviso de privacidad por tratamiento</w:t>
      </w:r>
    </w:p>
    <w:p>
      <w:pPr>
        <w:pStyle w:val="Subtitle"/>
      </w:pPr>
      <w:r>
        <w:t>Versión 0.1 para revisión y adaptación</w:t>
      </w:r>
    </w:p>
    <w:p>
      <w:r>
        <w:t>EVYDENTIA  |  AVI-01  |  Corte normativo 2026-10-24</w:t>
      </w:r>
    </w:p>
    <w:p>
      <w:r>
        <w:t>Informar a cada audiencia sobre una actividad concreta usando datos contrastados con RAT-01 y LEG-01. Generar una versión por contexto; no utilizar una declaración genérica para finalidades incompatibles.</w:t>
      </w:r>
    </w:p>
    <w:p>
      <w:pPr>
        <w:pStyle w:val="Heading1"/>
      </w:pPr>
      <w:r>
        <w:t>Instrucciones de adaptación</w:t>
      </w:r>
    </w:p>
    <w:p>
      <w:r>
        <w:t>Esta es una plantilla maestra de EVYDENTIA, no un documento aprobado de una organización. Duplique el archivo, complete las variables {{...}}, elimine las instrucciones y el ejemplo antes de emitir la versión de uso. No registre información personal real en ejemplos ni publique información reservada.</w:t>
      </w:r>
    </w:p>
    <w:p>
      <w:r>
        <w:t>Campos obligatorios: organización, tratamiento o alcance, responsable de elaboración, revisión, fecha, versión y motivación. Campos condicionales: DPD, categorías especiales, representación, transferencias y decisiones automatizadas. Si faltan datos esenciales, conserve el estado Borrador y registre la acción necesaria.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768"/>
      </w:tblGrid>
      <w:tr>
        <w:trPr>
          <w:cantSplit/>
          <w:tblHeader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Valor a completar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Organización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{{RAZON_SOCIAL}}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Identificador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{{ORGANIZACION_ID}}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Tratamiento o alcance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{{TRATAMIENTO_ID}} / {{ALCANCE}}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Elabora y fecha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{{ELABORA}} / {{FECHA}}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Revisa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{{REVISA}}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Aprueba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{{APRUEBA}}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Estado y versión del cliente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Borrador / {{VERSION_CLIENTE}}</w:t>
            </w:r>
          </w:p>
        </w:tc>
      </w:tr>
    </w:tbl>
    <w:p>
      <w:pPr>
        <w:spacing w:after="40" w:before="0" w:line="40" w:lineRule="exact"/>
      </w:pPr>
    </w:p>
    <w:p>
      <w:pPr>
        <w:pStyle w:val="Heading1"/>
      </w:pPr>
      <w:r>
        <w:t>Texto del aviso para personalizar</w:t>
      </w:r>
    </w:p>
    <w:p>
      <w:pPr>
        <w:pStyle w:val="Heading2"/>
      </w:pPr>
      <w:r>
        <w:t>Quién trata sus datos</w:t>
      </w:r>
    </w:p>
    <w:p>
      <w:r>
        <w:t>{{RAZON_SOCIAL}}, con {{IDENTIFICACION_RESPONSABLE}}, es responsable de este tratamiento. Puede contactarnos en {{DIRECCION_RESPONSABLE}}, teléfono {{TELEFONO_RESPONSABLE}} y correo {{CORREO_RESPONSABLE}}. Si corresponde, nuestro delegado de protección de datos es {{NOMBRE_DPD}}, con dirección {{DIRECCION_DPD}}, teléfono {{TELEFONO_DPD}} y correo {{CORREO_DPD}}.</w:t>
      </w:r>
    </w:p>
    <w:p>
      <w:pPr>
        <w:pStyle w:val="Heading2"/>
      </w:pPr>
      <w:r>
        <w:t>Qué datos usamos y de dónde provienen</w:t>
      </w:r>
    </w:p>
    <w:p>
      <w:r>
        <w:t>Usamos {{CATEGORIAS_DATOS}} de {{CATEGORIAS_TITULARES}}, obtenidos de {{ORIGEN_DATOS}}. Se incorporan a {{BASE_O_REPOSITORIO}} para realizar {{OPERACIONES_TRATAMIENTO}}. Cuando provienen de una fuente diferente de usted, esta es {{FUENTE_Y_CONTEXTO}}.</w:t>
      </w:r>
    </w:p>
    <w:p>
      <w:pPr>
        <w:pStyle w:val="Heading2"/>
      </w:pPr>
      <w:r>
        <w:t>Para qué los usamos y con qué fundamento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168"/>
        <w:gridCol w:w="3312"/>
      </w:tblGrid>
      <w:tr>
        <w:trPr>
          <w:cantSplit/>
          <w:tblHeader/>
        </w:trP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Finalidad específica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Base y sustento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Entrega y consecuencias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{{FINALIDAD_1}}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{{BASE_1_Y_SUSTENTO}}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{{OBLIGATORIEDAD_Y_CONSECUENCIAS_1}}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{{FINALIDAD_2_SI_APLICA}}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{{BASE_2_Y_SUSTENTO}}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{{OPCIONALIDAD_Y_CONSECUENCIAS_2}}</w:t>
            </w:r>
          </w:p>
        </w:tc>
      </w:tr>
    </w:tbl>
    <w:p>
      <w:pPr>
        <w:spacing w:after="40" w:before="0" w:line="40" w:lineRule="exact"/>
      </w:pPr>
    </w:p>
    <w:p>
      <w:r>
        <w:t>Las finalidades adicionales o tratamientos posteriores previstos son {{FINALIDADES_POSTERIORES_O_NO_PREVISTAS}}. Si proporciona información errónea o incompleta, {{EFECTO_DATOS_INEXACTOS}}. La negativa a entregar información opcional tendrá estos efectos concretos: {{EFECTOS_NEGATIVA_OPCIONAL}}.</w:t>
      </w:r>
    </w:p>
    <w:p>
      <w:pPr>
        <w:pStyle w:val="Heading2"/>
      </w:pPr>
      <w:r>
        <w:t>Durante cuánto tiempo los conservamos</w:t>
      </w:r>
    </w:p>
    <w:p>
      <w:r>
        <w:t>Conservaremos {{CATEGORIA_O_SERIE}} durante {{DURACION_O_CRITERIO_CONCRETO}}, contado desde {{EVENTO_INICIO_RETENCION}}, conforme a {{FUNDAMENTO_RETENCION}}. Las excepciones por obligaciones legales o reclamaciones son {{EXCEPCIONES_Y_LIMITE}}. Al finalizar aplicaremos {{DISPOSICION_FINAL}}.</w:t>
      </w:r>
    </w:p>
    <w:p>
      <w:pPr>
        <w:pStyle w:val="Heading2"/>
      </w:pPr>
      <w:r>
        <w:t>Con quién compartimos los datos</w:t>
      </w:r>
    </w:p>
    <w:p>
      <w:r>
        <w:t>Los destinatarios o categorías de destinatarios son {{DESTINATARIOS}}, para {{FINALIDADES_COMUNICACION}}. Los flujos nacionales o internacionales previstos son {{FLUJOS_Y_PAISES}}, amparados en {{MECANISMO_Y_GARANTIAS}}. Si no existen flujos de una categoría, indíquelo solo después de comprobarlo con proveedores y sistemas.</w:t>
      </w:r>
    </w:p>
    <w:p>
      <w:pPr>
        <w:pStyle w:val="Heading2"/>
      </w:pPr>
      <w:r>
        <w:t>Cómo ejercer sus derechos</w:t>
      </w:r>
    </w:p>
    <w:p>
      <w:r>
        <w:t>Puede presentar solicitudes relacionadas con sus datos mediante {{CANAL_DERECHOS}}. Nuestro equipo le informará cómo acreditar su identidad de forma proporcional y tramitará la solicitud según el derecho y las condiciones legales aplicables. Puede solicitar información, acceso, rectificación o actualización, eliminación, oposición, limitación o suspensión, portabilidad y revisión de decisiones automatizadas, según corresponda al tratamiento y a la normativa.</w:t>
      </w:r>
    </w:p>
    <w:p>
      <w:r>
        <w:t>Cuando una finalidad se base en su consentimiento, podrá retirarlo mediante {{CANAL_RETIRO}}. El retiro no afecta la licitud del tratamiento realizado previamente. Le explicaremos sus efectos específicos en {{EFECTOS_RETIRO}}. Puede presentar reclamos ante nosotros por {{CANAL_RECLAMOS}} y ante la Superintendencia de Protección de Datos Personales a través de sus canales oficiales en https://www.spdp.gob.ec/.</w:t>
      </w:r>
    </w:p>
    <w:p>
      <w:pPr>
        <w:pStyle w:val="Heading2"/>
      </w:pPr>
      <w:r>
        <w:t>Perfiles y decisiones automatizadas</w:t>
      </w:r>
    </w:p>
    <w:p>
      <w:r>
        <w:t>{{EXISTENCIA_O_AUSENCIA_VERIFICADA}}. Si se aplican: describa {{LOGICA_COMPRENSIBLE}}, {{DATOS_UTILIZADOS}}, {{EFECTOS_PREVISTOS}} y {{CANAL_REVISION_HUMANA}}. No declare que no existen decisiones automatizadas sin comprobar los servicios de terceros.</w:t>
      </w:r>
    </w:p>
    <w:p>
      <w:pPr>
        <w:pStyle w:val="Heading1"/>
      </w:pPr>
      <w:r>
        <w:t>Control de publicación y accesibilidad</w:t>
      </w:r>
    </w:p>
    <w:p>
      <w:r>
        <w:t>Versión a comunicar {{VERSION_AVISO}}; fecha {{FECHA_PUBLICACION}}; audiencia {{AUDIENCIA}}; canal {{CANAL_ENTREGA}}; prueba de entrega o disponibilidad {{EVIDENCIA_ID}}. Ajustar lenguaje, accesibilidad e información para menores según el caso. El aviso informa; no equivale a obtener consentimiento.</w:t>
      </w:r>
    </w:p>
    <w:p>
      <w:pPr>
        <w:pStyle w:val="Heading1"/>
      </w:pPr>
      <w:r>
        <w:t>Aprobación y actualización</w:t>
      </w:r>
    </w:p>
    <w:p>
      <w:r>
        <w:t>El responsable del tratamiento o su autoridad delegada decide y aprueba. Jurídico revisa la adecuación normativa. El DPD, cuando existe, asesora y supervisa con independencia; su participación no transfiere la responsabilidad de implementación. Registrar observaciones y su resolución antes de aprobar.</w:t>
      </w:r>
    </w:p>
    <w:p>
      <w:r>
        <w:t>Actualizar ante cambios de finalidad, datos, destinatarios, tecnología, riesgo o norma aplicable. Una periodicidad interna adicional debe responder al contexto y a las exigencias específicas verificadas.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1440"/>
        <w:gridCol w:w="4896"/>
        <w:gridCol w:w="1872"/>
      </w:tblGrid>
      <w:tr>
        <w:trPr>
          <w:cantSplit/>
          <w:tblHeader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Cambio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Autoriza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{{VERSION_CLIENTE}}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{{FECHA}}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{{DESCRIPCION_CAMBIO}}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{{APRUEBA}}</w:t>
            </w:r>
          </w:p>
        </w:tc>
      </w:tr>
    </w:tbl>
    <w:p>
      <w:pPr>
        <w:spacing w:after="40" w:before="0" w:line="40" w:lineRule="exact"/>
      </w:pPr>
    </w:p>
    <w:p>
      <w:pPr>
        <w:pStyle w:val="Heading1"/>
      </w:pPr>
      <w:r>
        <w:t>Referencias y comprobaciones previas</w:t>
      </w:r>
    </w:p>
    <w:p>
      <w:r>
        <w:t>N01 — LOPDP. Arts. 7 a 10, 12 a 24, 25 a 30, 37 a 43, 46 a 50 y 55 a 61. https://www.finanzaspopulares.gob.ec/wp-content/uploads/2021/07/ley_organica_de_proteccion_de_datos_personales.pdf</w:t>
        <w:br/>
        <w:t>Estado de verificación: Publicación original 26 mayo 2021. Texto consultado; verificar reformas al aplicar. Consulta: 2026-10-24.</w:t>
      </w:r>
    </w:p>
    <w:p>
      <w:r>
        <w:t>N08 — SPDP-SPD-2026-0004-R. Arts. 49 y 50 y régimen de transferencias. https://www.spdp.gob.ec/wp-content/uploads/2026/08/04.01.01-SPSP-SPD-2026-0004-R-Norma-general-de-transferencias-signed.pdf</w:t>
        <w:br/>
        <w:t>Estado de verificación: Texto oficial revisado parcialmente; publicación y relación con norma 2025-0024-R pendientes. No afirmar derogatoria no comprobada. Consulta: 2026-10-24.</w:t>
      </w:r>
    </w:p>
    <w:p>
      <w:r>
        <w:t>Antes del uso, registrar el resultado de la revisión jurídica, validar enlaces y comprobar normas sectoriales. La plantilla no certifica cumplimiento ni reemplaza trámites o formularios oficiales.</w:t>
      </w:r>
    </w:p>
    <w:p>
      <w:r>
        <w:br w:type="page"/>
      </w:r>
    </w:p>
    <w:p>
      <w:pPr>
        <w:pStyle w:val="Heading1"/>
      </w:pPr>
      <w:r>
        <w:t>Ejemplo ficticio separado de la plantilla</w:t>
      </w:r>
    </w:p>
    <w:p>
      <w:r>
        <w:t>Solo para capacitación. Eliminar este apartado en la versión que utilizará la organización.</w:t>
      </w:r>
    </w:p>
    <w:p>
      <w:r>
        <w:t>Empresa ficticia Taller Horizonte, aviso para atender solicitudes de cotización de adultos. Finalidad: preparar y responder la cotización solicitada; base propuesta: medidas precontractuales a petición del titular, pendiente de revisión en LEG-01.</w:t>
      </w:r>
    </w:p>
    <w:p>
      <w:r>
        <w:t>Campos aún no comprobados: retención, proveedor de formularios y país de soporte. Se mantiene Borrador y no se publica. No se incluye marketing como parte obligatoria del servicio.</w:t>
      </w:r>
    </w:p>
    <w:p>
      <w:r>
        <w:t>El ejemplo demuestra cómo detectar datos faltantes; no es un aviso final listo para copiar.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AVI-01   •   v0.1   |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EVYDENTIA    Biblioteca documental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Aviso de privacidad por tratamiento</dc:title>
  <dc:subject/>
  <dc:creator>EVYDENTIA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