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 necesidad de evaluación de impacto</w:t>
      </w:r>
    </w:p>
    <w:p>
      <w:pPr>
        <w:pStyle w:val="Subtitle"/>
      </w:pPr>
      <w:r>
        <w:t>Versión 0.1 para revisión y adaptación</w:t>
      </w:r>
    </w:p>
    <w:p>
      <w:r>
        <w:t>EVYDENTIA  |  EIPD-00  |  Corte normativo 2026-10-24</w:t>
      </w:r>
    </w:p>
    <w:p>
      <w:r>
        <w:t>Documentar, antes de iniciar o modificar una actividad, si procede una EIPD y qué información falta para decidir. Este análisis no sustituye la EIPD ni autoriza un tratamiento ilícito.</w:t>
      </w:r>
    </w:p>
    <w:p>
      <w:pPr>
        <w:pStyle w:val="Heading1"/>
      </w:pPr>
      <w:r>
        <w:t>Instrucciones de adaptación</w:t>
      </w:r>
    </w:p>
    <w:p>
      <w:r>
        <w:t>Esta es una plantilla maestra de EVYDENTIA, no un documento aprobado de una organización. Duplique el archivo, complete las variables {{...}}, elimine las instrucciones y el ejemplo antes de emitir la versión de uso. No registre información personal real en ejemplos ni publique información reservada.</w:t>
      </w:r>
    </w:p>
    <w:p>
      <w:r>
        <w:t>Campos obligatorios: organización, tratamiento o alcance, responsable de elaboración, revisión, fecha, versión y motivación. Campos condicionales: DPD, categorías especiales, representación, transferencias y decisiones automatizadas. Si faltan datos esenciales, conserve el estado Borrador y registre la acción necesaria.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Valor a completar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Organización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{{RAZON_SOCIAL}}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Identificador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{{ORGANIZACION_ID}}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Tratamiento o alcance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{{TRATAMIENTO_ID}} / {{ALCANCE}}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Elabora y fecha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{{ELABORA}} / {{FECHA}}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Revisa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{{REVISA}}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Aprueba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{{APRUEBA}}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Estado y versión del cliente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Borrador / {{VERSION_CLIENTE}}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Descripción del tratamiento</w:t>
      </w:r>
    </w:p>
    <w:p>
      <w:r>
        <w:t>Finalidad específica y necesidad del tratamiento: {{FINALIDAD}}.</w:t>
      </w:r>
    </w:p>
    <w:p>
      <w:r>
        <w:t>Operaciones, sistemas, titulares y categorías de datos: {{OPERACIONES_DATOS_TITULARES}}.</w:t>
      </w:r>
    </w:p>
    <w:p>
      <w:r>
        <w:t>Rol de la organización, proveedores, países y acceso remoto: {{ROL_FLUJOS}}.</w:t>
      </w:r>
    </w:p>
    <w:p>
      <w:r>
        <w:t>Volumen, frecuencia, permanencia, alcance geográfico y evidencia sobre escala: {{CONTEXTO_ESCALA}}.</w:t>
      </w:r>
    </w:p>
    <w:p>
      <w:r>
        <w:t>Situación del proyecto: {{NUEVO_EXISTENTE_CAMBIO}}. Fecha prevista de inicio y decisiones previas: {{FECHA_INICIO}}.</w:t>
      </w:r>
    </w:p>
    <w:p>
      <w:pPr>
        <w:pStyle w:val="Heading1"/>
      </w:pPr>
      <w:r>
        <w:t>Comprobación de disparadores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5904"/>
      </w:tblGrid>
      <w:tr>
        <w:trPr>
          <w:cantSplit/>
          <w:tblHeader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Respuesta y evidencia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Probabilidad de alto riesgo para derechos y libertades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{{SI_NO_DESCONOCIDO}} — {{ESCENARIOS_Y_SOPORTE}}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Supuestos del art 42 LOPDP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{{EVALUACION_PERFILES_EFECTOS_JURIDICOS}}; {{CATEGORIAS_ESPECIALES_GRAN_ESCALA}}; {{OBSERVACION_PUBLICA_GRAN_ESCALA}}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Requerimiento específico de autoridad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{{REQUERIMIENTO_O_NO_IDENTIFICADO}}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Sistema biométrico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{{SI_NO}}; N11 art. 15; distinguir nuevo sistema y transición del existente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Otros disparadores específicos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{{NORMA_ARTICULO_SUPUESTO}}; revisar transferencias sujetas a autorización e IA según norma consolidada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Información insuficiente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{{DATOS_FALTANTES}}; {{RESPONSABLE_OBTENERLOS}}; {{FECHA}}</w:t>
            </w:r>
          </w:p>
        </w:tc>
      </w:tr>
    </w:tbl>
    <w:p>
      <w:pPr>
        <w:spacing w:after="40" w:before="0" w:line="40" w:lineRule="exact"/>
      </w:pPr>
    </w:p>
    <w:p>
      <w:r>
        <w:t>Responder No exige evidencia. La ausencia de información sobre escala o riesgo no equivale a ausencia de alto riesgo. Un disparador confirmado prevalece sobre otros criterios negativos. No utilice una suma de respuestas como sustituto de los supuestos normativos.</w:t>
      </w:r>
    </w:p>
    <w:p>
      <w:pPr>
        <w:pStyle w:val="Heading1"/>
      </w:pPr>
      <w:r>
        <w:t>Conclusión motivada</w:t>
      </w:r>
    </w:p>
    <w:p>
      <w:r>
        <w:t>Resultado: {{RESULTADO_EIPD}}. Opciones: requiere EIPD; no se identifica obligación con la evidencia actual; información insuficiente. Fundamento concreto: {{NORMA_Y_ARTICULO}}. Evidencias utilizadas: {{EVIDENCIA_ID}}. Argumentos y limitaciones: {{MOTIVACION}}.</w:t>
      </w:r>
    </w:p>
    <w:p>
      <w:r>
        <w:t>Si requiere EIPD, crear acción {{ACCION_ID}} y vincular EIPD-01 antes del inicio que corresponda. Si falta información, mantener la decisión abierta y escalarla al responsable. Si no se identifica obligación, establecer {{EVENTO_REVISION}} y conservar la justificación.</w:t>
      </w:r>
    </w:p>
    <w:p>
      <w:r>
        <w:t>Biometría: N11 dispone EIPD previa y revisión cada doce meses y ante cambio de riesgo. Para sistemas ya utilizados al entrar en vigor, comprobar la disposición transitoria y documentar su aplicación; no reiniciar el plazo desde la fecha de este documento.</w:t>
      </w:r>
    </w:p>
    <w:p>
      <w:pPr>
        <w:pStyle w:val="Heading1"/>
      </w:pPr>
      <w:r>
        <w:t>Aprobación y actualización</w:t>
      </w:r>
    </w:p>
    <w:p>
      <w:r>
        <w:t>El responsable del tratamiento o su autoridad delegada decide y aprueba. Jurídico revisa la adecuación normativa. El DPD, cuando existe, asesora y supervisa con independencia; su participación no transfiere la responsabilidad de implementación. Registrar observaciones y su resolución antes de aprobar.</w:t>
      </w:r>
    </w:p>
    <w:p>
      <w:r>
        <w:t>Actualizar ante cambios de finalidad, datos, destinatarios, tecnología, riesgo o norma aplicable. Una periodicidad interna adicional debe responder al contexto y a las exigencias específicas verificadas.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440"/>
        <w:gridCol w:w="4896"/>
        <w:gridCol w:w="1872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Autoriza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{{VERSION_CLIENTE}}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{{FECHA}}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{{DESCRIPCION_CAMBIO}}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{{APRUEBA}}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Referencias y comprobaciones previas</w:t>
      </w:r>
    </w:p>
    <w:p>
      <w:r>
        <w:t>N01 — LOPDP. Arts. 7 a 10, 12 a 24, 25 a 30, 37 a 43, 46 a 50 y 55 a 61. https://www.finanzaspopulares.gob.ec/wp-content/uploads/2021/07/ley_organica_de_proteccion_de_datos_personales.pdf</w:t>
        <w:br/>
        <w:t>Estado de verificación: Publicación original 26 mayo 2021. Texto consultado; verificar reformas al aplicar. Consulta: 2026-10-24.</w:t>
      </w:r>
    </w:p>
    <w:p>
      <w:r>
        <w:t>N03 — SPDP-SPD-2025-0003-R y guía de riesgos. Guía y anexo de evaluación de impacto. https://spdp.gob.ec/wp-content/uploads/2025/05/GUIA-DE-GESTION-DE-RIESGOS-E-IMPACTO-VERSION-1.pdf</w:t>
        <w:br/>
        <w:t>Estado de verificación: Instrumento localizado en portal oficial; cotejo metodológico íntegro pendiente. Consulta: 2026-10-24.</w:t>
      </w:r>
    </w:p>
    <w:p>
      <w:r>
        <w:t>N09 — SPDP-SPD-2026-0005-R. Arts. 4 a 6; MTGE y anexos. https://www.spdp.gob.ec/wp-content/uploads/2026/08/Resolucion0005.pdf</w:t>
        <w:br/>
        <w:t>Estado de verificación: Art. 6 revisado. Publicación y validación íntegra del MTGE pendientes antes de automatizar la clasificación. Consulta: 2026-10-24.</w:t>
      </w:r>
    </w:p>
    <w:p>
      <w:r>
        <w:t>N11 — SPDP-SPD-2026-0039-R. Arts. 13 a 16 y disposición transitoria. https://www.spdp.gob.ec/wp-content/uploads/2026/10/SPDP-SPD-2026-0039-R-Norma-General-para-el-Tratamiento-de-Datos-Biometricos-signed.pdf</w:t>
        <w:br/>
        <w:t>Estado de verificación: Publicación confirmada RO 376 de 24 septiembre 2026. Revisar transición de sistemas preexistentes. Consulta: 2026-10-24.</w:t>
      </w:r>
    </w:p>
    <w:p>
      <w:r>
        <w:t>Antes del uso, registrar el resultado de la revisión jurídica, validar enlaces y comprobar normas sectoriales. La plantilla no certifica cumplimiento ni reemplaza trámites o formularios oficiales.</w:t>
      </w:r>
    </w:p>
    <w:p>
      <w:r>
        <w:br w:type="page"/>
      </w:r>
    </w:p>
    <w:p>
      <w:pPr>
        <w:pStyle w:val="Heading1"/>
      </w:pPr>
      <w:r>
        <w:t>Ejemplo ficticio separado de la plantilla</w:t>
      </w:r>
    </w:p>
    <w:p>
      <w:r>
        <w:t>Solo para capacitación. Eliminar este apartado en la versión que utilizará la organización.</w:t>
      </w:r>
    </w:p>
    <w:p>
      <w:r>
        <w:t>Organización ficticia Centro Delta, proceso de control de acceso. Se propone reconocimiento por huella; todavía no se ha instalado.</w:t>
      </w:r>
    </w:p>
    <w:p>
      <w:r>
        <w:t>Resultado de selección: requiere EIPD por disparador biométrico. La decisión de utilizar biometría queda pendiente de comparar alternativas menos invasivas y validar la legitimación.</w:t>
      </w:r>
    </w:p>
    <w:p>
      <w:r>
        <w:t>Acción propuesta: evaluar tarjeta y control manual, realizar EIPD y someter la decisión al responsable antes de la puesta en funcionamiento. No se incluye información de pacientes ni empleados.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EIPD-00   •   v0.1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EVYDENTIA    Biblioteca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necesidad de evaluación de impacto</dc:title>
  <dc:subject/>
  <dc:creator>EVYDENTIA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