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Procedimiento de atención de derechos</w:t>
      </w:r>
    </w:p>
    <w:p>
      <w:pPr>
        <w:pStyle w:val="Subtitle"/>
      </w:pPr>
      <w:r>
        <w:t>Versión 0.1 para revisión y adaptación</w:t>
      </w:r>
    </w:p>
    <w:p>
      <w:r>
        <w:t>EVYDENTIA  |  PRO-01  |  Corte normativo 2026-10-24</w:t>
      </w:r>
    </w:p>
    <w:p>
      <w:r>
        <w:t>Establecer un flujo operativo para recibir, analizar, resolver y documentar solicitudes de derechos. La organización debe asignar personas y canales que funcionen antes de aprobarlo.</w:t>
      </w:r>
    </w:p>
    <w:p>
      <w:pPr>
        <w:pStyle w:val="Heading1"/>
      </w:pPr>
      <w:r>
        <w:t>Instrucciones de adaptación</w:t>
      </w:r>
    </w:p>
    <w:p>
      <w:r>
        <w:t>Esta es una plantilla maestra de EVYDENTIA, no un documento aprobado de una organización. Duplique el archivo, complete las variables {{...}}, elimine las instrucciones y el ejemplo antes de emitir la versión de uso. No registre información personal real en ejemplos ni publique información reservada.</w:t>
      </w:r>
    </w:p>
    <w:p>
      <w:r>
        <w:t>Campos obligatorios: organización, tratamiento o alcance, responsable de elaboración, revisión, fecha, versión y motivación. Campos condicionales: DPD, categorías especiales, representación, transferencias y decisiones automatizadas. Si faltan datos esenciales, conserve el estado Borrador y registre la acción necesaria.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024"/>
        <w:gridCol w:w="6768"/>
      </w:tblGrid>
      <w:tr>
        <w:trPr>
          <w:cantSplit/>
          <w:tblHeader/>
        </w:trPr>
        <w:tc>
          <w:tcPr>
            <w:tcW w:type="dxa" w:w="30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03B5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b/>
                <w:color w:val="FFFFFF"/>
                <w:sz w:val="18"/>
              </w:rPr>
              <w:t>Control</w:t>
            </w:r>
          </w:p>
        </w:tc>
        <w:tc>
          <w:tcPr>
            <w:tcW w:type="dxa" w:w="67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03B5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b/>
                <w:color w:val="FFFFFF"/>
                <w:sz w:val="18"/>
              </w:rPr>
              <w:t>Valor a completar</w:t>
            </w:r>
          </w:p>
        </w:tc>
      </w:tr>
      <w:tr>
        <w:trPr>
          <w:cantSplit/>
        </w:trPr>
        <w:tc>
          <w:tcPr>
            <w:tcW w:type="dxa" w:w="30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sz w:val="18"/>
              </w:rPr>
              <w:t>Organización</w:t>
            </w:r>
          </w:p>
        </w:tc>
        <w:tc>
          <w:tcPr>
            <w:tcW w:type="dxa" w:w="67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sz w:val="18"/>
              </w:rPr>
              <w:t>{{RAZON_SOCIAL}}</w:t>
            </w:r>
          </w:p>
        </w:tc>
      </w:tr>
      <w:tr>
        <w:trPr>
          <w:cantSplit/>
        </w:trPr>
        <w:tc>
          <w:tcPr>
            <w:tcW w:type="dxa" w:w="30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sz w:val="18"/>
              </w:rPr>
              <w:t>Identificador</w:t>
            </w:r>
          </w:p>
        </w:tc>
        <w:tc>
          <w:tcPr>
            <w:tcW w:type="dxa" w:w="67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sz w:val="18"/>
              </w:rPr>
              <w:t>{{ORGANIZACION_ID}}</w:t>
            </w:r>
          </w:p>
        </w:tc>
      </w:tr>
      <w:tr>
        <w:trPr>
          <w:cantSplit/>
        </w:trPr>
        <w:tc>
          <w:tcPr>
            <w:tcW w:type="dxa" w:w="30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sz w:val="18"/>
              </w:rPr>
              <w:t>Tratamiento o alcance</w:t>
            </w:r>
          </w:p>
        </w:tc>
        <w:tc>
          <w:tcPr>
            <w:tcW w:type="dxa" w:w="67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sz w:val="18"/>
              </w:rPr>
              <w:t>{{TRATAMIENTO_ID}} / {{ALCANCE}}</w:t>
            </w:r>
          </w:p>
        </w:tc>
      </w:tr>
      <w:tr>
        <w:trPr>
          <w:cantSplit/>
        </w:trPr>
        <w:tc>
          <w:tcPr>
            <w:tcW w:type="dxa" w:w="30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sz w:val="18"/>
              </w:rPr>
              <w:t>Elabora y fecha</w:t>
            </w:r>
          </w:p>
        </w:tc>
        <w:tc>
          <w:tcPr>
            <w:tcW w:type="dxa" w:w="67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sz w:val="18"/>
              </w:rPr>
              <w:t>{{ELABORA}} / {{FECHA}}</w:t>
            </w:r>
          </w:p>
        </w:tc>
      </w:tr>
      <w:tr>
        <w:trPr>
          <w:cantSplit/>
        </w:trPr>
        <w:tc>
          <w:tcPr>
            <w:tcW w:type="dxa" w:w="30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sz w:val="18"/>
              </w:rPr>
              <w:t>Revisa</w:t>
            </w:r>
          </w:p>
        </w:tc>
        <w:tc>
          <w:tcPr>
            <w:tcW w:type="dxa" w:w="67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sz w:val="18"/>
              </w:rPr>
              <w:t>{{REVISA}}</w:t>
            </w:r>
          </w:p>
        </w:tc>
      </w:tr>
      <w:tr>
        <w:trPr>
          <w:cantSplit/>
        </w:trPr>
        <w:tc>
          <w:tcPr>
            <w:tcW w:type="dxa" w:w="30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sz w:val="18"/>
              </w:rPr>
              <w:t>Aprueba</w:t>
            </w:r>
          </w:p>
        </w:tc>
        <w:tc>
          <w:tcPr>
            <w:tcW w:type="dxa" w:w="67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sz w:val="18"/>
              </w:rPr>
              <w:t>{{APRUEBA}}</w:t>
            </w:r>
          </w:p>
        </w:tc>
      </w:tr>
      <w:tr>
        <w:trPr>
          <w:cantSplit/>
        </w:trPr>
        <w:tc>
          <w:tcPr>
            <w:tcW w:type="dxa" w:w="30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sz w:val="18"/>
              </w:rPr>
              <w:t>Estado y versión del cliente</w:t>
            </w:r>
          </w:p>
        </w:tc>
        <w:tc>
          <w:tcPr>
            <w:tcW w:type="dxa" w:w="67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sz w:val="18"/>
              </w:rPr>
              <w:t>Borrador / {{VERSION_CLIENTE}}</w:t>
            </w:r>
          </w:p>
        </w:tc>
      </w:tr>
    </w:tbl>
    <w:p>
      <w:pPr>
        <w:spacing w:after="40" w:before="0" w:line="40" w:lineRule="exact"/>
      </w:pPr>
    </w:p>
    <w:p>
      <w:pPr>
        <w:pStyle w:val="Heading1"/>
      </w:pPr>
      <w:r>
        <w:t>Alcance y responsabilidades</w:t>
      </w:r>
    </w:p>
    <w:p>
      <w:r>
        <w:t>Aplica a {{PROCESOS_Y_CANALES}}. Atención registra y coordina; los dueños de proceso localizan información; TI ejecuta cambios autorizados; jurídico revisa excepciones y respuestas; el responsable decide y dota recursos. El DPD asesora y supervisa, cuando exista. Los encargados escalan al responsable y actúan conforme a instrucciones válidas.</w:t>
      </w:r>
    </w:p>
    <w:p>
      <w:pPr>
        <w:pStyle w:val="Heading1"/>
      </w:pPr>
      <w:r>
        <w:t>Recepción accesible</w:t>
      </w:r>
    </w:p>
    <w:p>
      <w:r>
        <w:t>Recibir solicitudes por {{CANAL_DERECHOS}} y por los canales habilitados. DER-01 es una ayuda opcional. No rechazar una petición solo porque no utiliza ese formato. Si llega a otro empleado, remitirla de inmediato al equipo sin modificar su fecha de recepción original.</w:t>
      </w:r>
    </w:p>
    <w:p>
      <w:r>
        <w:t>Asignar {{SOLICITUD_ID}}, registrar fecha y hora, canal, derecho solicitado, alcance y contacto para responder. Evitar copiar datos sensibles o documentos de identidad en tableros generales. Enviar acuse con el identificador y datos de seguimiento.</w:t>
      </w:r>
    </w:p>
    <w:p>
      <w:pPr>
        <w:pStyle w:val="Heading1"/>
      </w:pPr>
      <w:r>
        <w:t>Identidad y representación</w:t>
      </w:r>
    </w:p>
    <w:p>
      <w:r>
        <w:t>Verificar la identidad de manera proporcional al riesgo: priorizar sesión autenticada o canal previamente validado. Solicitar datos adicionales solo cuando sean necesarios y documentar el motivo. No exigir por defecto copia completa de cédula ni información ajena a la petición. Para representación, comprobar facultades pertinentes y protección de menores según el caso.</w:t>
      </w:r>
    </w:p>
    <w:p>
      <w:pPr>
        <w:pStyle w:val="Heading1"/>
      </w:pPr>
      <w:r>
        <w:t>Clasificación y control de plazos</w:t>
      </w:r>
    </w:p>
    <w:p>
      <w:r>
        <w:t>Determinar el derecho efectivamente ejercido y separar varias pretensiones cuando sea necesario, conservando una respuesta comprensible. Registrar la regla normativa concreta, fecha inicial, unidad de cómputo, calendario aplicable y vencimiento. No configurar un plazo universal para todos los derechos ni importar plazos de otros países.</w:t>
      </w:r>
    </w:p>
    <w:p>
      <w:r>
        <w:t>La configuración inicial contempla acceso con referencia al art. 13 LOPDP, que señala quince días. Antes de aprobar el procedimiento, jurídico debe completar y validar la matriz de plazos de cada derecho y las reglas del Reglamento General. No presumir prórrogas o suspensión por pedir información; documentar el sustento aplicable.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00"/>
        <w:gridCol w:w="6192"/>
      </w:tblGrid>
      <w:tr>
        <w:trPr>
          <w:cantSplit/>
          <w:tblHeader/>
        </w:trPr>
        <w:tc>
          <w:tcPr>
            <w:tcW w:type="dxa" w:w="36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03B5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b/>
                <w:color w:val="FFFFFF"/>
                <w:sz w:val="18"/>
              </w:rPr>
              <w:t>Control por solicitud</w:t>
            </w:r>
          </w:p>
        </w:tc>
        <w:tc>
          <w:tcPr>
            <w:tcW w:type="dxa" w:w="61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03B5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b/>
                <w:color w:val="FFFFFF"/>
                <w:sz w:val="18"/>
              </w:rPr>
              <w:t>Dato requerido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sz w:val="18"/>
              </w:rPr>
              <w:t>Derecho y fundamento</w:t>
            </w:r>
          </w:p>
        </w:tc>
        <w:tc>
          <w:tcPr>
            <w:tcW w:type="dxa" w:w="61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sz w:val="18"/>
              </w:rPr>
              <w:t>{{DERECHO}} / {{ARTICULO}}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sz w:val="18"/>
              </w:rPr>
              <w:t>Recepción y evento inicial</w:t>
            </w:r>
          </w:p>
        </w:tc>
        <w:tc>
          <w:tcPr>
            <w:tcW w:type="dxa" w:w="61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sz w:val="18"/>
              </w:rPr>
              <w:t>{{FECHA_HORA_RECEPCION}} / {{EVENTO_INICIAL}}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sz w:val="18"/>
              </w:rPr>
              <w:t>Regla de cómputo y vencimiento</w:t>
            </w:r>
          </w:p>
        </w:tc>
        <w:tc>
          <w:tcPr>
            <w:tcW w:type="dxa" w:w="61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sz w:val="18"/>
              </w:rPr>
              <w:t>{{PLAZO_UNIDAD_CALENDARIO}} / {{FECHA_LIMITE_VALIDADA}}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sz w:val="18"/>
              </w:rPr>
              <w:t>Responsable y revisión</w:t>
            </w:r>
          </w:p>
        </w:tc>
        <w:tc>
          <w:tcPr>
            <w:tcW w:type="dxa" w:w="61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sz w:val="18"/>
              </w:rPr>
              <w:t>{{GESTOR}} / {{REVISOR}}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sz w:val="18"/>
              </w:rPr>
              <w:t>Información adicional o excepción</w:t>
            </w:r>
          </w:p>
        </w:tc>
        <w:tc>
          <w:tcPr>
            <w:tcW w:type="dxa" w:w="61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sz w:val="18"/>
              </w:rPr>
              <w:t>{{MOTIVO_Y_FUNDAMENTO_O_NO_APLICA}}</w:t>
            </w:r>
          </w:p>
        </w:tc>
      </w:tr>
    </w:tbl>
    <w:p>
      <w:pPr>
        <w:spacing w:after="40" w:before="0" w:line="40" w:lineRule="exact"/>
      </w:pPr>
    </w:p>
    <w:p>
      <w:pPr>
        <w:pStyle w:val="Heading1"/>
      </w:pPr>
      <w:r>
        <w:t>Búsqueda y análisis</w:t>
      </w:r>
    </w:p>
    <w:p>
      <w:r>
        <w:t>Identificar sistemas y archivos relacionados mediante RAT-01 e INV-02. Consultar a los encargados pertinentes mediante canal seguro. Registrar dónde se buscó, responsable de búsqueda y fecha. Para acceso, preparar copia comprensible de la información que corresponda; proteger datos de terceros y secretos legalmente protegidos mediante análisis individual.</w:t>
      </w:r>
    </w:p>
    <w:p>
      <w:r>
        <w:t>Para rectificación, eliminación u oposición, contrastar la petición con la base legitimadora, las obligaciones de conservación y las restricciones legales verificadas. No eliminar información sujeta a conservación legal sin análisis. Cuando proceda limitación o bloqueo, definir controles y duración. Las decisiones sobre perfiles deben permitir la intervención humana que corresponda.</w:t>
      </w:r>
    </w:p>
    <w:p>
      <w:pPr>
        <w:pStyle w:val="Heading1"/>
      </w:pPr>
      <w:r>
        <w:t>Decisión y ejecución</w:t>
      </w:r>
    </w:p>
    <w:p>
      <w:r>
        <w:t>Resolver aceptación total, parcial o negativa motivada. Identificar los hechos, la norma, las acciones ejecutadas y la información que se entrega. La negativa o limitación requiere revisión jurídica y explicación accesible; informar los canales de reclamación aplicables. Registrar quién autorizó y cuándo.</w:t>
      </w:r>
    </w:p>
    <w:p>
      <w:r>
        <w:t>Ejecutar en sistemas primarios y comunicar a los destinatarios cuando exista obligación aplicable. Registrar incidencias, excepciones de respaldo y verificación posterior. Preparar DER-03 y entregar por {{CANAL_SEGURO_RESPUESTA}}, dejando constancia sin exponer información a un destinatario no verificado.</w:t>
      </w:r>
    </w:p>
    <w:p>
      <w:pPr>
        <w:pStyle w:val="Heading1"/>
      </w:pPr>
      <w:r>
        <w:t>Cierre y supervisión</w:t>
      </w:r>
    </w:p>
    <w:p>
      <w:r>
        <w:t>Cerrar solo cuando exista respuesta enviada, ejecución verificada de lo concedido y evidencia de entrega o del intento documentado conforme a la regla aplicable. Registrar quejas y reaperturas. La falta de respuesta del solicitante no autoriza por sí sola el cierre. Conservar el expediente conforme a la tabla de retención y los permisos específicos.</w:t>
      </w:r>
    </w:p>
    <w:p>
      <w:r>
        <w:t>Indicadores internos: solicitudes por derecho; respuestas fuera del vencimiento validado; solicitudes con acciones pendientes; reclamaciones y causas. No convertir una solicitud sin vencimiento configurado en una solicitud en plazo.</w:t>
      </w:r>
    </w:p>
    <w:p>
      <w:pPr>
        <w:pStyle w:val="Heading1"/>
      </w:pPr>
      <w:r>
        <w:t>Aprobación y actualización</w:t>
      </w:r>
    </w:p>
    <w:p>
      <w:r>
        <w:t>El responsable del tratamiento o su autoridad delegada decide y aprueba. Jurídico revisa la adecuación normativa. El DPD, cuando existe, asesora y supervisa con independencia; su participación no transfiere la responsabilidad de implementación. Registrar observaciones y su resolución antes de aprobar.</w:t>
      </w:r>
    </w:p>
    <w:p>
      <w:r>
        <w:t>Actualizar ante cambios de finalidad, datos, destinatarios, tecnología, riesgo o norma aplicable. Una periodicidad interna adicional debe responder al contexto y a las exigencias específicas verificadas.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84"/>
        <w:gridCol w:w="1440"/>
        <w:gridCol w:w="4896"/>
        <w:gridCol w:w="1872"/>
      </w:tblGrid>
      <w:tr>
        <w:trPr>
          <w:cantSplit/>
          <w:tblHeader/>
        </w:trPr>
        <w:tc>
          <w:tcPr>
            <w:tcW w:type="dxa" w:w="15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03B5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b/>
                <w:color w:val="FFFFFF"/>
                <w:sz w:val="18"/>
              </w:rPr>
              <w:t>Versión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03B5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b/>
                <w:color w:val="FFFFFF"/>
                <w:sz w:val="18"/>
              </w:rPr>
              <w:t>Fecha</w:t>
            </w:r>
          </w:p>
        </w:tc>
        <w:tc>
          <w:tcPr>
            <w:tcW w:type="dxa" w:w="48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03B5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b/>
                <w:color w:val="FFFFFF"/>
                <w:sz w:val="18"/>
              </w:rPr>
              <w:t>Cambio</w:t>
            </w:r>
          </w:p>
        </w:tc>
        <w:tc>
          <w:tcPr>
            <w:tcW w:type="dxa" w:w="18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03B5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b/>
                <w:color w:val="FFFFFF"/>
                <w:sz w:val="18"/>
              </w:rPr>
              <w:t>Autoriza</w:t>
            </w:r>
          </w:p>
        </w:tc>
      </w:tr>
      <w:tr>
        <w:trPr>
          <w:cantSplit/>
        </w:trPr>
        <w:tc>
          <w:tcPr>
            <w:tcW w:type="dxa" w:w="15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sz w:val="18"/>
              </w:rPr>
              <w:t>{{VERSION_CLIENTE}}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sz w:val="18"/>
              </w:rPr>
              <w:t>{{FECHA}}</w:t>
            </w:r>
          </w:p>
        </w:tc>
        <w:tc>
          <w:tcPr>
            <w:tcW w:type="dxa" w:w="48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sz w:val="18"/>
              </w:rPr>
              <w:t>{{DESCRIPCION_CAMBIO}}</w:t>
            </w:r>
          </w:p>
        </w:tc>
        <w:tc>
          <w:tcPr>
            <w:tcW w:type="dxa" w:w="18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sz w:val="18"/>
              </w:rPr>
              <w:t>{{APRUEBA}}</w:t>
            </w:r>
          </w:p>
        </w:tc>
      </w:tr>
    </w:tbl>
    <w:p>
      <w:pPr>
        <w:spacing w:after="40" w:before="0" w:line="40" w:lineRule="exact"/>
      </w:pPr>
    </w:p>
    <w:p>
      <w:pPr>
        <w:pStyle w:val="Heading1"/>
      </w:pPr>
      <w:r>
        <w:t>Referencias y comprobaciones previas</w:t>
      </w:r>
    </w:p>
    <w:p>
      <w:r>
        <w:t>N01 — LOPDP. Arts. 7 a 10, 12 a 24, 25 a 30, 37 a 43, 46 a 50 y 55 a 61. https://www.finanzaspopulares.gob.ec/wp-content/uploads/2021/07/ley_organica_de_proteccion_de_datos_personales.pdf</w:t>
        <w:br/>
        <w:t>Estado de verificación: Publicación original 26 mayo 2021. Texto consultado; verificar reformas al aplicar. Consulta: 2026-10-24.</w:t>
      </w:r>
    </w:p>
    <w:p>
      <w:r>
        <w:t>N02 — Reglamento General Decreto 904. Art. 38 y capítulos sobre derechos, EIPD y DPD. https://www.spdp.gob.ec/wp-content/uploads/2026/09/03-Reglamento-General-de-la-Ley-Organica-de-Proteccion-de-Datos-Personales-2023.pdf</w:t>
        <w:br/>
        <w:t>Estado de verificación: RO tercer suplemento 435 de 13 noviembre 2023. Verificación de publicación; cotejo específico pendiente salvo art. 38 reproducido por SPDP. Consulta: 2026-10-24.</w:t>
      </w:r>
    </w:p>
    <w:p>
      <w:r>
        <w:t>Antes del uso, registrar el resultado de la revisión jurídica, validar enlaces y comprobar normas sectoriales. La plantilla no certifica cumplimiento ni reemplaza trámites o formularios oficiales.</w:t>
      </w:r>
    </w:p>
    <w:p>
      <w:r>
        <w:br w:type="page"/>
      </w:r>
    </w:p>
    <w:p>
      <w:pPr>
        <w:pStyle w:val="Heading1"/>
      </w:pPr>
      <w:r>
        <w:t>Ejemplo ficticio separado de la plantilla</w:t>
      </w:r>
    </w:p>
    <w:p>
      <w:r>
        <w:t>Solo para capacitación. Eliminar este apartado en la versión que utilizará la organización.</w:t>
      </w:r>
    </w:p>
    <w:p>
      <w:r>
        <w:t>Organización ficticia Oficina Lumen. Una persona solicita conocer qué información se utiliza para su relación comercial. La solicitud se recibe por correo y se registra como acceso.</w:t>
      </w:r>
    </w:p>
    <w:p>
      <w:r>
        <w:t>Atención valida el canal sin pedir automáticamente la cédula; el dueño del proceso localiza los registros y jurídico valida el cómputo del vencimiento.</w:t>
      </w:r>
    </w:p>
    <w:p>
      <w:r>
        <w:t>El expediente solo se cierra tras respuesta segura y evidencia de envío. Si faltara la validación del plazo, el sistema debe mostrar Configuración pendiente, nunca En plazo.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PRO-01   •   v0.1   |   Página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sz w:val="18"/>
      </w:rPr>
      <w:t>EVYDENTIA    Biblioteca documental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Procedimiento de atención de derechos</dc:title>
  <dc:subject/>
  <dc:creator>EVYDENTIA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