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898A0" w14:textId="05107F1A" w:rsidR="00495F55" w:rsidRPr="00495F55" w:rsidRDefault="00495F55" w:rsidP="00495F55">
      <w:pPr>
        <w:widowControl/>
        <w:autoSpaceDE/>
        <w:autoSpaceDN/>
        <w:contextualSpacing/>
        <w:rPr>
          <w:rFonts w:asciiTheme="minorHAnsi" w:hAnsiTheme="minorHAnsi" w:cstheme="minorHAnsi"/>
          <w:b/>
          <w:bCs/>
          <w:sz w:val="48"/>
          <w:szCs w:val="48"/>
        </w:rPr>
      </w:pPr>
      <w:r>
        <w:rPr>
          <w:rFonts w:asciiTheme="minorHAnsi" w:hAnsiTheme="minorHAnsi" w:cstheme="minorHAnsi"/>
          <w:b/>
          <w:bCs/>
          <w:sz w:val="48"/>
          <w:szCs w:val="48"/>
        </w:rPr>
        <w:t xml:space="preserve">Desarrollo y Evaluación de Modelos Propios</w:t>
      </w:r>
    </w:p>
    <w:p w14:paraId="629A82EC" w14:textId="3A2282C1" w:rsidR="00495F55" w:rsidRPr="00915C57" w:rsidRDefault="00495F55" w:rsidP="00495F55">
      <w:pPr>
        <w:widowControl/>
        <w:autoSpaceDE/>
        <w:autoSpaceDN/>
        <w:ind w:left="720" w:hanging="720"/>
        <w:contextualSpacing/>
        <w:rPr>
          <w:rFonts w:asciiTheme="minorHAnsi" w:hAnsiTheme="minorHAnsi" w:cstheme="minorHAnsi"/>
          <w:color w:val="595959" w:themeColor="text1" w:themeTint="A6"/>
          <w:sz w:val="40"/>
          <w:szCs w:val="40"/>
        </w:rPr>
      </w:pPr>
      <w:r>
        <w:rPr>
          <w:rFonts w:asciiTheme="minorHAnsi" w:hAnsiTheme="minorHAnsi" w:cstheme="minorHAnsi"/>
          <w:color w:val="595959" w:themeColor="text1" w:themeTint="A6"/>
          <w:sz w:val="40"/>
          <w:szCs w:val="40"/>
        </w:rPr>
        <w:t>Guía de asignatura</w:t>
      </w:r>
    </w:p>
    <w:p w14:paraId="71FAF42A" w14:textId="7DCD50D4" w:rsidR="00495F55" w:rsidRDefault="00CE71A3" w:rsidP="00495F55">
      <w:pPr>
        <w:widowControl/>
        <w:autoSpaceDE/>
        <w:autoSpaceDN/>
        <w:ind w:left="720" w:hanging="720"/>
        <w:contextualSpacing/>
        <w:rPr>
          <w:rFonts w:asciiTheme="minorHAnsi" w:hAnsiTheme="minorHAnsi" w:cstheme="minorHAnsi"/>
          <w:color w:val="7F7F7F" w:themeColor="text1" w:themeTint="80"/>
          <w:sz w:val="20"/>
          <w:szCs w:val="20"/>
        </w:rPr>
      </w:pPr>
      <w:r>
        <w:rPr>
          <w:rFonts w:asciiTheme="minorHAnsi" w:hAnsiTheme="minorHAnsi" w:cstheme="minorHAnsi"/>
          <w:color w:val="7F7F7F" w:themeColor="text1" w:themeTint="80"/>
          <w:sz w:val="20"/>
          <w:szCs w:val="20"/>
        </w:rPr>
        <w:t xml:space="preserve">Última actualización: septiembre de 2026</w:t>
      </w:r>
    </w:p>
    <w:p w14:paraId="48A2CEB3" w14:textId="77777777" w:rsidR="00C82416" w:rsidRPr="00CE71A3" w:rsidRDefault="00C82416" w:rsidP="00495F55">
      <w:pPr>
        <w:widowControl/>
        <w:autoSpaceDE/>
        <w:autoSpaceDN/>
        <w:ind w:left="720" w:hanging="720"/>
        <w:contextualSpacing/>
        <w:rPr>
          <w:rFonts w:asciiTheme="minorHAnsi" w:hAnsiTheme="minorHAnsi" w:cstheme="minorHAnsi"/>
          <w:color w:val="7F7F7F" w:themeColor="text1" w:themeTint="80"/>
          <w:sz w:val="20"/>
          <w:szCs w:val="20"/>
        </w:rPr>
      </w:pPr>
    </w:p>
    <w:p w14:paraId="1BCCD1EF" w14:textId="75811A25" w:rsidR="00495F55" w:rsidRPr="00E6368B" w:rsidRDefault="00495F55" w:rsidP="004570A7">
      <w:pPr>
        <w:pStyle w:val="Prrafodelista"/>
        <w:keepNext/>
        <w:widowControl/>
        <w:numPr>
          <w:ilvl w:val="0"/>
          <w:numId w:val="8"/>
        </w:numPr>
        <w:autoSpaceDE/>
        <w:autoSpaceDN/>
        <w:spacing w:before="0" w:after="120"/>
        <w:contextualSpacing/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  <w:t>Información general</w:t>
      </w:r>
    </w:p>
    <w:tbl>
      <w:tblPr>
        <w:tblStyle w:val="Tablaconcuadrcula"/>
        <w:tblW w:w="0" w:type="auto"/>
        <w:tblInd w:w="421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3402"/>
        <w:gridCol w:w="5627"/>
      </w:tblGrid>
      <w:tr w:rsidR="007E3CDC" w14:paraId="483C44B7" w14:textId="77777777" w:rsidTr="00E6368B">
        <w:tc>
          <w:tcPr>
            <w:tcW w:w="3402" w:type="dxa"/>
          </w:tcPr>
          <w:p w14:paraId="73E34A6C" w14:textId="31ACCEFA" w:rsidR="007E3CDC" w:rsidRPr="007E3CDC" w:rsidRDefault="007E3CDC" w:rsidP="007E3CD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s-CO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Nombre de la asignatura</w:t>
            </w:r>
          </w:p>
        </w:tc>
        <w:tc>
          <w:tcPr>
            <w:tcW w:w="5627" w:type="dxa"/>
          </w:tcPr>
          <w:p>
            <w:pPr>
              <w:pStyle w:val="Textoindependiente"/>
              <w:spacing w:before="189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Desarrollo y Evaluación de Modelos Propios</w:t>
            </w:r>
          </w:p>
        </w:tc>
      </w:tr>
      <w:tr w:rsidR="007E3CDC" w:rsidTr="00E6368B">
        <w:tc>
          <w:tcPr>
            <w:tcW w:w="3402" w:type="dxa"/>
          </w:tcPr>
          <w:p w:rsidR="007E3CDC" w:rsidRPr="002C19ED" w:rsidRDefault="007E3CDC" w:rsidP="007E3CD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Escuela o facultad</w:t>
            </w:r>
          </w:p>
        </w:tc>
        <w:tc>
          <w:tcPr>
            <w:tcW w:w="5627" w:type="dxa"/>
          </w:tcPr>
          <w:p>
            <w:pPr>
              <w:pStyle w:val="Textoindependiente"/>
              <w:spacing w:before="189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Escuela de Administración (Rosario GSB)</w:t>
            </w:r>
          </w:p>
        </w:tc>
      </w:tr>
      <w:tr w:rsidR="007E3CDC" w:rsidTr="00E6368B">
        <w:tc>
          <w:tcPr>
            <w:tcW w:w="3402" w:type="dxa"/>
          </w:tcPr>
          <w:p w:rsidR="007E3CDC" w:rsidRPr="002C19ED" w:rsidRDefault="007E3CDC" w:rsidP="007E3CD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Programa</w:t>
            </w:r>
          </w:p>
        </w:tc>
        <w:tc>
          <w:tcPr>
            <w:tcW w:w="5627" w:type="dxa"/>
          </w:tcPr>
          <w:p>
            <w:pPr>
              <w:pStyle w:val="Textoindependiente"/>
              <w:spacing w:before="189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Especialización en Inteligencia Artificial Generativa y Desarrollo de Negocios</w:t>
            </w:r>
          </w:p>
        </w:tc>
      </w:tr>
      <w:tr w:rsidR="007E3CDC" w14:paraId="54485622" w14:textId="77777777" w:rsidTr="00E6368B">
        <w:tc>
          <w:tcPr>
            <w:tcW w:w="3402" w:type="dxa"/>
          </w:tcPr>
          <w:p w14:paraId="66CBD4A1" w14:textId="03838BA9" w:rsidR="007E3CDC" w:rsidRPr="002C19ED" w:rsidRDefault="007E3CDC" w:rsidP="007E3CD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Código</w:t>
            </w:r>
          </w:p>
        </w:tc>
        <w:tc>
          <w:tcPr>
            <w:tcW w:w="5627" w:type="dxa"/>
          </w:tcPr>
          <w:p>
            <w:pPr>
              <w:pStyle w:val="Textoindependiente"/>
              <w:spacing w:before="189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[POR COMPLETAR]</w:t>
            </w:r>
          </w:p>
        </w:tc>
      </w:tr>
      <w:tr w:rsidR="007E3CDC" w14:paraId="03FF751D" w14:textId="77777777" w:rsidTr="00E6368B">
        <w:tc>
          <w:tcPr>
            <w:tcW w:w="3402" w:type="dxa"/>
          </w:tcPr>
          <w:p w14:paraId="58DA18F4" w14:textId="1349EC81" w:rsidR="007E3CDC" w:rsidRPr="002C19ED" w:rsidRDefault="007E3CDC" w:rsidP="007E3CD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s-CO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Tipo de asignatura</w:t>
            </w:r>
          </w:p>
        </w:tc>
        <w:tc>
          <w:tcPr>
            <w:tcW w:w="5627" w:type="dxa"/>
          </w:tcPr>
          <w:p>
            <w:pPr>
              <w:pStyle w:val="Textoindependiente"/>
              <w:spacing w:before="189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Obligatoria (tipo de saber: básico)</w:t>
            </w:r>
          </w:p>
        </w:tc>
      </w:tr>
      <w:tr w:rsidR="007E3CDC" w14:paraId="3ABF79EF" w14:textId="77777777" w:rsidTr="00E6368B">
        <w:tc>
          <w:tcPr>
            <w:tcW w:w="3402" w:type="dxa"/>
          </w:tcPr>
          <w:p w14:paraId="00453A67" w14:textId="3B6CEEEE" w:rsidR="007E3CDC" w:rsidRPr="007E3CDC" w:rsidRDefault="007E3CDC" w:rsidP="007E3CD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s-CO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Número de créditos</w:t>
            </w:r>
          </w:p>
        </w:tc>
        <w:tc>
          <w:tcPr>
            <w:tcW w:w="5627" w:type="dxa"/>
          </w:tcPr>
          <w:p>
            <w:pPr>
              <w:pStyle w:val="Textoindependiente"/>
              <w:spacing w:before="189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3</w:t>
            </w:r>
          </w:p>
        </w:tc>
      </w:tr>
      <w:tr w:rsidR="00053DD3" w14:paraId="6E938D00" w14:textId="77777777" w:rsidTr="00E6368B">
        <w:tc>
          <w:tcPr>
            <w:tcW w:w="3402" w:type="dxa"/>
          </w:tcPr>
          <w:p w14:paraId="50790BC1" w14:textId="72B7D676" w:rsidR="00053DD3" w:rsidRPr="002C19ED" w:rsidRDefault="00053DD3" w:rsidP="007E3CD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Tipo de crédito</w:t>
            </w:r>
          </w:p>
        </w:tc>
        <w:tc>
          <w:tcPr>
            <w:tcW w:w="5627" w:type="dxa"/>
          </w:tcPr>
          <w:p>
            <w:pPr>
              <w:pStyle w:val="Textoindependiente"/>
              <w:spacing w:before="189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Asignatura virtual (teórico-práctica)</w:t>
            </w:r>
          </w:p>
        </w:tc>
      </w:tr>
      <w:tr w:rsidR="007E3CDC" w14:paraId="25BF62A9" w14:textId="77777777" w:rsidTr="00E6368B">
        <w:tc>
          <w:tcPr>
            <w:tcW w:w="3402" w:type="dxa"/>
          </w:tcPr>
          <w:p w14:paraId="768D6784" w14:textId="7D139A67" w:rsidR="007E3CDC" w:rsidRPr="002C19ED" w:rsidRDefault="007E3CDC" w:rsidP="007E3CD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Horas de trabajo semanal con acompañamiento directo del profesor </w:t>
            </w:r>
          </w:p>
        </w:tc>
        <w:tc>
          <w:tcPr>
            <w:tcW w:w="5627" w:type="dxa"/>
          </w:tcPr>
          <w:p>
            <w:pPr>
              <w:pStyle w:val="Textoindependiente"/>
              <w:spacing w:before="189"/>
              <w:rPr>
                <w:rFonts w:asciiTheme="minorHAnsi" w:hAnsiTheme="minorHAnsi" w:cstheme="minorHAnsi"/>
                <w:sz w:val="24"/>
                <w:szCs w:val="24"/>
                <w:lang w:val="es-CO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3 horas semanales: 12 sesiones sincrónicas de 3 horas (36 horas en el periodo académico).</w:t>
            </w:r>
          </w:p>
        </w:tc>
      </w:tr>
      <w:tr w:rsidR="007E3CDC" w14:paraId="5EDB88A3" w14:textId="77777777" w:rsidTr="00E6368B">
        <w:tc>
          <w:tcPr>
            <w:tcW w:w="3402" w:type="dxa"/>
          </w:tcPr>
          <w:p w14:paraId="3A38B8C6" w14:textId="22620CFF" w:rsidR="007E3CDC" w:rsidRPr="002C19ED" w:rsidRDefault="007E3CDC" w:rsidP="00665C7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s-CO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Horas semanales de trabajo independiente del estudiante:</w:t>
            </w:r>
          </w:p>
          <w:p w14:paraId="2D15536E" w14:textId="77777777" w:rsidR="007E3CDC" w:rsidRPr="002C19ED" w:rsidRDefault="007E3CDC" w:rsidP="00665C7C">
            <w:pPr>
              <w:pStyle w:val="Textoindependiente"/>
              <w:spacing w:before="189"/>
              <w:rPr>
                <w:rFonts w:asciiTheme="minorHAnsi" w:hAnsiTheme="minorHAnsi" w:cstheme="minorHAnsi"/>
                <w:b/>
                <w:sz w:val="24"/>
                <w:szCs w:val="24"/>
                <w:lang w:val="es-CO"/>
              </w:rPr>
            </w:pPr>
          </w:p>
        </w:tc>
        <w:tc>
          <w:tcPr>
            <w:tcW w:w="5627" w:type="dxa"/>
          </w:tcPr>
          <w:p>
            <w:pPr>
              <w:pStyle w:val="Textoindependiente"/>
              <w:spacing w:before="189"/>
              <w:rPr>
                <w:rFonts w:asciiTheme="minorHAnsi" w:hAnsiTheme="minorHAnsi" w:cstheme="minorHAnsi"/>
                <w:sz w:val="24"/>
                <w:szCs w:val="24"/>
                <w:lang w:val="es-CO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9 horas semanales (108 horas en el periodo académico). Total del curso: 144 horas.</w:t>
            </w:r>
          </w:p>
        </w:tc>
      </w:tr>
      <w:tr w:rsidR="007E3CDC" w14:paraId="4942AB2B" w14:textId="77777777" w:rsidTr="00E6368B">
        <w:tc>
          <w:tcPr>
            <w:tcW w:w="3402" w:type="dxa"/>
          </w:tcPr>
          <w:p w14:paraId="07EC069D" w14:textId="2E4DB0B7" w:rsidR="007E3CDC" w:rsidRPr="002C19ED" w:rsidRDefault="007E3CDC" w:rsidP="00E6368B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lastRenderedPageBreak/>
              <w:t>Prerrequisitos</w:t>
            </w:r>
          </w:p>
        </w:tc>
        <w:tc>
          <w:tcPr>
            <w:tcW w:w="5627" w:type="dxa"/>
          </w:tcPr>
          <w:p>
            <w:pPr>
              <w:pStyle w:val="Textoindependiente"/>
              <w:spacing w:before="189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Ninguno</w:t>
            </w:r>
          </w:p>
        </w:tc>
      </w:tr>
      <w:tr w:rsidR="007E3CDC" w14:paraId="00B2C4CB" w14:textId="77777777" w:rsidTr="00E6368B">
        <w:tc>
          <w:tcPr>
            <w:tcW w:w="3402" w:type="dxa"/>
          </w:tcPr>
          <w:p w14:paraId="22021538" w14:textId="0469EAA1" w:rsidR="007E3CDC" w:rsidRPr="00E6368B" w:rsidRDefault="007E3CDC" w:rsidP="00665C7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s-CO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Correquisitos</w:t>
            </w:r>
          </w:p>
        </w:tc>
        <w:tc>
          <w:tcPr>
            <w:tcW w:w="5627" w:type="dxa"/>
          </w:tcPr>
          <w:p>
            <w:pPr>
              <w:pStyle w:val="Textoindependiente"/>
              <w:spacing w:before="189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Ninguno</w:t>
            </w:r>
          </w:p>
        </w:tc>
      </w:tr>
      <w:tr w:rsidR="007E3CDC" w14:paraId="54E9A924" w14:textId="77777777" w:rsidTr="00E6368B">
        <w:tc>
          <w:tcPr>
            <w:tcW w:w="3402" w:type="dxa"/>
          </w:tcPr>
          <w:p w14:paraId="65345A0A" w14:textId="77777777" w:rsidR="007E3CDC" w:rsidRPr="002C19ED" w:rsidRDefault="007E3CDC" w:rsidP="00665C7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Horario</w:t>
            </w:r>
          </w:p>
        </w:tc>
        <w:tc>
          <w:tcPr>
            <w:tcW w:w="5627" w:type="dxa"/>
          </w:tcPr>
          <w:p>
            <w:pPr>
              <w:pStyle w:val="Textoindependiente"/>
              <w:spacing w:before="189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[POR COMPLETAR]</w:t>
            </w:r>
          </w:p>
        </w:tc>
      </w:tr>
      <w:tr w:rsidR="007E3CDC" w14:paraId="70AB7E79" w14:textId="77777777" w:rsidTr="00E6368B">
        <w:tc>
          <w:tcPr>
            <w:tcW w:w="3402" w:type="dxa"/>
          </w:tcPr>
          <w:p w14:paraId="230AB261" w14:textId="17B7A873" w:rsidR="007E3CDC" w:rsidRPr="002C19ED" w:rsidRDefault="007E3CDC" w:rsidP="00665C7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Salón</w:t>
              <w:tab/>
            </w:r>
          </w:p>
          <w:p w14:paraId="6C6A0715" w14:textId="77777777" w:rsidR="007E3CDC" w:rsidRPr="002C19ED" w:rsidRDefault="007E3CDC" w:rsidP="00665C7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</w:rPr>
            </w:pPr>
          </w:p>
        </w:tc>
        <w:tc>
          <w:tcPr>
            <w:tcW w:w="5627" w:type="dxa"/>
          </w:tcPr>
          <w:p>
            <w:pPr>
              <w:pStyle w:val="Textoindependiente"/>
              <w:spacing w:before="189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Aula virtual (enlace de videoconferencia publicado en e-Aulas)</w:t>
            </w:r>
          </w:p>
        </w:tc>
      </w:tr>
    </w:tbl>
    <w:p>
      <w:pPr>
        <w:spacing w:before="0" w:after="0"/>
        <w:jc w:val="both"/>
        <w:rPr>
          <w:rFonts w:asciiTheme="minorHAnsi" w:hAnsiTheme="minorHAnsi" w:cstheme="minorHAnsi"/>
          <w:sz w:val="24"/>
          <w:szCs w:val="24"/>
          <w:lang w:val="es-CO"/>
        </w:rPr>
      </w:pPr>
    </w:p>
    <w:p w14:paraId="31859287" w14:textId="2722C09D" w:rsidR="00495F55" w:rsidRPr="00E6368B" w:rsidRDefault="00495F55" w:rsidP="004570A7">
      <w:pPr>
        <w:pStyle w:val="Prrafodelista"/>
        <w:keepNext/>
        <w:widowControl/>
        <w:numPr>
          <w:ilvl w:val="0"/>
          <w:numId w:val="8"/>
        </w:numPr>
        <w:autoSpaceDE/>
        <w:autoSpaceDN/>
        <w:spacing w:before="0" w:after="120"/>
        <w:contextualSpacing/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  <w:lang w:val="es-CO"/>
        </w:rPr>
        <w:t xml:space="preserve">Información del profesor</w:t>
      </w:r>
    </w:p>
    <w:tbl>
      <w:tblPr>
        <w:tblStyle w:val="Tablaconcuadrcula"/>
        <w:tblW w:w="0" w:type="auto"/>
        <w:tblInd w:w="421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2845"/>
        <w:gridCol w:w="6184"/>
      </w:tblGrid>
      <w:tr w:rsidR="00495F55" w14:paraId="1E789E11" w14:textId="77777777" w:rsidTr="00E6368B">
        <w:tc>
          <w:tcPr>
            <w:tcW w:w="2845" w:type="dxa"/>
          </w:tcPr>
          <w:p w14:paraId="09A67B9E" w14:textId="53E4BB6E" w:rsidR="00495F55" w:rsidRPr="002C19ED" w:rsidRDefault="00495F55" w:rsidP="00665C7C">
            <w:pPr>
              <w:widowControl/>
              <w:autoSpaceDE/>
              <w:autoSpaceDN/>
              <w:contextualSpacing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Nombre del profesor </w:t>
            </w:r>
          </w:p>
        </w:tc>
        <w:tc>
          <w:tcPr>
            <w:tcW w:w="6184" w:type="dxa"/>
          </w:tcPr>
          <w:p>
            <w:pPr>
              <w:widowControl/>
              <w:autoSpaceDE/>
              <w:autoSpaceDN/>
              <w:contextualSpacing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Julian Caicedo</w:t>
            </w:r>
          </w:p>
        </w:tc>
      </w:tr>
      <w:tr w:rsidR="00495F55" w14:paraId="00DBF32F" w14:textId="77777777" w:rsidTr="00E6368B">
        <w:tc>
          <w:tcPr>
            <w:tcW w:w="2845" w:type="dxa"/>
          </w:tcPr>
          <w:p w14:paraId="1454BE88" w14:textId="4CCF29AC" w:rsidR="00495F55" w:rsidRPr="002C19ED" w:rsidRDefault="00495F55" w:rsidP="00665C7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Perfil profesional</w:t>
              <w:tab/>
            </w:r>
          </w:p>
          <w:p w14:paraId="121E1E68" w14:textId="77777777" w:rsidR="00495F55" w:rsidRPr="002C19ED" w:rsidRDefault="00495F55" w:rsidP="00665C7C">
            <w:pPr>
              <w:widowControl/>
              <w:autoSpaceDE/>
              <w:autoSpaceDN/>
              <w:contextualSpacing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</w:p>
        </w:tc>
        <w:tc>
          <w:tcPr>
            <w:tcW w:w="6184" w:type="dxa"/>
          </w:tcPr>
          <w:p>
            <w:pPr>
              <w:widowControl/>
              <w:autoSpaceDE/>
              <w:autoSpaceDN/>
              <w:contextualSpacing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[POR COMPLETAR: perfil profesional del profesor]</w:t>
            </w:r>
          </w:p>
        </w:tc>
      </w:tr>
      <w:tr w:rsidR="00495F55" w14:paraId="108DCBC4" w14:textId="77777777" w:rsidTr="00E6368B">
        <w:tc>
          <w:tcPr>
            <w:tcW w:w="2845" w:type="dxa"/>
          </w:tcPr>
          <w:p w14:paraId="3C80B98D" w14:textId="69DA726C" w:rsidR="00495F55" w:rsidRPr="002C19ED" w:rsidRDefault="00495F55" w:rsidP="001746A7">
            <w:pPr>
              <w:jc w:val="both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Correo electrónico institucional</w:t>
            </w:r>
          </w:p>
        </w:tc>
        <w:tc>
          <w:tcPr>
            <w:tcW w:w="6184" w:type="dxa"/>
          </w:tcPr>
          <w:p>
            <w:pPr>
              <w:widowControl/>
              <w:autoSpaceDE/>
              <w:autoSpaceDN/>
              <w:contextualSpacing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[POR COMPLETAR]</w:t>
            </w:r>
          </w:p>
        </w:tc>
      </w:tr>
      <w:tr w:rsidR="00495F55" w14:paraId="3CB53855" w14:textId="77777777" w:rsidTr="00E6368B">
        <w:tc>
          <w:tcPr>
            <w:tcW w:w="2845" w:type="dxa"/>
          </w:tcPr>
          <w:p w14:paraId="5A6F7A9D" w14:textId="1400E1D9" w:rsidR="00495F55" w:rsidRPr="001746A7" w:rsidRDefault="00495F55" w:rsidP="001746A7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Lugar y horario de atención</w:t>
            </w:r>
          </w:p>
        </w:tc>
        <w:tc>
          <w:tcPr>
            <w:tcW w:w="6184" w:type="dxa"/>
          </w:tcPr>
          <w:p>
            <w:pPr>
              <w:widowControl/>
              <w:autoSpaceDE/>
              <w:autoSpaceDN/>
              <w:contextualSpacing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[POR COMPLETAR]</w:t>
            </w:r>
          </w:p>
        </w:tc>
      </w:tr>
      <w:tr w:rsidR="00495F55" w14:paraId="01037A6B" w14:textId="77777777" w:rsidTr="00E6368B">
        <w:trPr>
          <w:trHeight w:val="914"/>
        </w:trPr>
        <w:tc>
          <w:tcPr>
            <w:tcW w:w="2845" w:type="dxa"/>
          </w:tcPr>
          <w:p w14:paraId="7CA0B747" w14:textId="23B93A5E" w:rsidR="00495F55" w:rsidRPr="002C19ED" w:rsidRDefault="00495F55" w:rsidP="00665C7C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Página web u otros medios (opcional)</w:t>
            </w:r>
          </w:p>
        </w:tc>
        <w:tc>
          <w:tcPr>
            <w:tcW w:w="6184" w:type="dxa"/>
          </w:tcPr>
          <w:p>
            <w:pPr>
              <w:widowControl/>
              <w:autoSpaceDE/>
              <w:autoSpaceDN/>
              <w:contextualSpacing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[POR COMPLETAR]</w:t>
            </w:r>
          </w:p>
          <w:p>
            <w:pPr>
              <w:widowControl/>
              <w:autoSpaceDE/>
              <w:autoSpaceDN/>
              <w:contextualSpacing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Portal del curso: </w:t>
            </w:r>
            <w:hyperlink r:id="rIdL1" w:history="1">
              <w:r>
                <w:rPr>
                  <w:rStyle w:val="Hipervnculo"/>
                  <w:rFonts w:asciiTheme="minorHAnsi" w:hAnsiTheme="minorHAnsi" w:cstheme="minorHAnsi"/>
                  <w:sz w:val="24"/>
                  <w:szCs w:val="24"/>
                  <w:lang w:val="es-CO"/>
                </w:rPr>
                <w:t xml:space="preserve">https://juccaicedoac03.github.io/Desarrollo-Evaluacion-Modelos/</w:t>
              </w:r>
            </w:hyperlink>
          </w:p>
          <w:p>
            <w:pPr>
              <w:widowControl/>
              <w:autoSpaceDE/>
              <w:autoSpaceDN/>
              <w:contextualSpacing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Repositorio de materiales: </w:t>
            </w:r>
            <w:hyperlink r:id="rIdL2" w:history="1">
              <w:r>
                <w:rPr>
                  <w:rStyle w:val="Hipervnculo"/>
                  <w:rFonts w:asciiTheme="minorHAnsi" w:hAnsiTheme="minorHAnsi" w:cstheme="minorHAnsi"/>
                  <w:sz w:val="24"/>
                  <w:szCs w:val="24"/>
                  <w:lang w:val="es-CO"/>
                </w:rPr>
                <w:t xml:space="preserve">https://github.com/juccaicedoac03/Desarrollo-Evaluacion-Modelos</w:t>
              </w:r>
            </w:hyperlink>
          </w:p>
        </w:tc>
      </w:tr>
      <w:tr w:rsidR="00495F55" w:rsidTr="00E6368B">
        <w:tc>
          <w:tcPr>
            <w:tcW w:w="2845" w:type="dxa"/>
          </w:tcPr>
          <w:p w:rsidR="00495F55" w:rsidRPr="002C19ED" w:rsidRDefault="00495F55" w:rsidP="001746A7">
            <w:pPr>
              <w:jc w:val="both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Declaración de transparencia</w:t>
            </w:r>
          </w:p>
        </w:tc>
        <w:tc>
          <w:tcPr>
            <w:tcW w:w="6184" w:type="dxa"/>
          </w:tcPr>
          <w:p>
            <w:pPr>
              <w:widowControl/>
              <w:autoSpaceDE/>
              <w:autoSpaceDN/>
              <w:contextualSpacing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CO"/>
              </w:rPr>
              <w:t xml:space="preserve">El profesor hace parte de Startti, la plataforma de agentes (Startti ADP) que se usa en algunas sesiones del curso; las licencias se entregan a los estudiantes sin costo y siempre hay una alternativa que no requiere crear una cuenta.</w:t>
            </w:r>
          </w:p>
        </w:tc>
      </w:tr>
    </w:tbl>
    <w:p>
      <w:pPr>
        <w:spacing w:before="0" w:after="0"/>
        <w:jc w:val="both"/>
        <w:rPr>
          <w:rFonts w:asciiTheme="minorHAnsi" w:hAnsiTheme="minorHAnsi" w:cstheme="minorHAnsi"/>
          <w:sz w:val="24"/>
          <w:szCs w:val="24"/>
          <w:lang w:val="es-CO"/>
        </w:rPr>
      </w:pPr>
    </w:p>
    <w:p w14:paraId="657753E2" w14:textId="7C05AB7E" w:rsidR="00495F55" w:rsidRPr="00FA723E" w:rsidRDefault="00495F55" w:rsidP="00FA723E">
      <w:pPr>
        <w:pStyle w:val="Prrafodelista"/>
        <w:keepNext/>
        <w:widowControl/>
        <w:numPr>
          <w:ilvl w:val="0"/>
          <w:numId w:val="8"/>
        </w:numPr>
        <w:autoSpaceDE/>
        <w:autoSpaceDN/>
        <w:spacing w:before="0" w:after="120"/>
        <w:contextualSpacing/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  <w:lastRenderedPageBreak/>
        <w:t>Resumen y propósitos del curso</w:t>
      </w:r>
    </w:p>
    <w:p>
      <w:pPr>
        <w:keepNext/>
        <w:spacing w:before="160" w:after="80"/>
        <w:jc w:val="left"/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</w:pPr>
      <w:r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  <w:t xml:space="preserve">Resumen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27278DAF" wp14:editId="17592BE4">
            <wp:simplePos x="0" y="0"/>
            <wp:positionH relativeFrom="margin">
              <wp:posOffset>3267075</wp:posOffset>
            </wp:positionH>
            <wp:positionV relativeFrom="paragraph">
              <wp:posOffset>22860</wp:posOffset>
            </wp:positionV>
            <wp:extent cx="2496820" cy="1666875"/>
            <wp:effectExtent l="0" t="0" r="0" b="9525"/>
            <wp:wrapSquare wrapText="bothSides"/>
            <wp:docPr id="4" name="Imagen 4" descr="Imagen decorativa: brúj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M1BSP0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El curso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Desarrollo y Evaluación de Modelos Propios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ofrece a los estudiantes las competencias necesarias para entrenar, ajustar y evaluar modelos generativos y preentrenados, como GPT, BERT y los autoencoders variacionales (VAE). A lo largo del curso, los participantes exploran técnicas de afinamiento y métricas de evaluación, y las aplican en el desarrollo de soluciones prácticas como chatbots, agentes, clasificadores de texto y otros sistemas de IA orientados a problemas reales.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Con un enfoque de aprendizaje experiencial, el curso analiza casos de uso en sectores como salud, finanzas, educación y servicio al cliente, e integra las prácticas éticas, la reducción de sesgos, la privacidad y la sostenibilidad de los modelos, así como su impacto social. Los estudiantes culminan con un proyecto final en el que diseñan, entrenan o afinan, evalúan y mejoran un modelo propio adaptado a un problema contextualizado, lo que fortalece su capacidad de innovar con inteligencia artificial.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El curso es virtual y eminentemente práctico. Cada una de las 12 sesiones sincrónicas de 3 horas combina una exposición interactiva, una práctica guiada en notebooks de Kaggle y un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challenge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evaluado al final de la sesión. Así, el aprendizaje se evalúa de forma continua —en cada sesión y no mediante exámenes parciales— y el estudiante recibe retroalimentación frecuente sobre su progreso. Las actividades parten de reconocer que los estudiantes usan asistentes de IA (ChatGPT, Claude, Codex, entre otros): su uso se permite de forma transparente y con registro, y la evaluación se centra en el análisis, en la justificación de decisiones con resultados propios y en la capacidad de explicar el trabajo entregado.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El curso se fundamenta en bibliografía reciente y validada, lo que garantiza su pertinencia y su alineación con los avances actuales en IA generativa y aprendizaje automático.</w:t>
      </w:r>
    </w:p>
    <w:p>
      <w:pPr>
        <w:keepNext/>
        <w:spacing w:before="160" w:after="80"/>
        <w:jc w:val="left"/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</w:pPr>
      <w:r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  <w:t xml:space="preserve">Propósitos de formación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El curso tiene como propósito formar profesionales capaces de diseñar, entrenar, evaluar y adaptar modelos de inteligencia artificial generativa y preentrenados para resolver problemas específicos en diversos contextos. A través del desarrollo de habilidades técnicas y conceptuales, los estudiantes aprenden a aplicar herramientas de aprendizaje automático, integrar métricas de evaluación y desarrollar soluciones prácticas como chatbots y clasificadores, todo enmarcado en principios éticos y sostenibles.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Asimismo, el curso busca fomentar un pensamiento crítico e innovador, a partir de una comprensión integral de casos de uso reales, y promover la capacidad de implementar modelos de IA que tengan un impacto positivo en la sociedad y en las organizaciones.</w:t>
      </w:r>
    </w:p>
    <w:p>
      <w:pPr>
        <w:spacing w:before="0" w:after="0"/>
        <w:jc w:val="both"/>
        <w:rPr>
          <w:rFonts w:asciiTheme="minorHAnsi" w:hAnsiTheme="minorHAnsi" w:cstheme="minorHAnsi"/>
          <w:sz w:val="24"/>
          <w:szCs w:val="24"/>
          <w:lang w:val="es-CO"/>
        </w:rPr>
      </w:pPr>
    </w:p>
    <w:p w14:paraId="474890A6" w14:textId="6C0A0600" w:rsidR="002C19ED" w:rsidRPr="00FA723E" w:rsidRDefault="00DB160B" w:rsidP="002C19ED">
      <w:pPr>
        <w:pStyle w:val="Prrafodelista"/>
        <w:keepNext/>
        <w:numPr>
          <w:ilvl w:val="0"/>
          <w:numId w:val="8"/>
        </w:numPr>
        <w:spacing w:before="0" w:after="120"/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  <w:t xml:space="preserve">Conceptos fundamentales 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El curso se organiza alrededor de los siguientes conceptos clave. Entre paréntesis se indican las sesiones (S) en las que se trabajan con mayor profundidad; todos se integran en el proyecto final.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Modelos generativos y discriminativos: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modelar la distribución de los datos, p(x) o p(x, y), frente a modelar directamente la decisión, p(y | x); familias autorregresivas, autoencoders, VAE, GAN y modelos de difusión (S1, S8).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Modelos preentrenados y fundacionales: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modelos entrenados a gran escala (BERT, GPT, T5) que se reutilizan y adaptan; decisión entre construir, adaptar o comprar (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build vs. buy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) y licencias de uso (S1, S3).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Arquitectura Transformer: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mecanismo de atención, tokenización y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embeddings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; variantes codificador, decodificador y codificador-decodificador (S3).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Entrenamiento y optimización: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funciones de pérdida, optimizadores, tasa de aprendizaje, preprocesamiento de datos, sobreajuste, regularización y fuga de datos (S2).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Autoencoders variacionales (VAE):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espacio latente, cota inferior de la evidencia (ELBO) y truco de reparametrización (S2, S8).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Transferencia de aprendizaje: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extracción de características, aprendizaje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zero-shot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y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few-shot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, y selección de modelos según los datos disponibles (S3).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Afinamiento completo y eficiente: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fine-tuning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completo frente a métodos eficientes en parámetros como LoRA y QLoRA; ajuste por instrucciones, hiperparámetros, datasets propios y olvido catastrófico; cuándo usar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prompting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, RAG o afinamiento (S4).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Métricas de evaluación: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perplejidad, BLEU, ROUGE, chrF, similitud semántica y LLM como juez; exactitud, precisión, exhaustividad (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recall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) y F1 para clasificación (S5).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Validación y análisis de errores: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particiones de datos, validación cruzada (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k-fold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), análisis por segmentos y pruebas de robustez (S5, S11).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Aplicaciones: clasificadores, chatbots y agentes: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del modelo al producto; umbrales de confianza y humano en el ciclo; flujos conversacionales (Rasa, Dialogflow CX), RAG y agentes (S6, S7, S8).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Ética, sesgo, privacidad y sostenibilidad: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equidad, protección de datos personales, marcos regulatorios, huella de carbono y documentación con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model cards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y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datasheets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(S10).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Mejora continua y MLOps: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ciclo iterativo de evaluación y mejora, seguimiento de experimentos, optimización de hiperparámetros, eficiencia (cuantización, destilación), monitoreo y deriva de datos (S11).</w:t>
      </w:r>
    </w:p>
    <w:p>
      <w:pPr>
        <w:spacing w:before="0" w:after="0"/>
        <w:jc w:val="both"/>
        <w:rPr>
          <w:rFonts w:asciiTheme="minorHAnsi" w:hAnsiTheme="minorHAnsi" w:cstheme="minorHAnsi"/>
          <w:sz w:val="24"/>
          <w:szCs w:val="24"/>
          <w:lang w:val="es-CO"/>
        </w:rPr>
      </w:pPr>
    </w:p>
    <w:p w14:paraId="0B38BADD" w14:textId="4AF65AF6" w:rsidR="00282830" w:rsidRPr="00FA723E" w:rsidRDefault="00053707" w:rsidP="00FA723E">
      <w:pPr>
        <w:pStyle w:val="Prrafodelista"/>
        <w:keepNext/>
        <w:numPr>
          <w:ilvl w:val="0"/>
          <w:numId w:val="8"/>
        </w:numPr>
        <w:spacing w:before="0" w:after="120"/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  <w:t>Resultados de aprendizaje esperados (RAE)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Al finalizar el curso, el estudiante estará en capacidad de:</w:t>
      </w:r>
    </w:p>
    <w:p>
      <w:pPr>
        <w:spacing w:before="0" w:after="120"/>
        <w:ind w:left="1000" w:hanging="100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RAE 1.</w:t>
      </w:r>
      <w:r>
        <w:rPr>
          <w:rFonts w:asciiTheme="minorHAnsi" w:hAnsiTheme="minorHAnsi" w:cstheme="minorHAnsi"/>
          <w:sz w:val="24"/>
          <w:szCs w:val="24"/>
          <w:lang w:val="es-CO"/>
        </w:rPr>
        <w:tab/>
      </w: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Diseñar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modelos generativos y preentrenados adaptados a necesidades específicas en diversos contextos, entrenándolos y afinándolos con herramientas y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frameworks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actuales (PyTorch, TensorFlow/Keras y Hugging Face).</w:t>
      </w:r>
    </w:p>
    <w:p>
      <w:pPr>
        <w:spacing w:before="0" w:after="120"/>
        <w:ind w:left="1000" w:hanging="100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RAE 2.</w:t>
      </w:r>
      <w:r>
        <w:rPr>
          <w:rFonts w:asciiTheme="minorHAnsi" w:hAnsiTheme="minorHAnsi" w:cstheme="minorHAnsi"/>
          <w:sz w:val="24"/>
          <w:szCs w:val="24"/>
          <w:lang w:val="es-CO"/>
        </w:rPr>
        <w:tab/>
      </w: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Evaluar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el desempeño de los modelos entrenados mediante métricas estándar y métodos de validación, para verificar su precisión, eficiencia y robustez, aplicando principios éticos en su desarrollo.</w:t>
      </w:r>
    </w:p>
    <w:p>
      <w:pPr>
        <w:spacing w:before="0" w:after="120"/>
        <w:ind w:left="1000" w:hanging="100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RAE 3.</w:t>
      </w:r>
      <w:r>
        <w:rPr>
          <w:rFonts w:asciiTheme="minorHAnsi" w:hAnsiTheme="minorHAnsi" w:cstheme="minorHAnsi"/>
          <w:sz w:val="24"/>
          <w:szCs w:val="24"/>
          <w:lang w:val="es-CO"/>
        </w:rPr>
        <w:tab/>
      </w: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Desarrollar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prototipos funcionales de aplicaciones de inteligencia artificial —como chatbots, agentes y clasificadores— ajustados a requerimientos reales del mercado.</w:t>
      </w:r>
    </w:p>
    <w:p>
      <w:pPr>
        <w:spacing w:before="0" w:after="120"/>
        <w:ind w:left="1000" w:hanging="100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RAE 4.</w:t>
      </w:r>
      <w:r>
        <w:rPr>
          <w:rFonts w:asciiTheme="minorHAnsi" w:hAnsiTheme="minorHAnsi" w:cstheme="minorHAnsi"/>
          <w:sz w:val="24"/>
          <w:szCs w:val="24"/>
          <w:lang w:val="es-CO"/>
        </w:rPr>
        <w:tab/>
      </w: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Analizar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casos de uso reales para integrar modelos generativos en problemas concretos, considerando factores sociales, económicos y tecnológicos.</w:t>
      </w:r>
    </w:p>
    <w:p>
      <w:pPr>
        <w:spacing w:before="0" w:after="120"/>
        <w:ind w:left="1000" w:hanging="100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RAE 5.</w:t>
      </w:r>
      <w:r>
        <w:rPr>
          <w:rFonts w:asciiTheme="minorHAnsi" w:hAnsiTheme="minorHAnsi" w:cstheme="minorHAnsi"/>
          <w:sz w:val="24"/>
          <w:szCs w:val="24"/>
          <w:lang w:val="es-CO"/>
        </w:rPr>
        <w:tab/>
      </w: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Identificar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oportunidades para incorporar modelos generativos en contextos empresariales y sociales que impulsen la innovación y la transformación digital.</w:t>
      </w:r>
    </w:p>
    <w:p>
      <w:pPr>
        <w:spacing w:before="0" w:after="120"/>
        <w:ind w:left="1000" w:hanging="100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RAE 6.</w:t>
      </w:r>
      <w:r>
        <w:rPr>
          <w:rFonts w:asciiTheme="minorHAnsi" w:hAnsiTheme="minorHAnsi" w:cstheme="minorHAnsi"/>
          <w:sz w:val="24"/>
          <w:szCs w:val="24"/>
          <w:lang w:val="es-CO"/>
        </w:rPr>
        <w:tab/>
      </w: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Gestionar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los riesgos y la calidad en la implementación de modelos generativos, anticipando y mitigando riesgos para garantizar su sostenibilidad, escalabilidad y cumplimiento regulatorio.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La relación entre cada RAE, las sesiones y las actividades de evaluación se presenta en las secciones de actividades de evaluación y de programación de actividades.</w:t>
      </w:r>
    </w:p>
    <w:p>
      <w:pPr>
        <w:spacing w:before="0" w:after="0"/>
        <w:jc w:val="both"/>
        <w:rPr>
          <w:rFonts w:asciiTheme="minorHAnsi" w:hAnsiTheme="minorHAnsi" w:cstheme="minorHAnsi"/>
          <w:sz w:val="24"/>
          <w:szCs w:val="24"/>
          <w:lang w:val="es-CO"/>
        </w:rPr>
      </w:pPr>
    </w:p>
    <w:p w14:paraId="7DF838A5" w14:textId="162D83B4" w:rsidR="00097B1B" w:rsidRPr="00FA723E" w:rsidRDefault="00BB5701" w:rsidP="00FA723E">
      <w:pPr>
        <w:pStyle w:val="Prrafodelista"/>
        <w:keepNext/>
        <w:numPr>
          <w:ilvl w:val="0"/>
          <w:numId w:val="8"/>
        </w:numPr>
        <w:spacing w:before="0" w:after="120"/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  <w:lastRenderedPageBreak/>
        <w:t>Modalidad del curso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Virtual.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El curso se desarrolla en su totalidad de forma remota y sincrónica: 12 sesiones semanales de 3 horas por videoconferencia, cuyo enlace se publica en e-Aulas. El aula virtual e-Aulas concentra la guía, los enlaces a los materiales, las entregas, los foros y los anuncios del curso.</w:t>
      </w:r>
    </w:p>
    <w:p>
      <w:pPr>
        <w:spacing w:before="0" w:after="1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Las prácticas se realizan en notebooks de Kaggle, que ofrece GPU gratuita (con Google Colab como alternativa), y en las sesiones 6, 7 y 9 en la plataforma de agentes Startti ADP, siempre con una alternativa en Python que no requiere cuenta. Todos los materiales están disponibles en el portal del curso (</w:t>
      </w:r>
      <w:hyperlink r:id="rIdL1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https://juccaicedoac03.github.io/Desarrollo-Evaluacion-Modelos/</w:t>
        </w:r>
      </w:hyperlink>
      <w:r>
        <w:rPr>
          <w:rFonts w:asciiTheme="minorHAnsi" w:hAnsiTheme="minorHAnsi" w:cstheme="minorHAnsi"/>
          <w:sz w:val="24"/>
          <w:szCs w:val="24"/>
          <w:lang w:val="es-CO"/>
        </w:rPr>
        <w:t xml:space="preserve">) y en su repositorio público.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Idiomas.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Las presentaciones y los notebooks de práctica guiada están en inglés (lectura técnica); los challenges, las rúbricas, el proyecto final y los documentos del curso están en español.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Requisitos técnicos.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Computador con navegador actualizado, conexión estable a internet, cámara y micrófono (se usan en las micro-sustentaciones y en la socialización del proyecto), cuenta de Kaggle con verificación telefónica y cuenta en Startti ADP (licencia sin costo entregada por el curso). No se requiere instalar software ni contar con un computador de alto desempeño.</w:t>
      </w:r>
    </w:p>
    <w:p>
      <w:pPr>
        <w:spacing w:before="0" w:after="0"/>
        <w:jc w:val="both"/>
        <w:rPr>
          <w:rFonts w:asciiTheme="minorHAnsi" w:hAnsiTheme="minorHAnsi" w:cstheme="minorHAnsi"/>
          <w:sz w:val="24"/>
          <w:szCs w:val="24"/>
          <w:lang w:val="es-CO"/>
        </w:rPr>
      </w:pPr>
    </w:p>
    <w:p w14:paraId="627A0F8D" w14:textId="6365AC10" w:rsidR="00097B1B" w:rsidRPr="00FA723E" w:rsidRDefault="00E10503" w:rsidP="00FA723E">
      <w:pPr>
        <w:pStyle w:val="Prrafodelista"/>
        <w:keepNext/>
        <w:numPr>
          <w:ilvl w:val="0"/>
          <w:numId w:val="8"/>
        </w:numPr>
        <w:spacing w:before="0" w:after="120"/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  <w:t>Estrategias de aprendizaje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El curso privilegia metodologías activas y centradas en el estudiante, en coherencia con el Proyecto Educativo Institucional. Las estrategias transversales son: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Aprendizaje activo con clases interactivas: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la teoría se presenta con una interacción cada 10 minutos, aproximadamente: preguntas en vivo, simuladores, encuestas y salas de grupos con temporizador.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Aula invertida ligera: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antes de cada sesión el estudiante dedica cerca de 2 horas a lecturas y recursos cortos, para aprovechar el tiempo sincrónico en práctica y discusión.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Aprendizaje basado en proyectos: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un proyecto grupal atraviesa el semestre, con hitos formativos en S3, S5–S6, S9 y S11, y culmina con la socialización en S12.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Aprendizaje experiencial con casos reales: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laboratorios, challenges y discusiones trabajan casos de salud, finanzas, educación y servicio al cliente, con organizaciones ficticias y datos abiertos.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Laboratorios prácticos en la nube: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notebooks en Kaggle con GPU gratuita (Google Colab como alternativa), sin instalaciones locales.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IA como copiloto, con uso transparente: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se promueve el uso de asistentes de IA para programar, explicar y depurar, siempre con registro, verificación y responsabilidad sobre lo entregado.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Evaluación continua: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cada sesión cierra con un challenge individual y retroalimentación, de modo que el estudiante conoce su progreso semana a semana.</w:t>
      </w:r>
    </w:p>
    <w:p>
      <w:pPr>
        <w:keepNext/>
        <w:spacing w:before="160" w:after="80"/>
        <w:jc w:val="left"/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</w:pPr>
      <w:r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  <w:t xml:space="preserve">Estructura de cada sesión (180 minutos)</w:t>
      </w:r>
    </w:p>
    <w:tbl>
      <w:tblPr>
        <w:tblStyle w:val="Tablaconcuadrcula"/>
        <w:tblW w:w="9029" w:type="dxa"/>
        <w:tblInd w:w="421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ook w:val="04A0" w:firstRow="1" w:lastRow="0" w:firstColumn="1" w:lastColumn="0" w:noHBand="0" w:noVBand="1"/>
      </w:tblPr>
      <w:tblGrid>
        <w:gridCol w:w="2000"/>
        <w:gridCol w:w="1100"/>
        <w:gridCol w:w="5929"/>
      </w:tblGrid>
      <w:tr>
        <w:trPr>
          <w:cantSplit/>
          <w:tblHeader/>
        </w:trPr>
        <w:tc>
          <w:tcPr>
            <w:tcW w:w="20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O"/>
              </w:rPr>
              <w:t xml:space="preserve">Bloque</w:t>
            </w:r>
          </w:p>
        </w:tc>
        <w:tc>
          <w:tcPr>
            <w:tcW w:w="11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O"/>
              </w:rPr>
              <w:t xml:space="preserve">Minutos</w:t>
            </w:r>
          </w:p>
        </w:tc>
        <w:tc>
          <w:tcPr>
            <w:tcW w:w="5929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O"/>
              </w:rPr>
              <w:t xml:space="preserve">Actividad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O"/>
              </w:rPr>
              <w:t xml:space="preserve">Calentamiento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s-CO"/>
              </w:rPr>
              <w:t xml:space="preserve">10</w:t>
            </w:r>
          </w:p>
        </w:tc>
        <w:tc>
          <w:tcPr>
            <w:tcW w:w="5929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s-CO"/>
              </w:rPr>
              <w:t xml:space="preserve">Quiz de repaso de la sesión anterior (diagnóstico, no calificado).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O"/>
              </w:rPr>
              <w:t xml:space="preserve">Teoría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s-CO"/>
              </w:rPr>
              <w:t xml:space="preserve">60</w:t>
            </w:r>
          </w:p>
        </w:tc>
        <w:tc>
          <w:tcPr>
            <w:tcW w:w="5929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s-CO"/>
              </w:rPr>
              <w:t xml:space="preserve">Exposición interactiva: una interacción cada ~10 minutos (quiz, simulador, encuesta o sala de grupos con temporizador).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O"/>
              </w:rPr>
              <w:t xml:space="preserve">Descanso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s-CO"/>
              </w:rPr>
              <w:t xml:space="preserve">10</w:t>
            </w:r>
          </w:p>
        </w:tc>
        <w:tc>
          <w:tcPr>
            <w:tcW w:w="5929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s-CO"/>
              </w:rPr>
              <w:t xml:space="preserve">—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O"/>
              </w:rPr>
              <w:t xml:space="preserve">Práctica guiada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s-CO"/>
              </w:rPr>
              <w:t xml:space="preserve">60</w:t>
            </w:r>
          </w:p>
        </w:tc>
        <w:tc>
          <w:tcPr>
            <w:tcW w:w="5929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s-CO"/>
              </w:rPr>
              <w:t xml:space="preserve">Programación en vivo en Kaggle con puntos de control (</w:t>
            </w:r>
            <w:r>
              <w:rPr>
                <w:rFonts w:asciiTheme="minorHAnsi" w:hAnsiTheme="minorHAnsi" w:cstheme="minorHAnsi"/>
                <w:i/>
                <w:iCs/>
                <w:sz w:val="22"/>
                <w:szCs w:val="22"/>
                <w:lang w:val="es-CO"/>
              </w:rPr>
              <w:t xml:space="preserve">checkpoints</w:t>
            </w:r>
            <w:r>
              <w:rPr>
                <w:rFonts w:asciiTheme="minorHAnsi" w:hAnsiTheme="minorHAnsi" w:cstheme="minorHAnsi"/>
                <w:sz w:val="22"/>
                <w:szCs w:val="22"/>
                <w:lang w:val="es-CO"/>
              </w:rPr>
              <w:t xml:space="preserve">).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s-CO"/>
              </w:rPr>
              <w:t xml:space="preserve">Challenge</w:t>
            </w:r>
          </w:p>
        </w:tc>
        <w:tc>
          <w:tcPr>
            <w:tcW w:w="11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s-CO"/>
              </w:rPr>
              <w:t xml:space="preserve">40</w:t>
            </w:r>
          </w:p>
        </w:tc>
        <w:tc>
          <w:tcPr>
            <w:tcW w:w="5929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2"/>
                <w:szCs w:val="22"/>
                <w:lang w:val="es-CO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s-CO"/>
              </w:rPr>
              <w:t xml:space="preserve">Evaluación individual calificada y micro-sustentaciones en vivo; entrega hasta las 23:59 del mismo día.</w:t>
            </w:r>
          </w:p>
        </w:tc>
      </w:tr>
    </w:tbl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Durante la práctica guiada, el profesor programa en vivo y el grupo avanza con él; los puntos de control (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checkpoints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) permiten verificar que todos avanzan antes de continuar. En el bloque de challenge, el profesor acompaña el trabajo individual y realiza las micro-sustentaciones.</w:t>
      </w:r>
    </w:p>
    <w:p>
      <w:pPr>
        <w:spacing w:before="0" w:after="0"/>
        <w:jc w:val="both"/>
        <w:rPr>
          <w:rFonts w:asciiTheme="minorHAnsi" w:hAnsiTheme="minorHAnsi" w:cstheme="minorHAnsi"/>
          <w:sz w:val="24"/>
          <w:szCs w:val="24"/>
          <w:lang w:val="es-CO"/>
        </w:rPr>
      </w:pPr>
    </w:p>
    <w:p w14:paraId="3AD0834A" w14:textId="5AF069EB" w:rsidR="00DD7EE5" w:rsidRPr="00FA723E" w:rsidRDefault="00AC1BFC" w:rsidP="00FA723E">
      <w:pPr>
        <w:pStyle w:val="Prrafodelista"/>
        <w:keepNext/>
        <w:numPr>
          <w:ilvl w:val="0"/>
          <w:numId w:val="8"/>
        </w:numPr>
        <w:spacing w:before="0" w:after="120"/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  <w:t xml:space="preserve">Actividades de evaluación 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La evaluación es continua y está alineada con los RAE. No hay exámenes parciales: cada sesión (1 a 11) termina con un challenge individual calificado y el curso culmina con un proyecto final grupal. La escala de calificación es de 0.0 a 5.0 y la nota aprobatoria es 3.0.</w:t>
      </w:r>
    </w:p>
    <w:p>
      <w:pPr>
        <w:keepNext/>
        <w:spacing w:before="160" w:after="80"/>
        <w:jc w:val="left"/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</w:pPr>
      <w:r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  <w:t xml:space="preserve">Composición de la nota final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Challenges de sesión (S1–S11): 70%.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Cuentan las mejores 10 de 11 notas y cada una vale 7%. Esta regla absorbe una ausencia o una entrega fallida.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Proyecto final en grupos de 3: 30%.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Entregable técnico 15%, socialización y demo 10% y defensa individual 5%.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Factor de coevaluación (0.7–1.0).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La nota del proyecto de cada estudiante se multiplica por un factor que resulta de la evaluación de pares dentro del grupo.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Nota final = 0.07 × (suma de las 10 mejores notas de challenge) + factor de coevaluación × (0.15 × entregable técnico + 0.10 × socialización y demo + 0.05 × defensa individual).</w:t>
      </w:r>
    </w:p>
    <w:p>
      <w:pPr>
        <w:keepNext/>
        <w:spacing w:before="160" w:after="80"/>
        <w:jc w:val="left"/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</w:pPr>
      <w:r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  <w:t xml:space="preserve">El challenge de cada sesión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El challenge es un notebook de Kaggle que se trabaja en los últimos 40 minutos de la sesión y se entrega en e-Aulas hasta las 23:59 del mismo día, con el nombre </w:t>
      </w:r>
      <w:r>
        <w:rPr>
          <w:rFonts w:ascii="Courier New" w:hAnsi="Courier New" w:cs="Courier New"/>
          <w:sz w:val="22"/>
          <w:szCs w:val="22"/>
          <w:lang w:val="es-CO"/>
        </w:rPr>
        <w:t xml:space="preserve">S&lt;NN&gt;_&lt;codigo&gt;.ipynb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Su diseño anticipa el uso de asistentes de IA: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Personalización: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el código estudiantil genera una semilla que asigna a cada estudiante datos, hiperparámetros, dominio o escenario propios; una huella de resultados al final del notebook permite detectar entregas copiadas o resultados inventados.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Preguntas “Explica y decide”: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decisiones técnicas o de negocio que exigen citar los resultados propios.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Crítica a la IA: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encontrar, explicar y corregir errores sembrados en código o en textos “generados por un asistente”, o verificar la respuesta del propio asistente.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Registro de uso de IA obligatorio: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herramienta, prompts principales y qué se verificó o corrigió de cada respuesta.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Micro-sustentaciones: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en cada sesión, 3 o 4 estudiantes elegidos al azar explican en vivo una celda de su notebook (2–3 minutos, con cámara y pantalla compartida); cada estudiante pasa al menos dos veces en el semestre. Si el estudiante no puede explicar su propia entrega, la nota de ese challenge se limita a 3.0.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Cada challenge se califica con la siguiente rúbrica general: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Ejecución técnica (40%):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el notebook corre con la configuración personal y las tareas están completas.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Análisis e interpretación (40%):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las respuestas usan los números propios y las decisiones están justificadas.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Reflexión y registro de IA (20%):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reflexión metacognitiva y registro de uso de IA verificable. Si falta el registro de IA, este componente se califica con 0.</w:t>
      </w:r>
    </w:p>
    <w:p>
      <w:pPr>
        <w:keepNext/>
        <w:spacing w:before="160" w:after="80"/>
        <w:jc w:val="left"/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</w:pPr>
      <w:r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  <w:t xml:space="preserve">Proyecto final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En grupos de 3, los estudiantes diseñan, entrenan o afinan, evalúan y mejoran un modelo propio para un problema contextualizado (de preferencia colombiano o latinoamericano) y lo exponen mediante una app (Gradio) o un agente (Startti ADP). Los mínimos técnicos son: modelo afinado o entrenado por el grupo; línea base y comparación; al menos dos métricas justificadas; análisis de errores; una iteración de mejora documentada; análisis ético y de sostenibilidad;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model card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; y demo funcional.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Los hitos formativos son obligatorios y reciben retroalimentación: conformación de grupos (S3), propuesta en formato canvas (entre S5 y S6), canvas de caso de uso (S9), iteración de mejora (S11) y entrega y socialización (S12: 8 minutos de pitch, 3 de demo y 4 de preguntas por grupo; se acepta una demo pregrabada como respaldo).</w:t>
      </w:r>
    </w:p>
    <w:p>
      <w:pPr>
        <w:keepNext/>
        <w:spacing w:before="160" w:after="80"/>
        <w:jc w:val="left"/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</w:pPr>
      <w:r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  <w:t xml:space="preserve">Autoevaluación, coevaluación y heteroevaluación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Autoevaluación: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en la reflexión de cada challenge el estudiante propone y justifica su nota; al cierre del proyecto, cada estudiante valora su propio aporte.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Coevaluación: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evaluación de pares dentro de cada grupo (base del factor de coevaluación) y retroalimentación entre grupos durante la socialización de S12.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Heteroevaluación: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el profesor califica los challenges y el proyecto con rúbricas conocidas de antemano y retroalimenta cada entrega.</w:t>
      </w:r>
    </w:p>
    <w:p>
      <w:pPr>
        <w:keepNext/>
        <w:spacing w:before="160" w:after="80"/>
        <w:jc w:val="left"/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</w:pPr>
      <w:r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  <w:t xml:space="preserve">Actividades según el propósito de la evaluación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La siguiente tabla resume las actividades según su propósito (diagnóstico, formativo o sumativo), el momento del semestre, los RAE asociados y su peso en la nota final.</w:t>
      </w:r>
    </w:p>
    <w:tbl>
      <w:tblPr>
        <w:tblStyle w:val="Tablaconcuadrcula"/>
        <w:tblW w:w="945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1650"/>
        <w:gridCol w:w="1550"/>
        <w:gridCol w:w="3450"/>
        <w:gridCol w:w="1400"/>
        <w:gridCol w:w="1400"/>
      </w:tblGrid>
      <w:tr>
        <w:trPr>
          <w:cantSplit/>
          <w:tblHeader/>
        </w:trPr>
        <w:tc>
          <w:tcPr>
            <w:tcW w:w="1650" w:type="dxa"/>
            <w:vAlign w:val="center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  <w:t xml:space="preserve">Propósito de evaluación</w:t>
            </w:r>
          </w:p>
        </w:tc>
        <w:tc>
          <w:tcPr>
            <w:tcW w:w="1550" w:type="dxa"/>
            <w:vAlign w:val="center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  <w:t xml:space="preserve">Corte del semestre</w:t>
            </w:r>
          </w:p>
        </w:tc>
        <w:tc>
          <w:tcPr>
            <w:tcW w:w="3450" w:type="dxa"/>
            <w:vAlign w:val="center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  <w:t xml:space="preserve">Actividad de evaluación</w:t>
            </w:r>
          </w:p>
        </w:tc>
        <w:tc>
          <w:tcPr>
            <w:tcW w:w="1400" w:type="dxa"/>
            <w:vAlign w:val="center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  <w:t xml:space="preserve">RAE asociado</w:t>
            </w:r>
          </w:p>
        </w:tc>
        <w:tc>
          <w:tcPr>
            <w:tcW w:w="1400" w:type="dxa"/>
            <w:vAlign w:val="center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  <w:t xml:space="preserve">Porcentaje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  <w:t xml:space="preserve">Evaluación diagnóstica</w:t>
            </w:r>
          </w:p>
        </w:tc>
        <w:tc>
          <w:tcPr>
            <w:tcW w:w="15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Sesión 1 y calentamiento de cada sesión</w:t>
            </w:r>
          </w:p>
        </w:tc>
        <w:tc>
          <w:tcPr>
            <w:tcW w:w="34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Diagnóstico de entrada (perfil, experiencia previa y alfabetización en IA) en S1 y quiz de repaso al inicio de cada sesión.</w:t>
            </w:r>
          </w:p>
        </w:tc>
        <w:tc>
          <w:tcPr>
            <w:tcW w:w="14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RAE 1–6</w:t>
            </w:r>
          </w:p>
        </w:tc>
        <w:tc>
          <w:tcPr>
            <w:tcW w:w="1400" w:type="dxa"/>
            <w:vAlign w:val="center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No calificada</w:t>
            </w:r>
          </w:p>
        </w:tc>
      </w:tr>
      <w:tr>
        <w:trPr>
          <w:cantSplit/>
        </w:trPr>
        <w:tc>
          <w:tcPr>
            <w:tcW w:w="1650" w:type="dxa"/>
            <w:vMerge w:val="restart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  <w:t xml:space="preserve">Evaluación formativa</w:t>
            </w:r>
          </w:p>
        </w:tc>
        <w:tc>
          <w:tcPr>
            <w:tcW w:w="15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Sesiones 1–11</w:t>
            </w:r>
          </w:p>
        </w:tc>
        <w:tc>
          <w:tcPr>
            <w:tcW w:w="34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Checkpoints del lab guiado, quizzes y simuladores en clase; reflexión y autoevaluación en cada challenge; retroalimentación de cada entrega con la rúbrica.</w:t>
            </w:r>
          </w:p>
        </w:tc>
        <w:tc>
          <w:tcPr>
            <w:tcW w:w="14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RAE 1–6</w:t>
            </w:r>
          </w:p>
        </w:tc>
        <w:tc>
          <w:tcPr>
            <w:tcW w:w="1400" w:type="dxa"/>
            <w:vAlign w:val="center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No calificada</w:t>
            </w:r>
          </w:p>
        </w:tc>
      </w:tr>
      <w:tr>
        <w:trPr>
          <w:cantSplit/>
        </w:trPr>
        <w:tc>
          <w:tcPr>
            <w:tcW w:w="1650" w:type="dxa"/>
            <w:vMerge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</w:p>
        </w:tc>
        <w:tc>
          <w:tcPr>
            <w:tcW w:w="15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Sesiones 3–11 (diálogo formativo: semanas 4 a 6)</w:t>
            </w:r>
          </w:p>
        </w:tc>
        <w:tc>
          <w:tcPr>
            <w:tcW w:w="34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Hitos del proyecto con retroalimentación: grupos (S3), propuesta (S5–S6), canvas de caso de uso (S9) e iteración de mejora (S11).</w:t>
            </w:r>
          </w:p>
        </w:tc>
        <w:tc>
          <w:tcPr>
            <w:tcW w:w="14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RAE 1–6</w:t>
            </w:r>
          </w:p>
        </w:tc>
        <w:tc>
          <w:tcPr>
            <w:tcW w:w="1400" w:type="dxa"/>
            <w:vAlign w:val="center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No calificada (obligatoria)</w:t>
            </w:r>
          </w:p>
        </w:tc>
      </w:tr>
      <w:tr>
        <w:trPr>
          <w:cantSplit/>
        </w:trPr>
        <w:tc>
          <w:tcPr>
            <w:tcW w:w="1650" w:type="dxa"/>
            <w:vMerge w:val="restart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  <w:t xml:space="preserve">Evaluación sumativa</w:t>
            </w:r>
          </w:p>
        </w:tc>
        <w:tc>
          <w:tcPr>
            <w:tcW w:w="15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Sesiones 1–11</w:t>
            </w:r>
          </w:p>
        </w:tc>
        <w:tc>
          <w:tcPr>
            <w:tcW w:w="34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Challenges de sesión, individuales y personalizados (rúbrica 40/40/20); cuentan las mejores 10 de 11 notas, con un peso de 7% cada una.</w:t>
            </w:r>
          </w:p>
        </w:tc>
        <w:tc>
          <w:tcPr>
            <w:tcW w:w="14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RAE 1–6, según la sesión (ver programación)</w:t>
            </w:r>
          </w:p>
        </w:tc>
        <w:tc>
          <w:tcPr>
            <w:tcW w:w="1400" w:type="dxa"/>
            <w:vAlign w:val="center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70%</w:t>
            </w:r>
          </w:p>
        </w:tc>
      </w:tr>
      <w:tr>
        <w:trPr>
          <w:cantSplit/>
        </w:trPr>
        <w:tc>
          <w:tcPr>
            <w:tcW w:w="1650" w:type="dxa"/>
            <w:vMerge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</w:p>
        </w:tc>
        <w:tc>
          <w:tcPr>
            <w:tcW w:w="15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Sesión 12</w:t>
            </w:r>
          </w:p>
        </w:tc>
        <w:tc>
          <w:tcPr>
            <w:tcW w:w="34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Proyecto final: entregable técnico (15%), socialización y demo (10%) y defensa individual (5%), multiplicado por el factor de coevaluación (0.7–1.0).</w:t>
            </w:r>
          </w:p>
        </w:tc>
        <w:tc>
          <w:tcPr>
            <w:tcW w:w="14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RAE 1–6</w:t>
            </w:r>
          </w:p>
        </w:tc>
        <w:tc>
          <w:tcPr>
            <w:tcW w:w="1400" w:type="dxa"/>
            <w:vAlign w:val="center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sz w:val="20"/>
                <w:szCs w:val="20"/>
                <w:lang w:val="es-CO"/>
              </w:rPr>
              <w:t xml:space="preserve">30%</w:t>
            </w:r>
          </w:p>
        </w:tc>
      </w:tr>
      <w:tr>
        <w:trPr>
          <w:cantSplit/>
        </w:trPr>
        <w:tc>
          <w:tcPr>
            <w:tcW w:w="8050" w:type="dxa"/>
            <w:gridSpan w:val="4"/>
          </w:tcPr>
          <w:p>
            <w:pPr>
              <w:spacing w:before="40" w:after="40"/>
              <w:jc w:val="right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  <w:t xml:space="preserve">Total nota final</w:t>
            </w:r>
          </w:p>
        </w:tc>
        <w:tc>
          <w:tcPr>
            <w:tcW w:w="14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20"/>
                <w:szCs w:val="20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  <w:lang w:val="es-CO"/>
              </w:rPr>
              <w:t xml:space="preserve">100%</w:t>
            </w:r>
          </w:p>
        </w:tc>
      </w:tr>
    </w:tbl>
    <w:p>
      <w:pPr>
        <w:spacing w:before="0" w:after="0"/>
        <w:jc w:val="both"/>
        <w:rPr>
          <w:rFonts w:asciiTheme="minorHAnsi" w:hAnsiTheme="minorHAnsi" w:cstheme="minorHAnsi"/>
          <w:sz w:val="24"/>
          <w:szCs w:val="24"/>
          <w:lang w:val="es-CO"/>
        </w:rPr>
      </w:pPr>
    </w:p>
    <w:p w14:paraId="5C1710E3" w14:textId="2DF343B8" w:rsidR="00DC4972" w:rsidRDefault="00053707" w:rsidP="004570A7">
      <w:pPr>
        <w:pStyle w:val="Prrafodelista"/>
        <w:keepNext/>
        <w:numPr>
          <w:ilvl w:val="0"/>
          <w:numId w:val="8"/>
        </w:numPr>
        <w:spacing w:before="0" w:after="120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  <w:lastRenderedPageBreak/>
        <w:t xml:space="preserve">Programación de actividades 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La programación organiza las 12 sesiones semanales del curso. Cada sesión sincrónica dura 3 horas (calentamiento 10 min, teoría 60 min, descanso 10 min, práctica guiada 60 min y challenge 40 min). Las 9 horas semanales de trabajo independiente se distribuyen así: preparación previa (≈2 h), cierre y entrega del challenge (≈2 h), práctica autónoma (≈2 h) y proyecto final (≈3 h).</w:t>
      </w:r>
    </w:p>
    <w:p>
      <w:pPr>
        <w:spacing w:before="0" w:after="1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Los títulos de las sesiones se presentan en español y, entre paréntesis, en inglés, idioma de las presentaciones y de los notebooks de práctica guiada. Los materiales de cada sesión (presentación, lab, challenge y guía de la sesión) están en el portal del curso: </w:t>
      </w:r>
      <w:hyperlink r:id="rIdL1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https://juccaicedoac03.github.io/Desarrollo-Evaluacion-Modelos/</w:t>
        </w:r>
      </w:hyperlink>
      <w:r>
        <w:rPr>
          <w:rFonts w:asciiTheme="minorHAnsi" w:hAnsiTheme="minorHAnsi" w:cstheme="minorHAnsi"/>
          <w:sz w:val="24"/>
          <w:szCs w:val="24"/>
          <w:lang w:val="es-CO"/>
        </w:rPr>
        <w:t xml:space="preserve">. En la columna de recursos, las referencias remiten a la sección de bibliografía.</w:t>
      </w:r>
    </w:p>
    <w:tbl>
      <w:tblPr>
        <w:tblW w:w="9243" w:type="dxa"/>
        <w:tblInd w:w="10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000" w:firstRow="0" w:lastRow="0" w:firstColumn="0" w:lastColumn="0" w:noHBand="0" w:noVBand="0"/>
      </w:tblPr>
      <w:tblGrid>
        <w:gridCol w:w="1000"/>
        <w:gridCol w:w="1850"/>
        <w:gridCol w:w="2650"/>
        <w:gridCol w:w="1900"/>
        <w:gridCol w:w="1843"/>
      </w:tblGrid>
      <w:tr>
        <w:trPr>
          <w:cantSplit/>
          <w:tblHeader/>
        </w:trPr>
        <w:tc>
          <w:tcPr>
            <w:tcW w:w="1000" w:type="dxa"/>
            <w:vMerge w:val="restart"/>
            <w:vAlign w:val="center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Sesión</w:t>
            </w:r>
          </w:p>
        </w:tc>
        <w:tc>
          <w:tcPr>
            <w:tcW w:w="1850" w:type="dxa"/>
            <w:vMerge w:val="restart"/>
            <w:vAlign w:val="center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Temas o conceptos fundamentales</w:t>
            </w:r>
          </w:p>
        </w:tc>
        <w:tc>
          <w:tcPr>
            <w:tcW w:w="4550" w:type="dxa"/>
            <w:gridSpan w:val="2"/>
            <w:vAlign w:val="center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Descripción de la actividad</w:t>
            </w:r>
          </w:p>
        </w:tc>
        <w:tc>
          <w:tcPr>
            <w:tcW w:w="1843" w:type="dxa"/>
            <w:vMerge w:val="restart"/>
            <w:vAlign w:val="center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Recursos y e-recursos (herramientas, plataformas, bibliografía)</w:t>
            </w:r>
          </w:p>
        </w:tc>
      </w:tr>
      <w:tr>
        <w:trPr>
          <w:cantSplit/>
          <w:tblHeader/>
        </w:trPr>
        <w:tc>
          <w:tcPr>
            <w:tcW w:w="1000" w:type="dxa"/>
            <w:vMerge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</w:p>
        </w:tc>
        <w:tc>
          <w:tcPr>
            <w:tcW w:w="1850" w:type="dxa"/>
            <w:vMerge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</w:p>
        </w:tc>
        <w:tc>
          <w:tcPr>
            <w:tcW w:w="2650" w:type="dxa"/>
            <w:vAlign w:val="center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Trabajo con acompañamiento directo del profesor (3 h)</w:t>
            </w:r>
          </w:p>
        </w:tc>
        <w:tc>
          <w:tcPr>
            <w:tcW w:w="1900" w:type="dxa"/>
            <w:vAlign w:val="center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Trabajo independiente del estudiante (9 h)</w:t>
            </w:r>
          </w:p>
        </w:tc>
        <w:tc>
          <w:tcPr>
            <w:tcW w:w="1843" w:type="dxa"/>
            <w:vMerge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S1</w:t>
            </w:r>
          </w:p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Semana 1</w:t>
            </w:r>
          </w:p>
        </w:tc>
        <w:tc>
          <w:tcPr>
            <w:tcW w:w="18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Introducción a los modelos generativos y preentrenados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(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Introduction to Generative and Pretrained Models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Generativo vs. discriminativo; familias de modelos (autorregresivos, autoencoders, VAE, GAN, difusión); modelos fundacionales; espectro construir, adaptar o comprar; PyTorch, TensorFlow/Keras y Hugging Face; aplicaciones de la IA.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RAE 1, 4, 5</w:t>
            </w:r>
          </w:p>
        </w:tc>
        <w:tc>
          <w:tcPr>
            <w:tcW w:w="26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Calentamiento: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diagnóstico de entrada; presentación del curso, la evaluación y la política de uso de IA.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Teoría: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simulador de muestreo (temperatura y top-k) y simulador 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build vs. buy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; sala de grupos: ubicar 5 casos de negocio en el espectro de adaptación.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Lab: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tensores y autograd en PyTorch, el mismo modelo en Keras, pipelines de Hugging Face, tokenización y parámetros de generación.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Challenge: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muestreo con temperaturas asignadas, diversidad distinct-n, recomendación 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build vs. buy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y crítica a la IA.</w:t>
            </w:r>
          </w:p>
        </w:tc>
        <w:tc>
          <w:tcPr>
            <w:tcW w:w="19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Crear la cuenta de Kaggle con verificación telefónica y revisar e-Aulas.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Cerrar y entregar el challenge (23:59).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Lectura: Goodfellow et al. (2016), caps. 1 y 5.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Práctica autónoma con los ejercicios del lab.</w:t>
            </w:r>
          </w:p>
        </w:tc>
        <w:tc>
          <w:tcPr>
            <w:tcW w:w="1843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Presentación S01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Lab y challenge en Kaggle (alternativa: Colab)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Guía de configuración de Kaggle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Goodfellow et al. (2016); McKinsey &amp; Company (2023); Hugging Face (s. f.)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S2</w:t>
            </w:r>
          </w:p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Semana 2</w:t>
            </w:r>
          </w:p>
        </w:tc>
        <w:tc>
          <w:tcPr>
            <w:tcW w:w="18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Entrenamiento de modelos generativos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(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Training Generative Models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Ciclo de entrenamiento; funciones de pérdida y optimizadores; tasa de aprendizaje; sobreajuste y regularización; preprocesamiento y fuga de datos; autoencoders y VAE (ELBO, reparametrización); VAE vs. GAN vs. difusión.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RAE 1, 2</w:t>
            </w:r>
          </w:p>
        </w:tc>
        <w:tc>
          <w:tcPr>
            <w:tcW w:w="26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Teoría: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simuladores de tasa de aprendizaje y de sobreajuste; sala de grupos: errores de preprocesamiento en un conjunto de datos de CRM.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Lab: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VAE en Fashion-MNIST con PyTorch: curvas de pérdida, reconstrucción, muestreo e interpolación en el espacio latente.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Challenge: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VAE con dimensión latente, β y tasa de aprendizaje asignados; comparación con la línea base; corrección de errores sembrados en el ciclo de entrenamiento.</w:t>
            </w:r>
          </w:p>
        </w:tc>
        <w:tc>
          <w:tcPr>
            <w:tcW w:w="19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Cerrar y entregar el challenge.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Lectura: Kingma y Welling (2014); Goodfellow et al. (2016), caps. 8 y 14.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Repetir el lab con otra configuración y comparar.</w:t>
            </w:r>
          </w:p>
        </w:tc>
        <w:tc>
          <w:tcPr>
            <w:tcW w:w="1843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Presentación S02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Lab y challenge en Kaggle (GPU)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Kingma y Welling (2014); Goodfellow et al. (2016); Google (2023)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S3</w:t>
            </w:r>
          </w:p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Semana 3</w:t>
            </w:r>
          </w:p>
        </w:tc>
        <w:tc>
          <w:tcPr>
            <w:tcW w:w="18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Modelos preentrenados y transferencia de aprendizaje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(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Pretrained Models and Transfer Learning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Por qué funciona el preentrenamiento; arquitectura Transformer y atención; BERT, GPT y T5; tokenización y su costo en español; estrategias de transferencia; selección de modelos y licencias; modelos en español (BETO).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RAE 1, 3</w:t>
            </w:r>
          </w:p>
        </w:tc>
        <w:tc>
          <w:tcPr>
            <w:tcW w:w="26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Teoría: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mapa de atención interactivo y calculadora de costo por tokens; sala de grupos: elegir una estrategia de transferencia para 4 escenarios.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Lab: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tokenización EN vs. ES, fill-mask con BERT, embeddings con regresión logística y clasificación zero-shot y few-shot con un LLM pequeño.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Challenge: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curva de aprendizaje con el k asignado, few-shot y decisión según los datos disponibles.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Conformación de los grupos del proyecto final.</w:t>
            </w:r>
          </w:p>
        </w:tc>
        <w:tc>
          <w:tcPr>
            <w:tcW w:w="19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Cerrar y entregar el challenge.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Proyecto: conformar el grupo (3 personas) y explorar ideas.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Lectura: Vaswani et al. (2017); Devlin et al. (2019); Cañete et al. (2020).</w:t>
            </w:r>
          </w:p>
        </w:tc>
        <w:tc>
          <w:tcPr>
            <w:tcW w:w="1843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Presentación S03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Lab y challenge en Kaggle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Vaswani et al. (2017); Devlin et al. (2019); Cañete et al. (2020); Jurafsky y Martin (2023)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S4</w:t>
            </w:r>
          </w:p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Semana 4</w:t>
            </w:r>
          </w:p>
        </w:tc>
        <w:tc>
          <w:tcPr>
            <w:tcW w:w="18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Afinamiento de modelos generativos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(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Fine-Tuning Generative Models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Afinamiento completo vs. eficiente (LoRA, QLoRA); ajuste por instrucciones (SFT) y plantillas de chat; hiperparámetros; construcción de datasets propios; olvido catastrófico; prompt, RAG o afinamiento.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RAE 1, 2</w:t>
            </w:r>
          </w:p>
        </w:tc>
        <w:tc>
          <w:tcPr>
            <w:tcW w:w="26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Teoría: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calculadora de parámetros LoRA y juego de hiperparámetros; sala de grupos: guía de etiquetado para un dataset de servicio al cliente.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Lab: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DistilBERT afinado en Banking77 con Trainer y LoRA sobre SmolLM2 con un dataset propio.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Challenge: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intents y configuraciones asignados; comparación de dos configuraciones; decisión entre afinamiento, RAG y prompting.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Inicio del diálogo formativo: balance de los challenges S1–S3.</w:t>
            </w:r>
          </w:p>
        </w:tc>
        <w:tc>
          <w:tcPr>
            <w:tcW w:w="19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Cerrar y entregar el challenge.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Lectura: Hu et al. (2021); OpenAI (2023).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Proyecto: redactar la propuesta (canvas).</w:t>
            </w:r>
          </w:p>
        </w:tc>
        <w:tc>
          <w:tcPr>
            <w:tcW w:w="1843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Presentación S04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Lab y challenge en Kaggle (GPU)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Hu et al. (2021); Dettmers et al. (2023); OpenAI (2023)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Plantilla de propuesta del proyecto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S5</w:t>
            </w:r>
          </w:p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Semana 5</w:t>
            </w:r>
          </w:p>
        </w:tc>
        <w:tc>
          <w:tcPr>
            <w:tcW w:w="18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Evaluación de modelos generativos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(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Evaluating Generative Models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Por qué es difícil evaluar la generación; perplejidad, BLEU, ROUGE, chrF, similitud semántica y LLM como juez; métricas de clasificación; validación cruzada y fuga de datos; análisis de errores; relación con KPI de negocio.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RAE 2</w:t>
            </w:r>
          </w:p>
        </w:tc>
        <w:tc>
          <w:tcPr>
            <w:tcW w:w="26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Teoría: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calculadora BLEU/ROUGE y explorador de umbrales; sala de grupos: elegir métricas para 4 productos.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Lab: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perplejidad, BLEU y chrF en traducción EN→ES, ROUGE en resúmenes, similitud semántica, validación cruzada estratificada y análisis de confusiones.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Challenge: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métricas sobre muestras asignadas, un caso en el que la métrica falla y un plan de evaluación de negocio.</w:t>
            </w:r>
          </w:p>
        </w:tc>
        <w:tc>
          <w:tcPr>
            <w:tcW w:w="19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Cerrar y entregar el challenge.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Proyecto: entregar la propuesta (canvas) en e-Aulas antes de S6.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Lectura: Jurafsky y Martin (2023), apartados de evaluación; Google (2023), métricas de clasificación.</w:t>
            </w:r>
          </w:p>
        </w:tc>
        <w:tc>
          <w:tcPr>
            <w:tcW w:w="1843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Presentación S05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Lab y challenge en Kaggle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Jurafsky y Martin (2023); Google (2023)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S6</w:t>
            </w:r>
          </w:p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Semana 6</w:t>
            </w:r>
          </w:p>
        </w:tc>
        <w:tc>
          <w:tcPr>
            <w:tcW w:w="18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Introducción al desarrollo de aplicaciones básicas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(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Introduction to Basic Application Development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Del modelo al producto; diseño conceptual de clasificadores y chatbots; patrones de arquitectura; UX para IA; umbrales de confianza y humano en el ciclo; Gradio frente a plataformas no-code (Startti ADP); latencia y costo.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RAE 3, 4</w:t>
            </w:r>
          </w:p>
        </w:tc>
        <w:tc>
          <w:tcPr>
            <w:tcW w:w="26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Teoría: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simulador de umbral de enrutamiento (automatizar o escalar a un humano); sala de grupos: AI Product Canvas.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Lab: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app en Gradio (clasificador con umbral de confianza y generador de texto) y primer agente en Startti llamado por API desde Kaggle.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Challenge: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caso asignado; umbral de mínimo costo esperado; versión en Startti o alternativa en Python; comparación código vs. no-code.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Diálogo formativo: devolución de la retroalimentación escrita de las propuestas.</w:t>
            </w:r>
          </w:p>
        </w:tc>
        <w:tc>
          <w:tcPr>
            <w:tcW w:w="19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Cerrar y entregar el challenge.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Activar la licencia de Startti y guardar la clave de API en Kaggle Secrets antes de S7.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Proyecto: ajustar el alcance según la retroalimentación.</w:t>
            </w:r>
          </w:p>
        </w:tc>
        <w:tc>
          <w:tcPr>
            <w:tcW w:w="1843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Presentación S06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Lab y challenge en Kaggle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Guía de configuración de Startti; Startti (s. f.)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Hugging Face (s. f.): demos con Gradio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S7</w:t>
            </w:r>
          </w:p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Semana 7</w:t>
            </w:r>
          </w:p>
        </w:tc>
        <w:tc>
          <w:tcPr>
            <w:tcW w:w="18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Implementación de chatbots y agentes básicos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(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Implementing Basic Chatbots and Agents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De los bots basados en reglas a Rasa y Dialogflow CX (intents, entidades, slots, flujos); chatbots con LLM y RAG; agentes con herramientas; Startti ADP; diseño conversacional, escalamiento a humano e inyección de prompts; evaluación de chatbots.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RAE 3, 4, 6</w:t>
            </w:r>
          </w:p>
        </w:tc>
        <w:tc>
          <w:tcPr>
            <w:tcW w:w="26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Teoría: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máquina de estados conversacional interactiva; sala de grupos: diseño del flujo de un caso asignado.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Lab: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bot en Python (NLU, slots, estado y LLM de respaldo) y agente en Startti con base de conocimiento, evaluado desde Kaggle con conversaciones de prueba.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Challenge: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dominio y FAQ asignados; 12 conversaciones de prueba; métricas por tipo; una iteración de mejora; ¿está listo para producción?</w:t>
            </w:r>
          </w:p>
        </w:tc>
        <w:tc>
          <w:tcPr>
            <w:tcW w:w="19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Cerrar y entregar el challenge.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Lectura: Lewis et al. (2020); documentación de </w:t>
            </w:r>
            <w:hyperlink r:id="rIdL3" w:history="1">
              <w:r>
                <w:rPr>
                  <w:rStyle w:val="Hipervnculo"/>
                  <w:rFonts w:asciiTheme="minorHAnsi" w:hAnsiTheme="minorHAnsi" w:cstheme="minorHAnsi"/>
                  <w:sz w:val="18"/>
                  <w:szCs w:val="18"/>
                  <w:lang w:val="es-CO"/>
                </w:rPr>
                <w:t xml:space="preserve">Rasa</w:t>
              </w:r>
            </w:hyperlink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y de </w:t>
            </w:r>
            <w:hyperlink r:id="rIdL4" w:history="1">
              <w:r>
                <w:rPr>
                  <w:rStyle w:val="Hipervnculo"/>
                  <w:rFonts w:asciiTheme="minorHAnsi" w:hAnsiTheme="minorHAnsi" w:cstheme="minorHAnsi"/>
                  <w:sz w:val="18"/>
                  <w:szCs w:val="18"/>
                  <w:lang w:val="es-CO"/>
                </w:rPr>
                <w:t xml:space="preserve">Dialogflow CX</w:t>
              </w:r>
            </w:hyperlink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Proyecto: preparar los datos y la línea base.</w:t>
            </w:r>
          </w:p>
        </w:tc>
        <w:tc>
          <w:tcPr>
            <w:tcW w:w="1843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Presentación S07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Lab y challenge en Kaggle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Startti ADP (alternativa en Python sin cuenta)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Lewis et al. (2020)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S8</w:t>
            </w:r>
          </w:p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Semana 8</w:t>
            </w:r>
          </w:p>
        </w:tc>
        <w:tc>
          <w:tcPr>
            <w:tcW w:w="18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Creación de clasificadores con modelos generativos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(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Building Classifiers with Generative Models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Clasificadores generativos vs. discriminativos (Naive Bayes vs. regresión logística); características latentes de VAE; clasificación por verosimilitud con LLM; zero-shot; datos sintéticos; calibración; costo, latencia y privacidad.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RAE 1, 2, 3</w:t>
            </w:r>
          </w:p>
        </w:tc>
        <w:tc>
          <w:tcPr>
            <w:tcW w:w="26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Teoría: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visualizador de fronteras de decisión y calculadora de costos; sala de grupos: recomendar un clasificador para 3 restricciones de negocio.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Lab (PyTorch):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Naive Bayes vs. regresión logística con curva de aprendizaje, red MLP sobre embeddings, zero-shot por log-verosimilitud y aumento con datos sintéticos.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Challenge: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tamaño de entrenamiento y clase minoritaria asignados; experimento de aumento; recomendación según restricciones; detección de fuga de datos sembrada.</w:t>
            </w:r>
          </w:p>
        </w:tc>
        <w:tc>
          <w:tcPr>
            <w:tcW w:w="19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Cerrar y entregar el challenge.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Lectura: Tunstall et al. (2022), capítulo de clasificación de texto.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Proyecto: entrenar o afinar el primer modelo y compararlo con la línea base.</w:t>
            </w:r>
          </w:p>
        </w:tc>
        <w:tc>
          <w:tcPr>
            <w:tcW w:w="1843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Presentación S08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Lab y challenge en Kaggle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Tunstall et al. (2022); Kingma y Welling (2014); Goodfellow et al. (2016)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S9</w:t>
            </w:r>
          </w:p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Semana 9</w:t>
            </w:r>
          </w:p>
        </w:tc>
        <w:tc>
          <w:tcPr>
            <w:tcW w:w="18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Casos de uso: modelos generativos en contextos reales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(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Use Cases: Generative Models in Real Contexts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Marcos para analizar casos de uso (valor × factibilidad, riesgo, KPI, ROI); salud, finanzas y educación; casos de éxito y fracasos documentados; contexto colombiano y latinoamericano.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RAE 4, 5, 6</w:t>
            </w:r>
          </w:p>
        </w:tc>
        <w:tc>
          <w:tcPr>
            <w:tcW w:w="26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Teoría: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matriz valor × factibilidad y calculadora de ROI; sala de grupos: canvas de un caso por sector.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Lab: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prototipos de sentimiento financiero, orientación de síntomas (salud, sin fines diagnósticos) y generación de preguntas (educación); agente sectorial en Startti.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Challenge: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sector y caso asignados; prototipo, canvas y ROI; decisión go/no-go; verificación de una estadística inventada.</w:t>
            </w:r>
          </w:p>
        </w:tc>
        <w:tc>
          <w:tcPr>
            <w:tcW w:w="19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Cerrar y entregar el challenge.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Proyecto (hito formativo): canvas de caso de uso.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Lectura: McKinsey &amp; Company (2023).</w:t>
            </w:r>
          </w:p>
        </w:tc>
        <w:tc>
          <w:tcPr>
            <w:tcW w:w="1843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Presentación S09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Lab y challenge en Kaggle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McKinsey &amp; Company (2023); Stanford University (2023)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S10</w:t>
            </w:r>
          </w:p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Semana 10</w:t>
            </w:r>
          </w:p>
        </w:tc>
        <w:tc>
          <w:tcPr>
            <w:tcW w:w="18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Ética y sostenibilidad en modelos generativos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(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Ethics and Sustainability in Generative Models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Taxonomía de riesgos; sesgo y equidad; privacidad y datos personales (Ley 1581 de 2012); marcos y regulación (HLEG, Reglamento de IA de la UE, NIST AI RMF, UNESCO, CONPES 4144); huella de carbono; model cards y datasheets.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RAE 2, 6</w:t>
            </w:r>
          </w:p>
        </w:tc>
        <w:tc>
          <w:tcPr>
            <w:tcW w:w="26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Teoría: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demo de sesgo contrafactual y calculadora de huella de carbono; sala de grupos: clasificar casos por nivel de riesgo del Reglamento de IA de la UE.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Lab: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sondeo de sesgo con fill-mask, prueba contrafactual, detección y anonimización de datos personales (datos sintéticos), medición con CodeCarbon y model card.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Challenge: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auditoría de sesgo con el atributo asignado; mitigación; clasificación regulatoria del caso y controles.</w:t>
            </w:r>
          </w:p>
        </w:tc>
        <w:tc>
          <w:tcPr>
            <w:tcW w:w="19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Cerrar y entregar el challenge.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Lectura: HLEG (2019); Bender et al. (2021); Mitchell et al. (2019).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Proyecto: análisis ético y de sostenibilidad; borrador de la model card.</w:t>
            </w:r>
          </w:p>
        </w:tc>
        <w:tc>
          <w:tcPr>
            <w:tcW w:w="1843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Presentación S10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Lab y challenge en Kaggle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HLEG (2019); Reglamento (UE) 2024/1689; NIST (2023); UNESCO (2021); CONPES 4144 (2025); Ley 1581 de 2012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Luccioni et al. (2024); Gebru et al. (2021)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S11</w:t>
            </w:r>
          </w:p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Semana 11</w:t>
            </w:r>
          </w:p>
        </w:tc>
        <w:tc>
          <w:tcPr>
            <w:tcW w:w="18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Evaluación y mejora continua de modelos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(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Evaluation and Continuous Model Improvement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Ciclo de mejora continua (MLOps); análisis de errores, hipótesis y correcciones; mejora centrada en datos; seguimiento de experimentos; optimización de hiperparámetros (Optuna); robustez (CheckList); eficiencia (cuantización, destilación); monitoreo y deriva.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RAE 2, 6</w:t>
            </w:r>
          </w:p>
        </w:tc>
        <w:tc>
          <w:tcPr>
            <w:tcW w:w="26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Teoría: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diagrama del ciclo de mejora y demo de cuantización; sala de grupos: hoja de ruta de mejora del proyecto.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Lab: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línea base con ruido de etiquetas, análisis por segmentos, limpieza y aumento, búsqueda con Optuna, pruebas de robustez, cuantización int8 y bitácora de experimentos.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Challenge: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presupuesto de mejora asignado; bitácora con al menos dos iteraciones; reporte de robustez; decisión de despliegue con restricciones.</w:t>
            </w:r>
          </w:p>
        </w:tc>
        <w:tc>
          <w:tcPr>
            <w:tcW w:w="19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Cerrar y entregar el challenge.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Proyecto (hito formativo): documentar una iteración de mejora.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Preparar informe técnico, model card, demo y ensayo de la socialización.</w:t>
            </w:r>
          </w:p>
        </w:tc>
        <w:tc>
          <w:tcPr>
            <w:tcW w:w="1843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Presentación S11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Lab y challenge en Kaggle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Huyen (2022); Ribeiro et al. (2020)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Plantillas de informe técnico y model card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S12</w:t>
            </w:r>
          </w:p>
          <w:p>
            <w:pPr>
              <w:spacing w:before="40" w:after="40"/>
              <w:jc w:val="center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Semana 12</w:t>
            </w:r>
          </w:p>
        </w:tc>
        <w:tc>
          <w:tcPr>
            <w:tcW w:w="18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Proyecto integrador: desarrollo de solución completa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(</w:t>
            </w: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Integrative Project: Complete Solution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)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Integración de los conceptos del curso en un modelo propio funcional para un contexto aplicado; presentación y evaluación de los proyectos finales; cierre del curso.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i/>
                <w:iCs/>
                <w:sz w:val="18"/>
                <w:szCs w:val="18"/>
                <w:lang w:val="es-CO"/>
              </w:rPr>
              <w:t xml:space="preserve">RAE 1–6</w:t>
            </w:r>
          </w:p>
        </w:tc>
        <w:tc>
          <w:tcPr>
            <w:tcW w:w="265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Socialización por grupo: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8 min de pitch, 3 min de demo (se acepta demo pregrabada como respaldo) y 4 min de preguntas.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O"/>
              </w:rPr>
              <w:t xml:space="preserve">Defensa individual:</w:t>
            </w: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 preguntas a cada integrante sobre el trabajo del grupo.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Retroalimentación entre grupos y cierre del curso.</w:t>
            </w:r>
          </w:p>
        </w:tc>
        <w:tc>
          <w:tcPr>
            <w:tcW w:w="1900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Antes de la sesión: entrega final (repositorio o notebook, informe técnico, model card, demo y registro de uso de IA).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Después de la sesión: coevaluación de pares y autoevaluación del proyecto.</w:t>
            </w:r>
          </w:p>
        </w:tc>
        <w:tc>
          <w:tcPr>
            <w:tcW w:w="1843" w:type="dxa"/>
          </w:tcPr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Presentación de facilitación S12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Enunciado y rúbrica del proyecto final</w:t>
            </w:r>
          </w:p>
          <w:p>
            <w:pPr>
              <w:spacing w:before="40" w:after="40"/>
              <w:jc w:val="left"/>
              <w:rPr>
                <w:rFonts w:asciiTheme="minorHAnsi" w:hAnsiTheme="minorHAnsi" w:cstheme="minorHAnsi"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O"/>
              </w:rPr>
              <w:t xml:space="preserve">Plantillas de coevaluación y de retroalimentación entre pares</w:t>
            </w:r>
          </w:p>
        </w:tc>
      </w:tr>
    </w:tbl>
    <w:p>
      <w:pPr>
        <w:keepNext/>
        <w:spacing w:before="160" w:after="80"/>
        <w:jc w:val="left"/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</w:pPr>
      <w:r>
        <w:rPr>
          <w:rFonts w:asciiTheme="minorHAnsi" w:hAnsiTheme="minorHAnsi" w:cstheme="minorHAnsi"/>
          <w:b/>
          <w:bCs/>
          <w:color w:val="404040"/>
          <w:sz w:val="26"/>
          <w:szCs w:val="26"/>
          <w:lang w:val="es-CO"/>
        </w:rPr>
        <w:t xml:space="preserve">Diálogo formativo (semanas 4 a 6)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Entre las semanas 4 y 6 se abre un espacio de diálogo formativo para que cada estudiante conozca su desempeño y ajuste su estrategia antes de la segunda mitad del curso: (a) en S4, cada estudiante revisa el balance de sus challenges S1–S3 (notas, comentarios de la rúbrica y su autoevaluación); (b) cada grupo entrega su propuesta de proyecto entre S5 y S6 y recibe retroalimentación escrita en S6; y (c) los estudiantes o grupos que lo requieran acuerdan una conversación breve con el profesor en el horario de atención.</w:t>
      </w:r>
    </w:p>
    <w:p>
      <w:pPr>
        <w:spacing w:before="0" w:after="0"/>
        <w:jc w:val="both"/>
        <w:rPr>
          <w:rFonts w:asciiTheme="minorHAnsi" w:hAnsiTheme="minorHAnsi" w:cstheme="minorHAnsi"/>
          <w:sz w:val="24"/>
          <w:szCs w:val="24"/>
          <w:lang w:val="es-CO"/>
        </w:rPr>
      </w:pPr>
    </w:p>
    <w:p w14:paraId="32151693" w14:textId="5218C2B5" w:rsidR="00661498" w:rsidRPr="002927FE" w:rsidRDefault="002833F8" w:rsidP="002927FE">
      <w:pPr>
        <w:pStyle w:val="Prrafodelista"/>
        <w:keepNext/>
        <w:numPr>
          <w:ilvl w:val="0"/>
          <w:numId w:val="8"/>
        </w:numPr>
        <w:spacing w:before="0" w:after="120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  <w:t>Factores de éxito para este curso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Estas recomendaciones te ayudarán a gestionar tu autonomía y a aprovechar al máximo el curso: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Prepara tus herramientas desde la primera semana: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crea tu cuenta de Kaggle y verifica tu número de teléfono (sin verificación no se habilitan la GPU ni el acceso a internet en los notebooks); activa tu licencia de Startti antes de la sesión 6 y guarda tu clave de API en Kaggle Secrets, nunca en el código.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Asegura tu conexión y tu espacio de trabajo: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internet estable, cámara y micrófono funcionando, y un plan alterno (por ejemplo, datos móviles) para las sesiones y las entregas.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Planifica 9 horas semanales de trabajo independiente: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cerca de 2 h de preparación, 2 h para cerrar el challenge, 2 h de práctica autónoma y 3 h de proyecto. Bloquea esos tiempos en tu agenda.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Llega preparado a cada sesión: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revisa las lecturas y la guía de la sesión; el quiz de calentamiento te indicará qué repasar.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Usa la IA de forma transparente y verifica todo: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registra herramientas y prompts, contrasta las respuestas con tus propios resultados y con fuentes confiables. Eres responsable de todo lo que entregas.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Comprende tu propio notebook: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cualquier estudiante puede ser llamado a una micro-sustentación con cámara encendida y pantalla compartida; practica explicar tus decisiones con tus números.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Entrega a tiempo, aunque no esté perfecto: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una entrega parcial con buen análisis vale más que ninguna. Recuerda que cuentan tus mejores 10 de 11 challenges.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Forma tu grupo de proyecto temprano: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conforma el grupo en la sesión 3, acuerden roles y un canal de comunicación, y aprovechen los hitos formativos para recibir retroalimentación.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Pide ayuda a tiempo: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usa los foros de e-Aulas, el horario de atención y el diálogo formativo de las semanas 4 a 6; si un error técnico te bloquea por más de 20 minutos, pregunta.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Aprende de la retroalimentación: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revisa la rúbrica y los comentarios de cada challenge y ajusta tu estrategia para la siguiente sesión.</w:t>
      </w:r>
    </w:p>
    <w:p>
      <w:pPr>
        <w:spacing w:before="0" w:after="0"/>
        <w:jc w:val="both"/>
        <w:rPr>
          <w:rFonts w:asciiTheme="minorHAnsi" w:hAnsiTheme="minorHAnsi" w:cstheme="minorHAnsi"/>
          <w:sz w:val="24"/>
          <w:szCs w:val="24"/>
          <w:lang w:val="es-CO"/>
        </w:rPr>
      </w:pPr>
    </w:p>
    <w:p w14:paraId="396E8B8C" w14:textId="2002ED58" w:rsidR="00DC4972" w:rsidRPr="002927FE" w:rsidRDefault="00053707" w:rsidP="002927FE">
      <w:pPr>
        <w:pStyle w:val="Prrafodelista"/>
        <w:keepNext/>
        <w:numPr>
          <w:ilvl w:val="0"/>
          <w:numId w:val="8"/>
        </w:numPr>
        <w:spacing w:before="0" w:after="120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  <w:lastRenderedPageBreak/>
        <w:t xml:space="preserve">Bibliografía y recursos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Bibliografía básica del sílabo, en formato APA (7.ª ed.). En la programación de actividades se indica la sesión en la que se usa cada referencia.</w:t>
      </w:r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Devlin, J., Chang, M.-W., Lee, K., &amp; Toutanova, K. (2019). BERT: Pre-training of deep bidirectional transformers for language understanding. En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Proceedings of the 2019 Conference of the North American Chapter of the Association for Computational Linguistics: Human Language Technologies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(Vol. 1, pp. 4171–4186). Association for Computational Linguistics. </w:t>
      </w:r>
      <w:hyperlink r:id="rIdL5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https://doi.org/10.18653/v1/N19-1423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Goodfellow, I., Bengio, Y., &amp; Courville, A. (2016).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Deep learning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MIT Press. </w:t>
      </w:r>
      <w:hyperlink r:id="rIdL6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https://www.deeplearningbook.org/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Google. (2023).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Machine Learning Crash Course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Google for Developers. </w:t>
      </w:r>
      <w:hyperlink r:id="rIdL7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https://developers.google.com/machine-learning/crash-course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High-Level Expert Group on Artificial Intelligence [HLEG]. (2019).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Ethics guidelines for trustworthy AI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Comisión Europea. </w:t>
      </w:r>
      <w:hyperlink r:id="rIdL8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https://digital-strategy.ec.europa.eu/en/library/ethics-guidelines-trustworthy-ai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Jurafsky, D., &amp; Martin, J. H. (2023).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Speech and language processing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(3.ª ed., borrador). Disponible en línea sin costo en </w:t>
      </w:r>
      <w:hyperlink r:id="rIdL9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https://web.stanford.edu/~jurafsky/slp3/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Kingma, D. P., &amp; Welling, M. (2014). Auto-encoding variational Bayes. En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2nd International Conference on Learning Representations (ICLR 2014)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</w:t>
      </w:r>
      <w:hyperlink r:id="rIdL10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https://arxiv.org/abs/1312.6114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McKinsey &amp; Company. (2023).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The economic potential of generative AI: The next productivity frontier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McKinsey Global Institute.</w:t>
      </w:r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OpenAI. (2023).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Fine-tuning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[Guía de la documentación de la plataforma]. </w:t>
      </w:r>
      <w:hyperlink r:id="rIdL11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https://platform.openai.com/docs/guides/fine-tuning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Stanford University. (2023).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CS230: Deep learning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[Materiales del curso]. </w:t>
      </w:r>
      <w:hyperlink r:id="rIdL12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https://cs230.stanford.edu/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Vaswani, A., Shazeer, N., Parmar, N., Uszkoreit, J., Jones, L., Gomez, A. N., Kaiser, Ł., &amp; Polosukhin, I. (2017). Attention is all you need.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Advances in Neural Information Processing Systems, 30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</w:t>
      </w:r>
      <w:hyperlink r:id="rIdL13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https://arxiv.org/abs/1706.03762</w:t>
        </w:r>
      </w:hyperlink>
    </w:p>
    <w:p>
      <w:pPr>
        <w:spacing w:before="0" w:after="0"/>
        <w:jc w:val="both"/>
        <w:rPr>
          <w:rFonts w:asciiTheme="minorHAnsi" w:hAnsiTheme="minorHAnsi" w:cstheme="minorHAnsi"/>
          <w:sz w:val="24"/>
          <w:szCs w:val="24"/>
          <w:lang w:val="es-CO"/>
        </w:rPr>
      </w:pPr>
    </w:p>
    <w:p w14:paraId="3E6F2525" w14:textId="6EA78677" w:rsidR="00424BD7" w:rsidRPr="002927FE" w:rsidRDefault="00053707" w:rsidP="002927FE">
      <w:pPr>
        <w:pStyle w:val="Prrafodelista"/>
        <w:keepNext/>
        <w:numPr>
          <w:ilvl w:val="0"/>
          <w:numId w:val="8"/>
        </w:numPr>
        <w:spacing w:before="0" w:after="120"/>
        <w:rPr>
          <w:rFonts w:asciiTheme="minorHAnsi" w:hAnsiTheme="minorHAnsi" w:cstheme="minorHAnsi"/>
          <w:w w:val="95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  <w:t xml:space="preserve">Bibliografía y recursos complementarios</w:t>
      </w:r>
    </w:p>
    <w:p>
      <w:pPr>
        <w:spacing w:before="0" w:after="12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Referencias para ampliar los temas del curso, con fuentes internacionales y nacionales, obras de autoras y documentos en español.</w:t>
      </w:r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Bender, E. M., Gebru, T., McMillan-Major, A., &amp; Shmitchell, S. (2021). On the dangers of stochastic parrots: Can language models be too big? En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Proceedings of the 2021 ACM Conference on Fairness, Accountability, and Transparency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(pp. 610–623). ACM. </w:t>
      </w:r>
      <w:hyperlink r:id="rIdL14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https://doi.org/10.1145/3442188.3445922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Cañete, J., Chaperon, G., Fuentes, R., Ho, J.-H., Kang, H., &amp; Pérez, J. (2020). Spanish pre-trained BERT model and evaluation data. En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PML4DC Workshop at ICLR 2020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</w:t>
      </w:r>
      <w:hyperlink r:id="rIdL15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https://github.com/dccuchile/beto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Congreso de la República de Colombia. (2012).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Ley Estatutaria 1581 de 2012, por la cual se dictan disposiciones generales para la protección de datos personales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</w:t>
      </w:r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Consejo Nacional de Política Económica y Social [CONPES] y Departamento Nacional de Planeación [DNP]. (2025).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Documento CONPES 4144: Política Nacional de Inteligencia Artificial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DNP.</w:t>
      </w:r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Dettmers, T., Pagnoni, A., Holtzman, A., &amp; Zettlemoyer, L. (2023). QLoRA: Efficient finetuning of quantized LLMs.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Advances in Neural Information Processing Systems, 36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</w:t>
      </w:r>
      <w:hyperlink r:id="rIdL16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https://arxiv.org/abs/2305.14314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Gebru, T., Morgenstern, J., Vecchione, B., Vaughan, J. W., Wallach, H., Daumé III, H., &amp; Crawford, K. (2021). Datasheets for datasets.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Communications of the ACM, 64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(12), 86–92. </w:t>
      </w:r>
      <w:hyperlink r:id="rIdL17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https://doi.org/10.1145/3458723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Hu, E. J., Shen, Y., Wallis, P., Allen-Zhu, Z., Li, Y., Wang, S., Wang, L., &amp; Chen, W. (2021).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LoRA: Low-rank adaptation of large language models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(arXiv:2106.09685). arXiv. </w:t>
      </w:r>
      <w:hyperlink r:id="rIdL18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https://arxiv.org/abs/2106.09685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Hugging Face. (s. f.).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LLM Course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</w:t>
      </w:r>
      <w:hyperlink r:id="rIdL19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https://huggingface.co/learn/llm-course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Huyen, C. (2022).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Designing machine learning systems: An iterative process for production-ready applications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O'Reilly Media.</w:t>
      </w:r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Lewis, P., Perez, E., Piktus, A., Petroni, F., Karpukhin, V., Goyal, N., Küttler, H., Lewis, M., Yih, W., Rocktäschel, T., Riedel, S., &amp; Kiela, D. (2020). Retrieval-augmented generation for knowledge-intensive NLP tasks.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Advances in Neural Information Processing Systems, 33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</w:t>
      </w:r>
      <w:hyperlink r:id="rIdL20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https://arxiv.org/abs/2005.11401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Luccioni, A. S., Jernite, Y., &amp; Strubell, E. (2024). Power hungry processing: Watts driving the cost of AI deployment? En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Proceedings of the 2024 ACM Conference on Fairness, Accountability, and Transparency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ACM.</w:t>
      </w:r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Mitchell, M., Wu, S., Zaldivar, A., Barnes, P., Vasserman, L., Hutchinson, B., Spitzer, E., Raji, I. D., &amp; Gebru, T. (2019). Model cards for model reporting. En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Proceedings of the Conference on Fairness, Accountability, and Transparency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(pp. 220–229). ACM. </w:t>
      </w:r>
      <w:hyperlink r:id="rIdL21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https://doi.org/10.1145/3287560.3287596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National Institute of Standards and Technology [NIST]. (2023).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Artificial intelligence risk management framework (AI RMF 1.0)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(NIST AI 100-1). </w:t>
      </w:r>
      <w:hyperlink r:id="rIdL22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https://doi.org/10.6028/NIST.AI.100-1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Parlamento Europeo y Consejo de la Unión Europea. (2024). Reglamento (UE) 2024/1689 del Parlamento Europeo y del Consejo, de 13 de junio de 2024, por el que se establecen normas armonizadas en materia de inteligencia artificial (Reglamento de Inteligencia Artificial).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Diario Oficial de la Unión Europea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</w:t>
      </w:r>
      <w:hyperlink r:id="rIdL23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https://eur-lex.europa.eu/eli/reg/2024/1689/oj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Ribeiro, M. T., Wu, T., Guestrin, C., &amp; Singh, S. (2020). Beyond accuracy: Behavioral testing of NLP models with CheckList. En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Proceedings of the 58th Annual Meeting of the Association for Computational Linguistics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(pp. 4902–4912). Association for Computational Linguistics. </w:t>
      </w:r>
      <w:hyperlink r:id="rIdL24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https://doi.org/10.18653/v1/2020.acl-main.442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Startti. (s. f.).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Documentación de Startti ADP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</w:t>
      </w:r>
      <w:hyperlink r:id="rIdL25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https://adp.startti.ai/docs</w:t>
        </w:r>
      </w:hyperlink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Tunstall, L., von Werra, L., &amp; Wolf, T. (2022).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Natural language processing with transformers: Building language applications with Hugging Face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(ed. rev.). O'Reilly Media.</w:t>
      </w:r>
    </w:p>
    <w:p>
      <w:pPr>
        <w:spacing w:before="0" w:after="120"/>
        <w:ind w:left="720" w:hanging="7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UNESCO. (2021). </w:t>
      </w:r>
      <w:r>
        <w:rPr>
          <w:rFonts w:asciiTheme="minorHAnsi" w:hAnsiTheme="minorHAnsi" w:cstheme="minorHAnsi"/>
          <w:i/>
          <w:iCs/>
          <w:sz w:val="24"/>
          <w:szCs w:val="24"/>
          <w:lang w:val="es-CO"/>
        </w:rPr>
        <w:t xml:space="preserve">Recomendación sobre la ética de la inteligencia artificial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. UNESCO.</w:t>
      </w:r>
    </w:p>
    <w:p>
      <w:pPr>
        <w:spacing w:before="0" w:after="0"/>
        <w:jc w:val="both"/>
        <w:rPr>
          <w:rFonts w:asciiTheme="minorHAnsi" w:hAnsiTheme="minorHAnsi" w:cstheme="minorHAnsi"/>
          <w:sz w:val="24"/>
          <w:szCs w:val="24"/>
          <w:lang w:val="es-CO"/>
        </w:rPr>
      </w:pPr>
    </w:p>
    <w:p w14:paraId="79CE4F85" w14:textId="515C4125" w:rsidR="0056053C" w:rsidRPr="002927FE" w:rsidRDefault="002833F8" w:rsidP="002927FE">
      <w:pPr>
        <w:pStyle w:val="Prrafodelista"/>
        <w:keepNext/>
        <w:numPr>
          <w:ilvl w:val="0"/>
          <w:numId w:val="8"/>
        </w:numPr>
        <w:spacing w:before="0" w:after="12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  <w:t>Acuerdos para el desarrollo del curso</w:t>
      </w:r>
    </w:p>
    <w:p>
      <w:pPr>
        <w:spacing w:before="0" w:after="12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sz w:val="24"/>
          <w:szCs w:val="24"/>
          <w:lang w:val="es-CO"/>
        </w:rPr>
        <w:t xml:space="preserve">Para el buen desarrollo del curso se establecen los siguientes acuerdos, en el marco del </w:t>
      </w:r>
      <w:hyperlink r:id="rId11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Reglamento Formativo-Preventivo y Disciplinario</w:t>
        </w:r>
      </w:hyperlink>
      <w:r>
        <w:rPr>
          <w:rFonts w:asciiTheme="minorHAnsi" w:hAnsiTheme="minorHAnsi" w:cstheme="minorHAnsi"/>
          <w:sz w:val="24"/>
          <w:szCs w:val="24"/>
          <w:lang w:val="es-CO"/>
        </w:rPr>
        <w:t xml:space="preserve"> de la Universidad: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Asistencia: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se registra la asistencia en cada sesión sincrónica. La cámara debe estar encendida en los momentos de evaluación (bloque de challenge, micro-sustentaciones y socialización del proyecto) y se recomienda durante toda la sesión. Las ausencias justificadas se tramitan según el reglamento académico.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Puntualidad: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las sesiones inician a la hora programada con el quiz de calentamiento; se espera conectarse unos minutos antes para resolver problemas técnicos.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Entregas: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los challenges se entregan en e-Aulas hasta las 23:59 del día de la sesión, como archivo </w:t>
      </w:r>
      <w:r>
        <w:rPr>
          <w:rFonts w:ascii="Courier New" w:hAnsi="Courier New" w:cs="Courier New"/>
          <w:sz w:val="22"/>
          <w:szCs w:val="22"/>
          <w:lang w:val="es-CO"/>
        </w:rPr>
        <w:t xml:space="preserve">S&lt;NN&gt;_&lt;codigo&gt;.ipynb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descargado desde Kaggle. Los entregables del proyecto se entregan en las fechas publicadas en e-Aulas.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Entregas tardías: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hasta 24 horas después del plazo se descuentan 0.5 puntos de la nota; después de 24 horas la nota es 0.0. La regla de las mejores 10 de 11 notas absorbe una ausencia o una entrega fallida.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Comunicación: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los canales oficiales son los foros y la mensajería de e-Aulas y el correo institucional. Las dudas generales se publican en el foro para que todo el grupo se beneficie de la respuesta.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Respeto en la interacción virtual: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en el chat, los foros y las salas de grupos se mantiene un trato respetuoso; se pide la palabra y se valoran las distintas trayectorias (perfiles técnicos y de negocio).</w:t>
      </w:r>
    </w:p>
    <w:p>
      <w:pPr>
        <w:numPr>
          <w:ilvl w:val="0"/>
          <w:numId w:val="14"/>
        </w:numPr>
        <w:spacing w:before="0" w:after="80"/>
        <w:ind w:left="720" w:hanging="360"/>
        <w:jc w:val="left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Integridad académica y uso de IA: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el uso de asistentes de IA se rige por la </w:t>
      </w:r>
      <w:hyperlink r:id="rIdL26" w:history="1">
        <w:r>
          <w:rPr>
            <w:rStyle w:val="Hipervnculo"/>
            <w:rFonts w:asciiTheme="minorHAnsi" w:hAnsiTheme="minorHAnsi" w:cstheme="minorHAnsi"/>
            <w:sz w:val="24"/>
            <w:szCs w:val="24"/>
            <w:lang w:val="es-CO"/>
          </w:rPr>
          <w:t xml:space="preserve">política de uso de IA del curso</w:t>
        </w:r>
      </w:hyperlink>
      <w:r>
        <w:rPr>
          <w:rFonts w:asciiTheme="minorHAnsi" w:hAnsiTheme="minorHAnsi" w:cstheme="minorHAnsi"/>
          <w:sz w:val="24"/>
          <w:szCs w:val="24"/>
          <w:lang w:val="es-CO"/>
        </w:rPr>
        <w:t xml:space="preserve">. Todo uso se declara en el registro de IA; están prohibidos la suplantación, los resultados inventados y compartir las salidas personalizadas de un challenge. Los casos de plagio o fraude se tratan según el reglamento de la Universidad.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Datos personales y confidencialidad: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no se cargan datos personales ni información sensible o confidencial de organizaciones en Kaggle, Startti ni en asistentes de IA; en el curso se usan datos abiertos o sintéticos.</w:t>
      </w:r>
    </w:p>
    <w:p>
      <w:pPr>
        <w:numPr>
          <w:ilvl w:val="0"/>
          <w:numId w:val="14"/>
        </w:numPr>
        <w:spacing w:before="0" w:after="80"/>
        <w:ind w:left="720" w:hanging="360"/>
        <w:jc w:val="both"/>
        <w:rPr>
          <w:rFonts w:asciiTheme="minorHAnsi" w:hAnsiTheme="minorHAnsi" w:cstheme="minorHAnsi"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bCs/>
          <w:sz w:val="24"/>
          <w:szCs w:val="24"/>
          <w:lang w:val="es-CO"/>
        </w:rPr>
        <w:t xml:space="preserve">Grabaciones de clase:</w:t>
      </w:r>
      <w:r>
        <w:rPr>
          <w:rFonts w:asciiTheme="minorHAnsi" w:hAnsiTheme="minorHAnsi" w:cstheme="minorHAnsi"/>
          <w:sz w:val="24"/>
          <w:szCs w:val="24"/>
          <w:lang w:val="es-CO"/>
        </w:rPr>
        <w:t xml:space="preserve"> las sesiones pueden grabarse solo con fines académicos y de acuerdo con las políticas de la Universidad, previo aviso al grupo. Las grabaciones se comparten únicamente en e-Aulas y no pueden difundirse fuera del curso; los estudiantes no deben grabar las sesiones sin autorización.</w:t>
      </w:r>
    </w:p>
    <w:p>
      <w:pPr>
        <w:spacing w:before="0" w:after="0"/>
        <w:jc w:val="both"/>
        <w:rPr>
          <w:rFonts w:asciiTheme="minorHAnsi" w:hAnsiTheme="minorHAnsi" w:cstheme="minorHAnsi"/>
          <w:sz w:val="24"/>
          <w:szCs w:val="24"/>
          <w:lang w:val="es-CO"/>
        </w:rPr>
      </w:pPr>
    </w:p>
    <w:p w14:paraId="16D5855A" w14:textId="28A350A8" w:rsidR="003414CC" w:rsidRPr="002927FE" w:rsidRDefault="00495085" w:rsidP="002927FE">
      <w:pPr>
        <w:pStyle w:val="Prrafodelista"/>
        <w:keepNext/>
        <w:numPr>
          <w:ilvl w:val="0"/>
          <w:numId w:val="8"/>
        </w:numPr>
        <w:spacing w:before="0" w:after="12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404040" w:themeColor="text1" w:themeTint="BF"/>
          <w:sz w:val="36"/>
          <w:szCs w:val="36"/>
        </w:rPr>
        <w:t xml:space="preserve">Respeto y no discriminación  </w:t>
      </w:r>
    </w:p>
    <w:p w14:paraId="30DC03E6" w14:textId="57F41735" w:rsidR="003414CC" w:rsidRPr="002357A2" w:rsidRDefault="003414CC" w:rsidP="00B3608E">
      <w:pPr>
        <w:jc w:val="bot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Si tiene alguna discapacidad, sea este visible o no, y requiere algún tipo de apoyo para estar en igualdad de condiciones con los(as) demás estudiantes, por favor informar a su profesor(a) para que puedan realizarse ajustes razonables al curso a la mayor brevedad posible. De igual forma, si no cuenta con los recursos tecnológicos requeridos para el desarrollo del curso, por favor informe de manera oportuna a la Secretaría Académica de su programa o a la Dirección de Estudiantes, de manera que se pueda atender a tiempo su requerimiento.</w:t>
      </w:r>
    </w:p>
    <w:p w14:paraId="23BDF8F3" w14:textId="77777777" w:rsidR="003414CC" w:rsidRPr="002357A2" w:rsidRDefault="003414CC" w:rsidP="00B3608E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072594F0" w14:textId="637C6C70" w:rsidR="003414CC" w:rsidRPr="002357A2" w:rsidRDefault="003414CC" w:rsidP="00B3608E">
      <w:pPr>
        <w:jc w:val="both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Recuerde que es deber de todas las personas respetar los derechos de quienes hacen parte de la comunidad Rosarista. Cualquier situación de acoso, acoso sexual, discriminación o matoneo, sea presencial o virtual, es inaceptable. Quien se sienta en alguna de estas situaciones puede denunciar su ocurrencia contactando al equipo de la Coordinación de Psicología y Calidad de Vida de la Decanatura del Medio Universitario (Teléfono o WhatsApp 322 2485756).</w:t>
      </w:r>
    </w:p>
    <w:sectPr w:rsidR="00661498" w:rsidRPr="00804912">
      <w:headerReference w:type="default" r:id="rId23"/>
      <w:footerReference w:type="default" r:id="rId24"/>
      <w:pgSz w:w="12240" w:h="15840"/>
      <w:pgMar w:top="1340" w:right="1320" w:bottom="1220" w:left="1460" w:header="0" w:footer="10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864443" w14:textId="77777777" w:rsidR="00E1466E" w:rsidRDefault="00E1466E">
      <w:r>
        <w:separator/>
      </w:r>
    </w:p>
  </w:endnote>
  <w:endnote w:type="continuationSeparator" w:id="0">
    <w:p w14:paraId="36CD0C80" w14:textId="77777777" w:rsidR="00E1466E" w:rsidRDefault="00E146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adea">
    <w:altName w:val="Cambria"/>
    <w:charset w:val="00"/>
    <w:family w:val="roman"/>
    <w:pitch w:val="variable"/>
  </w:font>
  <w:font w:name="Carlito">
    <w:altName w:val="Calibri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D9BFD" w14:textId="6EE867EC" w:rsidR="00FF51B7" w:rsidRDefault="00F66F37">
    <w:pPr>
      <w:pStyle w:val="Textoindependiente"/>
      <w:spacing w:line="14" w:lineRule="auto"/>
      <w:rPr>
        <w:sz w:val="20"/>
      </w:rPr>
    </w:pPr>
    <w:r>
      <w:rPr>
        <w:noProof/>
        <w:lang w:val="es-ES_tradnl" w:eastAsia="es-ES_tradnl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28F8490B" wp14:editId="583E73AC">
              <wp:simplePos x="0" y="0"/>
              <wp:positionH relativeFrom="page">
                <wp:posOffset>6499860</wp:posOffset>
              </wp:positionH>
              <wp:positionV relativeFrom="page">
                <wp:posOffset>9267825</wp:posOffset>
              </wp:positionV>
              <wp:extent cx="232410" cy="182245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241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03327E" w14:textId="77777777" w:rsidR="00FF51B7" w:rsidRDefault="00FF51B7">
                          <w:pPr>
                            <w:pStyle w:val="Textoindependiente"/>
                            <w:spacing w:before="13"/>
                            <w:ind w:left="60"/>
                            <w:rPr>
                              <w:rFonts w:ascii="Arial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61498">
                            <w:rPr>
                              <w:rFonts w:ascii="Arial"/>
                              <w:noProof/>
                            </w:rPr>
                            <w:t>12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8F8490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style="position:absolute;margin-left:511.8pt;margin-top:729.75pt;width:18.3pt;height:14.3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" filled="f" stroked="f">
              <v:textbox inset="0,0,0,0">
                <w:txbxContent>
                  <w:p w14:paraId="6D03327E" w14:textId="77777777" w:rsidR="00FF51B7" w:rsidRDefault="00FF51B7">
                    <w:pPr>
                      <w:pStyle w:val="Textoindependiente"/>
                      <w:spacing w:before="13"/>
                      <w:ind w:left="60"/>
                      <w:rPr>
                        <w:rFonts w:ascii="Arial"/>
                      </w:rPr>
                    </w:pPr>
                    <w:r>
                      <w:fldChar w:fldCharType="begin"/>
                    </w:r>
                    <w:r>
                      <w:rPr>
                        <w:rFonts w:ascii="Arial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661498">
                      <w:rPr>
                        <w:rFonts w:ascii="Arial"/>
                        <w:noProof/>
                      </w:rPr>
                      <w:t>12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54F5F3" w14:textId="77777777" w:rsidR="00E1466E" w:rsidRDefault="00E1466E">
      <w:r>
        <w:separator/>
      </w:r>
    </w:p>
  </w:footnote>
  <w:footnote w:type="continuationSeparator" w:id="0">
    <w:p w14:paraId="08465F64" w14:textId="77777777" w:rsidR="00E1466E" w:rsidRDefault="00E146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F69CB8" w14:textId="77777777" w:rsidR="00AF0F9D" w:rsidRDefault="00AF0F9D">
    <w:pPr>
      <w:pStyle w:val="Encabezado"/>
    </w:pPr>
  </w:p>
  <w:p w14:paraId="570AD576" w14:textId="73EBC5B8" w:rsidR="00495F55" w:rsidRDefault="00495F55">
    <w:pPr>
      <w:pStyle w:val="Encabezado"/>
    </w:pPr>
  </w:p>
  <w:p w14:paraId="130642E2" w14:textId="2515BFD2" w:rsidR="00AF0F9D" w:rsidRDefault="00A024DB">
    <w:pPr>
      <w:pStyle w:val="Encabezado"/>
    </w:pPr>
    <w:r>
      <w:rPr>
        <w:noProof/>
      </w:rPr>
      <w:drawing>
        <wp:anchor distT="0" distB="0" distL="114300" distR="114300" simplePos="0" relativeHeight="251658752" behindDoc="0" locked="0" layoutInCell="1" allowOverlap="1" wp14:anchorId="000984C5" wp14:editId="4E6C9908">
          <wp:simplePos x="0" y="0"/>
          <wp:positionH relativeFrom="margin">
            <wp:align>left</wp:align>
          </wp:positionH>
          <wp:positionV relativeFrom="paragraph">
            <wp:posOffset>56515</wp:posOffset>
          </wp:positionV>
          <wp:extent cx="1881458" cy="847725"/>
          <wp:effectExtent l="0" t="0" r="0" b="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-URosario-horizontal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977" t="11987"/>
                  <a:stretch/>
                </pic:blipFill>
                <pic:spPr bwMode="auto">
                  <a:xfrm>
                    <a:off x="0" y="0"/>
                    <a:ext cx="1881458" cy="8477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03D58A3E" w14:textId="37379528" w:rsidR="00A024DB" w:rsidRDefault="00A024DB">
    <w:pPr>
      <w:pStyle w:val="Encabezado"/>
    </w:pPr>
  </w:p>
  <w:p w14:paraId="6A6203C8" w14:textId="425B0E9F" w:rsidR="00A024DB" w:rsidRDefault="00A024DB">
    <w:pPr>
      <w:pStyle w:val="Encabezado"/>
    </w:pPr>
  </w:p>
  <w:p w14:paraId="3A4CC9D2" w14:textId="2EE751E2" w:rsidR="00A024DB" w:rsidRDefault="00A024DB">
    <w:pPr>
      <w:pStyle w:val="Encabezado"/>
    </w:pPr>
  </w:p>
  <w:p w14:paraId="7B3D27B6" w14:textId="74295E6F" w:rsidR="00A024DB" w:rsidRDefault="00A024DB">
    <w:pPr>
      <w:pStyle w:val="Encabezado"/>
    </w:pPr>
  </w:p>
  <w:p w14:paraId="7218C920" w14:textId="77777777" w:rsidR="00A024DB" w:rsidRDefault="00A024D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633AB"/>
    <w:multiLevelType w:val="hybridMultilevel"/>
    <w:tmpl w:val="ED6E3F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76255C"/>
    <w:multiLevelType w:val="hybridMultilevel"/>
    <w:tmpl w:val="BDEA577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90E8D"/>
    <w:multiLevelType w:val="hybridMultilevel"/>
    <w:tmpl w:val="6638DE34"/>
    <w:lvl w:ilvl="0" w:tplc="11A687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6A6A6" w:themeColor="background1" w:themeShade="A6"/>
      </w:r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2CAC6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D50019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86A3FE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F40DCC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51EB0B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814F29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7F8CF0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024F67"/>
    <w:multiLevelType w:val="hybridMultilevel"/>
    <w:tmpl w:val="F1EA45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32CED"/>
    <w:multiLevelType w:val="hybridMultilevel"/>
    <w:tmpl w:val="9CEEF3F6"/>
    <w:lvl w:ilvl="0" w:tplc="E202E9CE">
      <w:numFmt w:val="bullet"/>
      <w:lvlText w:val=""/>
      <w:lvlJc w:val="left"/>
      <w:pPr>
        <w:ind w:left="1374" w:hanging="281"/>
      </w:pPr>
      <w:rPr>
        <w:rFonts w:ascii="Symbol" w:eastAsia="Symbol" w:hAnsi="Symbol" w:cs="Symbol" w:hint="default"/>
        <w:w w:val="100"/>
        <w:sz w:val="22"/>
        <w:szCs w:val="22"/>
        <w:lang w:val="es-ES" w:eastAsia="en-US" w:bidi="ar-SA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9E0BD3"/>
    <w:multiLevelType w:val="hybridMultilevel"/>
    <w:tmpl w:val="830011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2E6B5F"/>
    <w:multiLevelType w:val="hybridMultilevel"/>
    <w:tmpl w:val="B1E678F2"/>
    <w:lvl w:ilvl="0" w:tplc="240A0017">
      <w:start w:val="1"/>
      <w:numFmt w:val="lowerLetter"/>
      <w:lvlText w:val="%1)"/>
      <w:lvlJc w:val="left"/>
      <w:pPr>
        <w:ind w:left="572" w:hanging="286"/>
      </w:pPr>
      <w:rPr>
        <w:rFonts w:hint="default"/>
        <w:w w:val="85"/>
        <w:sz w:val="22"/>
        <w:szCs w:val="22"/>
        <w:lang w:val="es-ES" w:eastAsia="en-US" w:bidi="ar-SA"/>
      </w:rPr>
    </w:lvl>
    <w:lvl w:ilvl="1" w:tplc="F126059E">
      <w:numFmt w:val="bullet"/>
      <w:lvlText w:val="•"/>
      <w:lvlJc w:val="left"/>
      <w:pPr>
        <w:ind w:left="1321" w:hanging="286"/>
      </w:pPr>
      <w:rPr>
        <w:rFonts w:hint="default"/>
        <w:lang w:val="es-ES" w:eastAsia="en-US" w:bidi="ar-SA"/>
      </w:rPr>
    </w:lvl>
    <w:lvl w:ilvl="2" w:tplc="D696F3B2">
      <w:numFmt w:val="bullet"/>
      <w:lvlText w:val="•"/>
      <w:lvlJc w:val="left"/>
      <w:pPr>
        <w:ind w:left="2073" w:hanging="286"/>
      </w:pPr>
      <w:rPr>
        <w:rFonts w:hint="default"/>
        <w:lang w:val="es-ES" w:eastAsia="en-US" w:bidi="ar-SA"/>
      </w:rPr>
    </w:lvl>
    <w:lvl w:ilvl="3" w:tplc="7E3C2B6E">
      <w:numFmt w:val="bullet"/>
      <w:lvlText w:val="•"/>
      <w:lvlJc w:val="left"/>
      <w:pPr>
        <w:ind w:left="2825" w:hanging="286"/>
      </w:pPr>
      <w:rPr>
        <w:rFonts w:hint="default"/>
        <w:lang w:val="es-ES" w:eastAsia="en-US" w:bidi="ar-SA"/>
      </w:rPr>
    </w:lvl>
    <w:lvl w:ilvl="4" w:tplc="671E710A">
      <w:numFmt w:val="bullet"/>
      <w:lvlText w:val="•"/>
      <w:lvlJc w:val="left"/>
      <w:pPr>
        <w:ind w:left="3577" w:hanging="286"/>
      </w:pPr>
      <w:rPr>
        <w:rFonts w:hint="default"/>
        <w:lang w:val="es-ES" w:eastAsia="en-US" w:bidi="ar-SA"/>
      </w:rPr>
    </w:lvl>
    <w:lvl w:ilvl="5" w:tplc="F6E666F0">
      <w:numFmt w:val="bullet"/>
      <w:lvlText w:val="•"/>
      <w:lvlJc w:val="left"/>
      <w:pPr>
        <w:ind w:left="4329" w:hanging="286"/>
      </w:pPr>
      <w:rPr>
        <w:rFonts w:hint="default"/>
        <w:lang w:val="es-ES" w:eastAsia="en-US" w:bidi="ar-SA"/>
      </w:rPr>
    </w:lvl>
    <w:lvl w:ilvl="6" w:tplc="9864C982">
      <w:numFmt w:val="bullet"/>
      <w:lvlText w:val="•"/>
      <w:lvlJc w:val="left"/>
      <w:pPr>
        <w:ind w:left="5081" w:hanging="286"/>
      </w:pPr>
      <w:rPr>
        <w:rFonts w:hint="default"/>
        <w:lang w:val="es-ES" w:eastAsia="en-US" w:bidi="ar-SA"/>
      </w:rPr>
    </w:lvl>
    <w:lvl w:ilvl="7" w:tplc="2C4CE034">
      <w:numFmt w:val="bullet"/>
      <w:lvlText w:val="•"/>
      <w:lvlJc w:val="left"/>
      <w:pPr>
        <w:ind w:left="5833" w:hanging="286"/>
      </w:pPr>
      <w:rPr>
        <w:rFonts w:hint="default"/>
        <w:lang w:val="es-ES" w:eastAsia="en-US" w:bidi="ar-SA"/>
      </w:rPr>
    </w:lvl>
    <w:lvl w:ilvl="8" w:tplc="A6A208C6">
      <w:numFmt w:val="bullet"/>
      <w:lvlText w:val="•"/>
      <w:lvlJc w:val="left"/>
      <w:pPr>
        <w:ind w:left="6585" w:hanging="286"/>
      </w:pPr>
      <w:rPr>
        <w:rFonts w:hint="default"/>
        <w:lang w:val="es-ES" w:eastAsia="en-US" w:bidi="ar-SA"/>
      </w:rPr>
    </w:lvl>
  </w:abstractNum>
  <w:abstractNum w:abstractNumId="7" w15:restartNumberingAfterBreak="0">
    <w:nsid w:val="2F7D0641"/>
    <w:multiLevelType w:val="hybridMultilevel"/>
    <w:tmpl w:val="3C9C7502"/>
    <w:lvl w:ilvl="0" w:tplc="58844198">
      <w:numFmt w:val="bullet"/>
      <w:lvlText w:val=""/>
      <w:lvlJc w:val="left"/>
      <w:pPr>
        <w:ind w:left="286" w:hanging="286"/>
      </w:pPr>
      <w:rPr>
        <w:rFonts w:ascii="Symbol" w:eastAsia="Symbol" w:hAnsi="Symbol" w:cs="Symbol" w:hint="default"/>
        <w:w w:val="100"/>
        <w:sz w:val="22"/>
        <w:szCs w:val="22"/>
        <w:lang w:val="es-ES" w:eastAsia="en-US" w:bidi="ar-SA"/>
      </w:rPr>
    </w:lvl>
    <w:lvl w:ilvl="1" w:tplc="C09E1E72">
      <w:numFmt w:val="bullet"/>
      <w:lvlText w:val="•"/>
      <w:lvlJc w:val="left"/>
      <w:pPr>
        <w:ind w:left="948" w:hanging="286"/>
      </w:pPr>
      <w:rPr>
        <w:rFonts w:hint="default"/>
        <w:lang w:val="es-ES" w:eastAsia="en-US" w:bidi="ar-SA"/>
      </w:rPr>
    </w:lvl>
    <w:lvl w:ilvl="2" w:tplc="3C7E1406">
      <w:numFmt w:val="bullet"/>
      <w:lvlText w:val="•"/>
      <w:lvlJc w:val="left"/>
      <w:pPr>
        <w:ind w:left="1613" w:hanging="286"/>
      </w:pPr>
      <w:rPr>
        <w:rFonts w:hint="default"/>
        <w:lang w:val="es-ES" w:eastAsia="en-US" w:bidi="ar-SA"/>
      </w:rPr>
    </w:lvl>
    <w:lvl w:ilvl="3" w:tplc="7D88320A">
      <w:numFmt w:val="bullet"/>
      <w:lvlText w:val="•"/>
      <w:lvlJc w:val="left"/>
      <w:pPr>
        <w:ind w:left="2278" w:hanging="286"/>
      </w:pPr>
      <w:rPr>
        <w:rFonts w:hint="default"/>
        <w:lang w:val="es-ES" w:eastAsia="en-US" w:bidi="ar-SA"/>
      </w:rPr>
    </w:lvl>
    <w:lvl w:ilvl="4" w:tplc="2C3A22FC">
      <w:numFmt w:val="bullet"/>
      <w:lvlText w:val="•"/>
      <w:lvlJc w:val="left"/>
      <w:pPr>
        <w:ind w:left="2943" w:hanging="286"/>
      </w:pPr>
      <w:rPr>
        <w:rFonts w:hint="default"/>
        <w:lang w:val="es-ES" w:eastAsia="en-US" w:bidi="ar-SA"/>
      </w:rPr>
    </w:lvl>
    <w:lvl w:ilvl="5" w:tplc="6D22163C">
      <w:numFmt w:val="bullet"/>
      <w:lvlText w:val="•"/>
      <w:lvlJc w:val="left"/>
      <w:pPr>
        <w:ind w:left="3608" w:hanging="286"/>
      </w:pPr>
      <w:rPr>
        <w:rFonts w:hint="default"/>
        <w:lang w:val="es-ES" w:eastAsia="en-US" w:bidi="ar-SA"/>
      </w:rPr>
    </w:lvl>
    <w:lvl w:ilvl="6" w:tplc="576407B2">
      <w:numFmt w:val="bullet"/>
      <w:lvlText w:val="•"/>
      <w:lvlJc w:val="left"/>
      <w:pPr>
        <w:ind w:left="4273" w:hanging="286"/>
      </w:pPr>
      <w:rPr>
        <w:rFonts w:hint="default"/>
        <w:lang w:val="es-ES" w:eastAsia="en-US" w:bidi="ar-SA"/>
      </w:rPr>
    </w:lvl>
    <w:lvl w:ilvl="7" w:tplc="776600F8">
      <w:numFmt w:val="bullet"/>
      <w:lvlText w:val="•"/>
      <w:lvlJc w:val="left"/>
      <w:pPr>
        <w:ind w:left="4938" w:hanging="286"/>
      </w:pPr>
      <w:rPr>
        <w:rFonts w:hint="default"/>
        <w:lang w:val="es-ES" w:eastAsia="en-US" w:bidi="ar-SA"/>
      </w:rPr>
    </w:lvl>
    <w:lvl w:ilvl="8" w:tplc="85FC9E5A">
      <w:numFmt w:val="bullet"/>
      <w:lvlText w:val="•"/>
      <w:lvlJc w:val="left"/>
      <w:pPr>
        <w:ind w:left="5603" w:hanging="286"/>
      </w:pPr>
      <w:rPr>
        <w:rFonts w:hint="default"/>
        <w:lang w:val="es-ES" w:eastAsia="en-US" w:bidi="ar-SA"/>
      </w:rPr>
    </w:lvl>
  </w:abstractNum>
  <w:abstractNum w:abstractNumId="8" w15:restartNumberingAfterBreak="0">
    <w:nsid w:val="2FD259B6"/>
    <w:multiLevelType w:val="hybridMultilevel"/>
    <w:tmpl w:val="7A045872"/>
    <w:lvl w:ilvl="0" w:tplc="9594D2D2">
      <w:start w:val="2"/>
      <w:numFmt w:val="bullet"/>
      <w:lvlText w:val="-"/>
      <w:lvlJc w:val="left"/>
      <w:pPr>
        <w:ind w:left="720" w:hanging="360"/>
      </w:pPr>
      <w:rPr>
        <w:rFonts w:ascii="Calibri" w:eastAsia="Trebuchet MS" w:hAnsi="Calibri" w:cstheme="minorHAns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F36606"/>
    <w:multiLevelType w:val="hybridMultilevel"/>
    <w:tmpl w:val="8D9ADA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AC2DD4"/>
    <w:multiLevelType w:val="hybridMultilevel"/>
    <w:tmpl w:val="BEFEAB5E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0291C73"/>
    <w:multiLevelType w:val="hybridMultilevel"/>
    <w:tmpl w:val="2BDA969A"/>
    <w:lvl w:ilvl="0" w:tplc="1276766C">
      <w:numFmt w:val="bullet"/>
      <w:lvlText w:val=""/>
      <w:lvlJc w:val="left"/>
      <w:pPr>
        <w:ind w:left="302" w:hanging="423"/>
      </w:pPr>
      <w:rPr>
        <w:rFonts w:ascii="Symbol" w:eastAsia="Symbol" w:hAnsi="Symbol" w:cs="Symbol" w:hint="default"/>
        <w:w w:val="100"/>
        <w:sz w:val="22"/>
        <w:szCs w:val="22"/>
        <w:lang w:val="es-ES" w:eastAsia="en-US" w:bidi="ar-SA"/>
      </w:rPr>
    </w:lvl>
    <w:lvl w:ilvl="1" w:tplc="AA1C9006">
      <w:numFmt w:val="bullet"/>
      <w:lvlText w:val="•"/>
      <w:lvlJc w:val="left"/>
      <w:pPr>
        <w:ind w:left="983" w:hanging="423"/>
      </w:pPr>
      <w:rPr>
        <w:rFonts w:hint="default"/>
        <w:lang w:val="es-ES" w:eastAsia="en-US" w:bidi="ar-SA"/>
      </w:rPr>
    </w:lvl>
    <w:lvl w:ilvl="2" w:tplc="9ABA80E0">
      <w:numFmt w:val="bullet"/>
      <w:lvlText w:val="•"/>
      <w:lvlJc w:val="left"/>
      <w:pPr>
        <w:ind w:left="1666" w:hanging="423"/>
      </w:pPr>
      <w:rPr>
        <w:rFonts w:hint="default"/>
        <w:lang w:val="es-ES" w:eastAsia="en-US" w:bidi="ar-SA"/>
      </w:rPr>
    </w:lvl>
    <w:lvl w:ilvl="3" w:tplc="AE964C64">
      <w:numFmt w:val="bullet"/>
      <w:lvlText w:val="•"/>
      <w:lvlJc w:val="left"/>
      <w:pPr>
        <w:ind w:left="2349" w:hanging="423"/>
      </w:pPr>
      <w:rPr>
        <w:rFonts w:hint="default"/>
        <w:lang w:val="es-ES" w:eastAsia="en-US" w:bidi="ar-SA"/>
      </w:rPr>
    </w:lvl>
    <w:lvl w:ilvl="4" w:tplc="1274348C">
      <w:numFmt w:val="bullet"/>
      <w:lvlText w:val="•"/>
      <w:lvlJc w:val="left"/>
      <w:pPr>
        <w:ind w:left="3032" w:hanging="423"/>
      </w:pPr>
      <w:rPr>
        <w:rFonts w:hint="default"/>
        <w:lang w:val="es-ES" w:eastAsia="en-US" w:bidi="ar-SA"/>
      </w:rPr>
    </w:lvl>
    <w:lvl w:ilvl="5" w:tplc="5E984F62">
      <w:numFmt w:val="bullet"/>
      <w:lvlText w:val="•"/>
      <w:lvlJc w:val="left"/>
      <w:pPr>
        <w:ind w:left="3715" w:hanging="423"/>
      </w:pPr>
      <w:rPr>
        <w:rFonts w:hint="default"/>
        <w:lang w:val="es-ES" w:eastAsia="en-US" w:bidi="ar-SA"/>
      </w:rPr>
    </w:lvl>
    <w:lvl w:ilvl="6" w:tplc="DB1E8786">
      <w:numFmt w:val="bullet"/>
      <w:lvlText w:val="•"/>
      <w:lvlJc w:val="left"/>
      <w:pPr>
        <w:ind w:left="4398" w:hanging="423"/>
      </w:pPr>
      <w:rPr>
        <w:rFonts w:hint="default"/>
        <w:lang w:val="es-ES" w:eastAsia="en-US" w:bidi="ar-SA"/>
      </w:rPr>
    </w:lvl>
    <w:lvl w:ilvl="7" w:tplc="9B6885DE">
      <w:numFmt w:val="bullet"/>
      <w:lvlText w:val="•"/>
      <w:lvlJc w:val="left"/>
      <w:pPr>
        <w:ind w:left="5081" w:hanging="423"/>
      </w:pPr>
      <w:rPr>
        <w:rFonts w:hint="default"/>
        <w:lang w:val="es-ES" w:eastAsia="en-US" w:bidi="ar-SA"/>
      </w:rPr>
    </w:lvl>
    <w:lvl w:ilvl="8" w:tplc="22E4E11A">
      <w:numFmt w:val="bullet"/>
      <w:lvlText w:val="•"/>
      <w:lvlJc w:val="left"/>
      <w:pPr>
        <w:ind w:left="5764" w:hanging="423"/>
      </w:pPr>
      <w:rPr>
        <w:rFonts w:hint="default"/>
        <w:lang w:val="es-ES" w:eastAsia="en-US" w:bidi="ar-SA"/>
      </w:rPr>
    </w:lvl>
  </w:abstractNum>
  <w:abstractNum w:abstractNumId="12" w15:restartNumberingAfterBreak="0">
    <w:nsid w:val="47F724F4"/>
    <w:multiLevelType w:val="hybridMultilevel"/>
    <w:tmpl w:val="908E35D8"/>
    <w:lvl w:ilvl="0" w:tplc="0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073DAE"/>
    <w:multiLevelType w:val="hybridMultilevel"/>
    <w:tmpl w:val="E6E09C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1A475F"/>
    <w:multiLevelType w:val="hybridMultilevel"/>
    <w:tmpl w:val="A6BABCE0"/>
    <w:lvl w:ilvl="0" w:tplc="5FEECB62">
      <w:numFmt w:val="bullet"/>
      <w:lvlText w:val=""/>
      <w:lvlJc w:val="left"/>
      <w:pPr>
        <w:ind w:left="554" w:hanging="284"/>
      </w:pPr>
      <w:rPr>
        <w:rFonts w:ascii="Symbol" w:eastAsia="Symbol" w:hAnsi="Symbol" w:cs="Symbol" w:hint="default"/>
        <w:w w:val="100"/>
        <w:sz w:val="22"/>
        <w:szCs w:val="22"/>
        <w:lang w:val="es-ES" w:eastAsia="en-US" w:bidi="ar-SA"/>
      </w:rPr>
    </w:lvl>
    <w:lvl w:ilvl="1" w:tplc="26224886">
      <w:numFmt w:val="bullet"/>
      <w:lvlText w:val="•"/>
      <w:lvlJc w:val="left"/>
      <w:pPr>
        <w:ind w:left="1217" w:hanging="284"/>
      </w:pPr>
      <w:rPr>
        <w:rFonts w:hint="default"/>
        <w:lang w:val="es-ES" w:eastAsia="en-US" w:bidi="ar-SA"/>
      </w:rPr>
    </w:lvl>
    <w:lvl w:ilvl="2" w:tplc="B0B0E65C">
      <w:numFmt w:val="bullet"/>
      <w:lvlText w:val="•"/>
      <w:lvlJc w:val="left"/>
      <w:pPr>
        <w:ind w:left="1874" w:hanging="284"/>
      </w:pPr>
      <w:rPr>
        <w:rFonts w:hint="default"/>
        <w:lang w:val="es-ES" w:eastAsia="en-US" w:bidi="ar-SA"/>
      </w:rPr>
    </w:lvl>
    <w:lvl w:ilvl="3" w:tplc="E67221B8">
      <w:numFmt w:val="bullet"/>
      <w:lvlText w:val="•"/>
      <w:lvlJc w:val="left"/>
      <w:pPr>
        <w:ind w:left="2531" w:hanging="284"/>
      </w:pPr>
      <w:rPr>
        <w:rFonts w:hint="default"/>
        <w:lang w:val="es-ES" w:eastAsia="en-US" w:bidi="ar-SA"/>
      </w:rPr>
    </w:lvl>
    <w:lvl w:ilvl="4" w:tplc="0F9A0E2C">
      <w:numFmt w:val="bullet"/>
      <w:lvlText w:val="•"/>
      <w:lvlJc w:val="left"/>
      <w:pPr>
        <w:ind w:left="3188" w:hanging="284"/>
      </w:pPr>
      <w:rPr>
        <w:rFonts w:hint="default"/>
        <w:lang w:val="es-ES" w:eastAsia="en-US" w:bidi="ar-SA"/>
      </w:rPr>
    </w:lvl>
    <w:lvl w:ilvl="5" w:tplc="FF3E7B32">
      <w:numFmt w:val="bullet"/>
      <w:lvlText w:val="•"/>
      <w:lvlJc w:val="left"/>
      <w:pPr>
        <w:ind w:left="3845" w:hanging="284"/>
      </w:pPr>
      <w:rPr>
        <w:rFonts w:hint="default"/>
        <w:lang w:val="es-ES" w:eastAsia="en-US" w:bidi="ar-SA"/>
      </w:rPr>
    </w:lvl>
    <w:lvl w:ilvl="6" w:tplc="B65A5246">
      <w:numFmt w:val="bullet"/>
      <w:lvlText w:val="•"/>
      <w:lvlJc w:val="left"/>
      <w:pPr>
        <w:ind w:left="4502" w:hanging="284"/>
      </w:pPr>
      <w:rPr>
        <w:rFonts w:hint="default"/>
        <w:lang w:val="es-ES" w:eastAsia="en-US" w:bidi="ar-SA"/>
      </w:rPr>
    </w:lvl>
    <w:lvl w:ilvl="7" w:tplc="DCA6831C">
      <w:numFmt w:val="bullet"/>
      <w:lvlText w:val="•"/>
      <w:lvlJc w:val="left"/>
      <w:pPr>
        <w:ind w:left="5159" w:hanging="284"/>
      </w:pPr>
      <w:rPr>
        <w:rFonts w:hint="default"/>
        <w:lang w:val="es-ES" w:eastAsia="en-US" w:bidi="ar-SA"/>
      </w:rPr>
    </w:lvl>
    <w:lvl w:ilvl="8" w:tplc="4A0AD1F6">
      <w:numFmt w:val="bullet"/>
      <w:lvlText w:val="•"/>
      <w:lvlJc w:val="left"/>
      <w:pPr>
        <w:ind w:left="5816" w:hanging="284"/>
      </w:pPr>
      <w:rPr>
        <w:rFonts w:hint="default"/>
        <w:lang w:val="es-ES" w:eastAsia="en-US" w:bidi="ar-SA"/>
      </w:rPr>
    </w:lvl>
  </w:abstractNum>
  <w:abstractNum w:abstractNumId="15" w15:restartNumberingAfterBreak="0">
    <w:nsid w:val="59A134EA"/>
    <w:multiLevelType w:val="hybridMultilevel"/>
    <w:tmpl w:val="88EC41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1E51C4"/>
    <w:multiLevelType w:val="hybridMultilevel"/>
    <w:tmpl w:val="1570AF4A"/>
    <w:lvl w:ilvl="0" w:tplc="20F0FF4C">
      <w:start w:val="1"/>
      <w:numFmt w:val="decimal"/>
      <w:lvlText w:val="%1."/>
      <w:lvlJc w:val="left"/>
      <w:pPr>
        <w:ind w:left="360" w:hanging="360"/>
      </w:pPr>
      <w:rPr>
        <w:rFonts w:hint="default"/>
        <w:color w:val="404040" w:themeColor="text1" w:themeTint="BF"/>
        <w:sz w:val="36"/>
        <w:szCs w:val="36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1"/>
  </w:num>
  <w:num w:numId="2">
    <w:abstractNumId w:val="7"/>
  </w:num>
  <w:num w:numId="3">
    <w:abstractNumId w:val="14"/>
  </w:num>
  <w:num w:numId="4">
    <w:abstractNumId w:val="1"/>
  </w:num>
  <w:num w:numId="5">
    <w:abstractNumId w:val="6"/>
  </w:num>
  <w:num w:numId="6">
    <w:abstractNumId w:val="4"/>
  </w:num>
  <w:num w:numId="7">
    <w:abstractNumId w:val="10"/>
  </w:num>
  <w:num w:numId="8">
    <w:abstractNumId w:val="16"/>
  </w:num>
  <w:num w:numId="9">
    <w:abstractNumId w:val="2"/>
  </w:num>
  <w:num w:numId="10">
    <w:abstractNumId w:val="8"/>
  </w:num>
  <w:num w:numId="11">
    <w:abstractNumId w:val="12"/>
  </w:num>
  <w:num w:numId="12">
    <w:abstractNumId w:val="0"/>
  </w:num>
  <w:num w:numId="13">
    <w:abstractNumId w:val="3"/>
  </w:num>
  <w:num w:numId="14">
    <w:abstractNumId w:val="9"/>
  </w:num>
  <w:num w:numId="15">
    <w:abstractNumId w:val="15"/>
  </w:num>
  <w:num w:numId="16">
    <w:abstractNumId w:val="13"/>
  </w:num>
  <w:num w:numId="17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972"/>
    <w:rsid w:val="0001110E"/>
    <w:rsid w:val="00026204"/>
    <w:rsid w:val="0002652A"/>
    <w:rsid w:val="0003496F"/>
    <w:rsid w:val="00051712"/>
    <w:rsid w:val="00053707"/>
    <w:rsid w:val="00053DD3"/>
    <w:rsid w:val="00076E94"/>
    <w:rsid w:val="00077A8B"/>
    <w:rsid w:val="000829C6"/>
    <w:rsid w:val="00097B1B"/>
    <w:rsid w:val="000B78E2"/>
    <w:rsid w:val="000E0A76"/>
    <w:rsid w:val="000E7E87"/>
    <w:rsid w:val="000F2243"/>
    <w:rsid w:val="00106513"/>
    <w:rsid w:val="0011075A"/>
    <w:rsid w:val="00117401"/>
    <w:rsid w:val="00156C0C"/>
    <w:rsid w:val="001744C3"/>
    <w:rsid w:val="001746A7"/>
    <w:rsid w:val="0017791A"/>
    <w:rsid w:val="0018629D"/>
    <w:rsid w:val="001B4433"/>
    <w:rsid w:val="001C0507"/>
    <w:rsid w:val="001D682D"/>
    <w:rsid w:val="001E2D03"/>
    <w:rsid w:val="002069EE"/>
    <w:rsid w:val="00210053"/>
    <w:rsid w:val="00221607"/>
    <w:rsid w:val="00223C9E"/>
    <w:rsid w:val="00234F17"/>
    <w:rsid w:val="002357A2"/>
    <w:rsid w:val="00245A0B"/>
    <w:rsid w:val="0025005B"/>
    <w:rsid w:val="002524E3"/>
    <w:rsid w:val="00266523"/>
    <w:rsid w:val="00274F48"/>
    <w:rsid w:val="00276B19"/>
    <w:rsid w:val="00282302"/>
    <w:rsid w:val="00282830"/>
    <w:rsid w:val="002833F8"/>
    <w:rsid w:val="002927FE"/>
    <w:rsid w:val="00293BF2"/>
    <w:rsid w:val="002C19ED"/>
    <w:rsid w:val="002E73E9"/>
    <w:rsid w:val="002F1AEC"/>
    <w:rsid w:val="002F7490"/>
    <w:rsid w:val="003213A7"/>
    <w:rsid w:val="003345B0"/>
    <w:rsid w:val="003414CC"/>
    <w:rsid w:val="00347242"/>
    <w:rsid w:val="003A6529"/>
    <w:rsid w:val="003A70A5"/>
    <w:rsid w:val="003B50C7"/>
    <w:rsid w:val="003C334E"/>
    <w:rsid w:val="004050C7"/>
    <w:rsid w:val="00424BD7"/>
    <w:rsid w:val="004570A7"/>
    <w:rsid w:val="004613E8"/>
    <w:rsid w:val="00463C13"/>
    <w:rsid w:val="00470530"/>
    <w:rsid w:val="00475AB8"/>
    <w:rsid w:val="00485DD9"/>
    <w:rsid w:val="00492DFB"/>
    <w:rsid w:val="00495085"/>
    <w:rsid w:val="00495F55"/>
    <w:rsid w:val="004B4422"/>
    <w:rsid w:val="004F50D9"/>
    <w:rsid w:val="005331F0"/>
    <w:rsid w:val="0056053C"/>
    <w:rsid w:val="00581F27"/>
    <w:rsid w:val="005977A8"/>
    <w:rsid w:val="005A141A"/>
    <w:rsid w:val="005C27BB"/>
    <w:rsid w:val="005C6F90"/>
    <w:rsid w:val="005E38DD"/>
    <w:rsid w:val="0061138A"/>
    <w:rsid w:val="00615836"/>
    <w:rsid w:val="006258F2"/>
    <w:rsid w:val="00630D42"/>
    <w:rsid w:val="00656E99"/>
    <w:rsid w:val="00661498"/>
    <w:rsid w:val="006630ED"/>
    <w:rsid w:val="006944E9"/>
    <w:rsid w:val="006A1B26"/>
    <w:rsid w:val="006C01C6"/>
    <w:rsid w:val="006C1EA4"/>
    <w:rsid w:val="006C3EED"/>
    <w:rsid w:val="006E20F8"/>
    <w:rsid w:val="006F13FD"/>
    <w:rsid w:val="006F147C"/>
    <w:rsid w:val="006F52DA"/>
    <w:rsid w:val="00723AFC"/>
    <w:rsid w:val="00727969"/>
    <w:rsid w:val="00733C47"/>
    <w:rsid w:val="00735B1D"/>
    <w:rsid w:val="00744C62"/>
    <w:rsid w:val="00761287"/>
    <w:rsid w:val="00794DA2"/>
    <w:rsid w:val="007A0C42"/>
    <w:rsid w:val="007B0E07"/>
    <w:rsid w:val="007B46D9"/>
    <w:rsid w:val="007C6156"/>
    <w:rsid w:val="007E3CDC"/>
    <w:rsid w:val="00804912"/>
    <w:rsid w:val="00807269"/>
    <w:rsid w:val="0081087A"/>
    <w:rsid w:val="0083171B"/>
    <w:rsid w:val="008430A1"/>
    <w:rsid w:val="00862233"/>
    <w:rsid w:val="00871FF1"/>
    <w:rsid w:val="00895DCF"/>
    <w:rsid w:val="008A25A2"/>
    <w:rsid w:val="008B6316"/>
    <w:rsid w:val="008C2F42"/>
    <w:rsid w:val="008E3459"/>
    <w:rsid w:val="008F3D92"/>
    <w:rsid w:val="009001EE"/>
    <w:rsid w:val="00911017"/>
    <w:rsid w:val="00915C57"/>
    <w:rsid w:val="009421CE"/>
    <w:rsid w:val="00942A43"/>
    <w:rsid w:val="0094503C"/>
    <w:rsid w:val="00945DAF"/>
    <w:rsid w:val="00950A72"/>
    <w:rsid w:val="00960E78"/>
    <w:rsid w:val="00966504"/>
    <w:rsid w:val="0096693A"/>
    <w:rsid w:val="00973552"/>
    <w:rsid w:val="00975E9C"/>
    <w:rsid w:val="00982F84"/>
    <w:rsid w:val="009856EC"/>
    <w:rsid w:val="009B5435"/>
    <w:rsid w:val="009C625D"/>
    <w:rsid w:val="009D352F"/>
    <w:rsid w:val="009E2B2B"/>
    <w:rsid w:val="009E63A1"/>
    <w:rsid w:val="00A024DB"/>
    <w:rsid w:val="00A41A4B"/>
    <w:rsid w:val="00A47F6C"/>
    <w:rsid w:val="00A67685"/>
    <w:rsid w:val="00A7344C"/>
    <w:rsid w:val="00A73610"/>
    <w:rsid w:val="00A75E73"/>
    <w:rsid w:val="00A75ECC"/>
    <w:rsid w:val="00A76E2C"/>
    <w:rsid w:val="00A80265"/>
    <w:rsid w:val="00A8227F"/>
    <w:rsid w:val="00A86BB5"/>
    <w:rsid w:val="00A92D07"/>
    <w:rsid w:val="00A93FDB"/>
    <w:rsid w:val="00A97F03"/>
    <w:rsid w:val="00AC1BFC"/>
    <w:rsid w:val="00AF0F9D"/>
    <w:rsid w:val="00AF7410"/>
    <w:rsid w:val="00AF7A9F"/>
    <w:rsid w:val="00B0200B"/>
    <w:rsid w:val="00B06DD2"/>
    <w:rsid w:val="00B21D74"/>
    <w:rsid w:val="00B3608E"/>
    <w:rsid w:val="00B371C3"/>
    <w:rsid w:val="00B575CC"/>
    <w:rsid w:val="00B62145"/>
    <w:rsid w:val="00BA34C0"/>
    <w:rsid w:val="00BA4E18"/>
    <w:rsid w:val="00BB0B88"/>
    <w:rsid w:val="00BB5701"/>
    <w:rsid w:val="00BB7F03"/>
    <w:rsid w:val="00BE3209"/>
    <w:rsid w:val="00BF40C0"/>
    <w:rsid w:val="00C010CC"/>
    <w:rsid w:val="00C04FBD"/>
    <w:rsid w:val="00C346CB"/>
    <w:rsid w:val="00C5773E"/>
    <w:rsid w:val="00C74C8A"/>
    <w:rsid w:val="00C7638A"/>
    <w:rsid w:val="00C77DB2"/>
    <w:rsid w:val="00C82416"/>
    <w:rsid w:val="00CA47BD"/>
    <w:rsid w:val="00CB602D"/>
    <w:rsid w:val="00CC4330"/>
    <w:rsid w:val="00CD35A5"/>
    <w:rsid w:val="00CD469C"/>
    <w:rsid w:val="00CE71A3"/>
    <w:rsid w:val="00D0686E"/>
    <w:rsid w:val="00D142BD"/>
    <w:rsid w:val="00D95B8C"/>
    <w:rsid w:val="00DA1686"/>
    <w:rsid w:val="00DB160B"/>
    <w:rsid w:val="00DC4972"/>
    <w:rsid w:val="00DC4B53"/>
    <w:rsid w:val="00DC4F8D"/>
    <w:rsid w:val="00DC593B"/>
    <w:rsid w:val="00DD7EE5"/>
    <w:rsid w:val="00DE0AA3"/>
    <w:rsid w:val="00DE17FD"/>
    <w:rsid w:val="00E01BCC"/>
    <w:rsid w:val="00E10503"/>
    <w:rsid w:val="00E1466E"/>
    <w:rsid w:val="00E261DB"/>
    <w:rsid w:val="00E27009"/>
    <w:rsid w:val="00E32EE5"/>
    <w:rsid w:val="00E340B1"/>
    <w:rsid w:val="00E341D7"/>
    <w:rsid w:val="00E57354"/>
    <w:rsid w:val="00E5790B"/>
    <w:rsid w:val="00E6368B"/>
    <w:rsid w:val="00E764DC"/>
    <w:rsid w:val="00EB4E4C"/>
    <w:rsid w:val="00EF3479"/>
    <w:rsid w:val="00F05D17"/>
    <w:rsid w:val="00F125B6"/>
    <w:rsid w:val="00F22801"/>
    <w:rsid w:val="00F3434B"/>
    <w:rsid w:val="00F40A50"/>
    <w:rsid w:val="00F42C8C"/>
    <w:rsid w:val="00F55FC1"/>
    <w:rsid w:val="00F60E1D"/>
    <w:rsid w:val="00F62AAC"/>
    <w:rsid w:val="00F66F37"/>
    <w:rsid w:val="00FA723E"/>
    <w:rsid w:val="00FC58B8"/>
    <w:rsid w:val="00FE53FF"/>
    <w:rsid w:val="00FF5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6CE75"/>
  <w15:docId w15:val="{0415D1C9-174B-43CE-AE47-D4BA29B7D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spacing w:before="77"/>
      <w:ind w:left="242"/>
      <w:outlineLvl w:val="0"/>
    </w:pPr>
    <w:rPr>
      <w:rFonts w:ascii="Caladea" w:eastAsia="Caladea" w:hAnsi="Caladea" w:cs="Caladea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38"/>
      <w:ind w:left="950"/>
      <w:outlineLvl w:val="1"/>
    </w:pPr>
    <w:rPr>
      <w:rFonts w:ascii="Carlito" w:eastAsia="Carlito" w:hAnsi="Carlito" w:cs="Carlito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808"/>
      <w:outlineLvl w:val="2"/>
    </w:pPr>
    <w:rPr>
      <w:rFonts w:ascii="Carlito" w:eastAsia="Carlito" w:hAnsi="Carlito" w:cs="Carlito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Prrafodelista">
    <w:name w:val="List Paragraph"/>
    <w:basedOn w:val="Normal"/>
    <w:uiPriority w:val="34"/>
    <w:qFormat/>
    <w:pPr>
      <w:ind w:left="1141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Textodeglobo">
    <w:name w:val="Balloon Text"/>
    <w:basedOn w:val="Normal"/>
    <w:link w:val="TextodegloboCar"/>
    <w:uiPriority w:val="99"/>
    <w:semiHidden/>
    <w:unhideWhenUsed/>
    <w:rsid w:val="003A652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A6529"/>
    <w:rPr>
      <w:rFonts w:ascii="Segoe UI" w:eastAsia="Trebuchet MS" w:hAnsi="Segoe UI" w:cs="Segoe UI"/>
      <w:sz w:val="18"/>
      <w:szCs w:val="18"/>
      <w:lang w:val="es-ES"/>
    </w:rPr>
  </w:style>
  <w:style w:type="character" w:styleId="Hipervnculo">
    <w:name w:val="Hyperlink"/>
    <w:basedOn w:val="Fuentedeprrafopredeter"/>
    <w:uiPriority w:val="99"/>
    <w:unhideWhenUsed/>
    <w:rsid w:val="003A6529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A6529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3A652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A6529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A6529"/>
    <w:rPr>
      <w:rFonts w:ascii="Trebuchet MS" w:eastAsia="Trebuchet MS" w:hAnsi="Trebuchet MS" w:cs="Trebuchet MS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A652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A6529"/>
    <w:rPr>
      <w:rFonts w:ascii="Trebuchet MS" w:eastAsia="Trebuchet MS" w:hAnsi="Trebuchet MS" w:cs="Trebuchet MS"/>
      <w:b/>
      <w:bCs/>
      <w:sz w:val="20"/>
      <w:szCs w:val="20"/>
      <w:lang w:val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FF51B7"/>
    <w:rPr>
      <w:color w:val="800080" w:themeColor="followedHyperlink"/>
      <w:u w:val="single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B0200B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B0200B"/>
    <w:rPr>
      <w:rFonts w:ascii="Trebuchet MS" w:eastAsia="Trebuchet MS" w:hAnsi="Trebuchet MS" w:cs="Trebuchet MS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B0200B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unhideWhenUsed/>
    <w:rsid w:val="00B0200B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B0200B"/>
    <w:rPr>
      <w:rFonts w:ascii="Trebuchet MS" w:eastAsia="Trebuchet MS" w:hAnsi="Trebuchet MS" w:cs="Trebuchet MS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B0200B"/>
    <w:rPr>
      <w:vertAlign w:val="superscript"/>
    </w:rPr>
  </w:style>
  <w:style w:type="paragraph" w:styleId="Sinespaciado">
    <w:name w:val="No Spacing"/>
    <w:uiPriority w:val="1"/>
    <w:qFormat/>
    <w:rsid w:val="00470530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340B1"/>
    <w:rPr>
      <w:rFonts w:ascii="Trebuchet MS" w:eastAsia="Trebuchet MS" w:hAnsi="Trebuchet MS" w:cs="Trebuchet MS"/>
      <w:lang w:val="es-ES"/>
    </w:rPr>
  </w:style>
  <w:style w:type="table" w:styleId="Tablaconcuadrcula">
    <w:name w:val="Table Grid"/>
    <w:basedOn w:val="Tablanormal"/>
    <w:uiPriority w:val="39"/>
    <w:rsid w:val="00156C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95F5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95F55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95F5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95F55"/>
    <w:rPr>
      <w:rFonts w:ascii="Trebuchet MS" w:eastAsia="Trebuchet MS" w:hAnsi="Trebuchet MS" w:cs="Trebuchet MS"/>
      <w:lang w:val="es-ES"/>
    </w:rPr>
  </w:style>
  <w:style w:type="character" w:styleId="Mencinsinresolver">
    <w:name w:val="Unresolved Mention"/>
    <w:basedOn w:val="Fuentedeprrafopredeter"/>
    <w:uiPriority w:val="99"/>
    <w:rsid w:val="00945D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1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8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84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812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60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49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urosario.edu.co/Reglamento-Formativo-Preventivo-Disciplinario/Inicio/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23" Type="http://schemas.openxmlformats.org/officeDocument/2006/relationships/header" Target="header1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L1" Type="http://schemas.openxmlformats.org/officeDocument/2006/relationships/hyperlink" Target="https://juccaicedoac03.github.io/Desarrollo-Evaluacion-Modelos/" TargetMode="External"/><Relationship Id="rIdL2" Type="http://schemas.openxmlformats.org/officeDocument/2006/relationships/hyperlink" Target="https://github.com/juccaicedoac03/Desarrollo-Evaluacion-Modelos" TargetMode="External"/><Relationship Id="rIdL3" Type="http://schemas.openxmlformats.org/officeDocument/2006/relationships/hyperlink" Target="https://rasa.com/docs/" TargetMode="External"/><Relationship Id="rIdL4" Type="http://schemas.openxmlformats.org/officeDocument/2006/relationships/hyperlink" Target="https://cloud.google.com/dialogflow/cx/docs" TargetMode="External"/><Relationship Id="rIdL5" Type="http://schemas.openxmlformats.org/officeDocument/2006/relationships/hyperlink" Target="https://doi.org/10.18653/v1/N19-1423" TargetMode="External"/><Relationship Id="rIdL6" Type="http://schemas.openxmlformats.org/officeDocument/2006/relationships/hyperlink" Target="https://www.deeplearningbook.org/" TargetMode="External"/><Relationship Id="rIdL7" Type="http://schemas.openxmlformats.org/officeDocument/2006/relationships/hyperlink" Target="https://developers.google.com/machine-learning/crash-course" TargetMode="External"/><Relationship Id="rIdL8" Type="http://schemas.openxmlformats.org/officeDocument/2006/relationships/hyperlink" Target="https://digital-strategy.ec.europa.eu/en/library/ethics-guidelines-trustworthy-ai" TargetMode="External"/><Relationship Id="rIdL9" Type="http://schemas.openxmlformats.org/officeDocument/2006/relationships/hyperlink" Target="https://web.stanford.edu/~jurafsky/slp3/" TargetMode="External"/><Relationship Id="rIdL10" Type="http://schemas.openxmlformats.org/officeDocument/2006/relationships/hyperlink" Target="https://arxiv.org/abs/1312.6114" TargetMode="External"/><Relationship Id="rIdL11" Type="http://schemas.openxmlformats.org/officeDocument/2006/relationships/hyperlink" Target="https://platform.openai.com/docs/guides/fine-tuning" TargetMode="External"/><Relationship Id="rIdL12" Type="http://schemas.openxmlformats.org/officeDocument/2006/relationships/hyperlink" Target="https://cs230.stanford.edu/" TargetMode="External"/><Relationship Id="rIdL13" Type="http://schemas.openxmlformats.org/officeDocument/2006/relationships/hyperlink" Target="https://arxiv.org/abs/1706.03762" TargetMode="External"/><Relationship Id="rIdL14" Type="http://schemas.openxmlformats.org/officeDocument/2006/relationships/hyperlink" Target="https://doi.org/10.1145/3442188.3445922" TargetMode="External"/><Relationship Id="rIdL15" Type="http://schemas.openxmlformats.org/officeDocument/2006/relationships/hyperlink" Target="https://github.com/dccuchile/beto" TargetMode="External"/><Relationship Id="rIdL16" Type="http://schemas.openxmlformats.org/officeDocument/2006/relationships/hyperlink" Target="https://arxiv.org/abs/2305.14314" TargetMode="External"/><Relationship Id="rIdL17" Type="http://schemas.openxmlformats.org/officeDocument/2006/relationships/hyperlink" Target="https://doi.org/10.1145/3458723" TargetMode="External"/><Relationship Id="rIdL18" Type="http://schemas.openxmlformats.org/officeDocument/2006/relationships/hyperlink" Target="https://arxiv.org/abs/2106.09685" TargetMode="External"/><Relationship Id="rIdL19" Type="http://schemas.openxmlformats.org/officeDocument/2006/relationships/hyperlink" Target="https://huggingface.co/learn/llm-course" TargetMode="External"/><Relationship Id="rIdL20" Type="http://schemas.openxmlformats.org/officeDocument/2006/relationships/hyperlink" Target="https://arxiv.org/abs/2005.11401" TargetMode="External"/><Relationship Id="rIdL21" Type="http://schemas.openxmlformats.org/officeDocument/2006/relationships/hyperlink" Target="https://doi.org/10.1145/3287560.3287596" TargetMode="External"/><Relationship Id="rIdL22" Type="http://schemas.openxmlformats.org/officeDocument/2006/relationships/hyperlink" Target="https://doi.org/10.6028/NIST.AI.100-1" TargetMode="External"/><Relationship Id="rIdL23" Type="http://schemas.openxmlformats.org/officeDocument/2006/relationships/hyperlink" Target="https://eur-lex.europa.eu/eli/reg/2024/1689/oj" TargetMode="External"/><Relationship Id="rIdL24" Type="http://schemas.openxmlformats.org/officeDocument/2006/relationships/hyperlink" Target="https://doi.org/10.18653/v1/2020.acl-main.442" TargetMode="External"/><Relationship Id="rIdL25" Type="http://schemas.openxmlformats.org/officeDocument/2006/relationships/hyperlink" Target="https://adp.startti.ai/docs" TargetMode="External"/><Relationship Id="rIdL26" Type="http://schemas.openxmlformats.org/officeDocument/2006/relationships/hyperlink" Target="https://github.com/juccaicedoac03/Desarrollo-Evaluacion-Modelos/blob/main/docs/politica-uso-ia.m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A811E9-5FB3-4782-B3C4-A71307155E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3745</Words>
  <Characters>20603</Characters>
  <Application>Microsoft Office Word</Application>
  <DocSecurity>4</DocSecurity>
  <Lines>171</Lines>
  <Paragraphs>48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asignatura — Desarrollo y Evaluación de Modelos Propios</dc:title>
  <dc:subject/>
  <dc:creator>Julian Caicedo</dc:creator>
  <cp:keywords/>
  <dc:description/>
  <cp:lastModifiedBy>Julian Caicedo</cp:lastModifiedBy>
  <cp:revision>2</cp:revision>
  <dcterms:created xsi:type="dcterms:W3CDTF">2026-08-05T15:22:00Z</dcterms:created>
  <dcterms:modified xsi:type="dcterms:W3CDTF">2026-09-30T00:00:00Z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2016-04-04T00:00:00Z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2020-06-08T00:00:00Z</vt:filetime>
  </property>
</Properties>
</file>