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— LibraNet</w:t>
      </w:r>
    </w:p>
    <w:p>
      <w:r>
        <w:t>*Stand-alone chapter; a condensed version lives in the dissertation as Chapter 2. APA 7; the</w:t>
      </w:r>
    </w:p>
    <w:p>
      <w:r>
        <w:t xml:space="preserve">master list is </w:t>
      </w:r>
      <w:r>
        <w:rPr>
          <w:rFonts w:ascii="Consolas" w:hAnsi="Consolas"/>
          <w:sz w:val="18"/>
        </w:rPr>
        <w:t>04-final-report/09-references.md</w:t>
      </w:r>
      <w:r>
        <w:t>. Senyo-Dzattah Judah Agbemavor · PUIT/23110016 · [DATE]*</w:t>
      </w:r>
    </w:p>
    <w:p>
      <w:pPr>
        <w:pStyle w:val="Heading2"/>
      </w:pPr>
      <w:r>
        <w:t>1. From card catalogues to platforms</w:t>
      </w:r>
    </w:p>
    <w:p>
      <w:r>
        <w:t>Library automation began as the digitisation of the card catalogue and matured into the</w:t>
      </w:r>
    </w:p>
    <w:p>
      <w:r>
        <w:t>integrated library system (ILS): acquisitions, cataloguing, circulation and the public access</w:t>
      </w:r>
    </w:p>
    <w:p>
      <w:r>
        <w:t>catalogue in one package [4], [5]. The dominant open-source systems,</w:t>
      </w:r>
    </w:p>
    <w:p>
      <w:r>
        <w:rPr>
          <w:b/>
        </w:rPr>
        <w:t>Koha</w:t>
      </w:r>
      <w:r>
        <w:t xml:space="preserve"> (2000) and </w:t>
      </w:r>
      <w:r>
        <w:rPr>
          <w:b/>
        </w:rPr>
        <w:t>Evergreen</w:t>
      </w:r>
      <w:r>
        <w:t xml:space="preserve"> (2006), remain catalogue-era software: comprehensive in</w:t>
      </w:r>
    </w:p>
    <w:p>
      <w:r>
        <w:t>bibliographic depth (MARC record editing, Z39.50 import, union catalogues) but architected</w:t>
      </w:r>
    </w:p>
    <w:p>
      <w:r>
        <w:t xml:space="preserve">as </w:t>
      </w:r>
      <w:r>
        <w:rPr>
          <w:b/>
        </w:rPr>
        <w:t>one installation per institution</w:t>
      </w:r>
      <w:r>
        <w:t>, operated by that institution's own staff. Ayre</w:t>
      </w:r>
    </w:p>
    <w:p>
      <w:r>
        <w:t>(2016) documents how this deployment model — not licensing cost — is the real barrier for</w:t>
      </w:r>
    </w:p>
    <w:p>
      <w:r>
        <w:t>small libraries: someone must install, patch, back up and secure the system. The "Library 2.0"</w:t>
      </w:r>
    </w:p>
    <w:p>
      <w:r>
        <w:t>critique [6] pushed user participation and perpetual beta; Blyberg</w:t>
      </w:r>
    </w:p>
    <w:p>
      <w:r>
        <w:t>(2008) and others explored mashups over ILS APIs; Breeding's [2], [7] annual marketplace</w:t>
      </w:r>
    </w:p>
    <w:p>
      <w:r>
        <w:t>surveys show the professional response was centralised hosting consortia: vendors run Koha</w:t>
      </w:r>
    </w:p>
    <w:p>
      <w:r>
        <w:rPr>
          <w:i/>
        </w:rPr>
        <w:t>for</w:t>
      </w:r>
      <w:r>
        <w:t xml:space="preserve"> libraries. That move concedes the access point of this project: **operating the</w:t>
      </w:r>
    </w:p>
    <w:p>
      <w:r>
        <w:t>software was always the problem**; the natural end-state is a platform where libraries are</w:t>
      </w:r>
    </w:p>
    <w:p>
      <w:r>
        <w:t>tenants, not installers — precisely the model the literature on multi-tenancy analyses and</w:t>
      </w:r>
    </w:p>
    <w:p>
      <w:r>
        <w:t>the ILS literature barely touches.</w:t>
      </w:r>
    </w:p>
    <w:p>
      <w:r>
        <w:t>The IFLA Library Reference Model [8] additionally grounds modern catalogue design:</w:t>
      </w:r>
    </w:p>
    <w:p>
      <w:r>
        <w:t xml:space="preserve">users act on </w:t>
      </w:r>
      <w:r>
        <w:rPr>
          <w:i/>
        </w:rPr>
        <w:t>works/expressions</w:t>
      </w:r>
      <w:r>
        <w:t>, and discovery should follow user tasks (find, identify,</w:t>
      </w:r>
    </w:p>
    <w:p>
      <w:r>
        <w:t>select, obtain) rather than record fields — a framing this project reuses when designing</w:t>
      </w:r>
    </w:p>
    <w:p>
      <w:r>
        <w:t>natural-language search over holdings.</w:t>
      </w:r>
    </w:p>
    <w:p>
      <w:pPr>
        <w:pStyle w:val="Heading2"/>
      </w:pPr>
      <w:r>
        <w:t>2. Multi-tenant architecture: the core technical literature</w:t>
      </w:r>
    </w:p>
    <w:p>
      <w:r>
        <w:t>Chong, Carraro, and Wolter [9] set the canonical spectrum of multi-tenant data</w:t>
      </w:r>
    </w:p>
    <w:p>
      <w:r>
        <w:t>architectures — separate databases; shared database, separate schemas; shared schema with a</w:t>
      </w:r>
    </w:p>
    <w:p>
      <w:r>
        <w:t>tenant discriminator — trading isolation strength against cost per tenant. Bezemer and</w:t>
      </w:r>
    </w:p>
    <w:p>
      <w:r>
        <w:t>Zaidman (2010) warn that multi-tenancy without architectural discipline turns maintenance</w:t>
      </w:r>
    </w:p>
    <w:p>
      <w:r>
        <w:t>and upgrades into a nightmare as tenant-specific customisations accumulate; Krebs, Momm and</w:t>
      </w:r>
    </w:p>
    <w:p>
      <w:r>
        <w:t>Kounev (2012) catalog the resulting concerns: per-tenant performance isolation, security</w:t>
      </w:r>
    </w:p>
    <w:p>
      <w:r>
        <w:t xml:space="preserve">isolation, and the difficulty of </w:t>
      </w:r>
      <w:r>
        <w:rPr>
          <w:i/>
        </w:rPr>
        <w:t>proving</w:t>
      </w:r>
      <w:r>
        <w:t xml:space="preserve"> either. Their later empirical work</w:t>
      </w:r>
    </w:p>
    <w:p>
      <w:r>
        <w:t>[12] shows naive shared-schema applications leak performance and</w:t>
      </w:r>
    </w:p>
    <w:p>
      <w:r>
        <w:t>risk data exposure unless isolation is enforced deliberately at each layer.</w:t>
      </w:r>
    </w:p>
    <w:p>
      <w:r>
        <w:t>Three implementation families recur in the literature and industry practice:</w:t>
      </w:r>
    </w:p>
    <w:p>
      <w:pPr>
        <w:pStyle w:val="ListNumber"/>
      </w:pPr>
      <w:r>
        <w:rPr>
          <w:b/>
        </w:rPr>
        <w:t>Application-level filtering</w:t>
      </w:r>
      <w:r>
        <w:t xml:space="preserve"> (every query carries </w:t>
      </w:r>
      <w:r>
        <w:rPr>
          <w:rFonts w:ascii="Consolas" w:hAnsi="Consolas"/>
          <w:sz w:val="18"/>
        </w:rPr>
        <w:t>tenant_id</w:t>
      </w:r>
      <w:r>
        <w:t>; guards in the service</w:t>
      </w:r>
    </w:p>
    <w:p>
      <w:r>
        <w:t xml:space="preserve">   layer). Cheap, and the de-facto starting point — but one forgotten </w:t>
      </w:r>
      <w:r>
        <w:rPr>
          <w:rFonts w:ascii="Consolas" w:hAnsi="Consolas"/>
          <w:sz w:val="18"/>
        </w:rPr>
        <w:t>WHERE</w:t>
      </w:r>
      <w:r>
        <w:t xml:space="preserve"> clause is a</w:t>
      </w:r>
    </w:p>
    <w:p>
      <w:r>
        <w:t xml:space="preserve">   breach [3, A01].</w:t>
      </w:r>
    </w:p>
    <w:p>
      <w:pPr>
        <w:pStyle w:val="ListNumber"/>
      </w:pPr>
      <w:r>
        <w:rPr>
          <w:b/>
        </w:rPr>
        <w:t>Framework-level enforcement</w:t>
      </w:r>
      <w:r>
        <w:t xml:space="preserve">: Hibernate </w:t>
      </w:r>
      <w:r>
        <w:rPr>
          <w:i/>
        </w:rPr>
        <w:t>tenant filters</w:t>
      </w:r>
      <w:r>
        <w:t xml:space="preserve"> and scoped persistence</w:t>
      </w:r>
    </w:p>
    <w:p>
      <w:r>
        <w:t xml:space="preserve">   contexts [13] reduce the surface from "every query" to "every module".</w:t>
      </w:r>
    </w:p>
    <w:p>
      <w:pPr>
        <w:pStyle w:val="ListNumber"/>
      </w:pPr>
      <w:r>
        <w:rPr>
          <w:b/>
        </w:rPr>
        <w:t>Database-level enforcement</w:t>
      </w:r>
      <w:r>
        <w:t xml:space="preserve">: PostgreSQL </w:t>
      </w:r>
      <w:r>
        <w:rPr>
          <w:b/>
        </w:rPr>
        <w:t>row-level security</w:t>
      </w:r>
      <w:r>
        <w:t xml:space="preserve"> (RLS) pushes the</w:t>
      </w:r>
    </w:p>
    <w:p>
      <w:r>
        <w:t xml:space="preserve">   predicate into the engine so even raw SQL — a future reporting script, a hurried hotfix —</w:t>
      </w:r>
    </w:p>
    <w:p>
      <w:r>
        <w:t xml:space="preserve">   cannot cross tenants. The pgvector extension [14] extends the same</w:t>
      </w:r>
    </w:p>
    <w:p>
      <w:r>
        <w:t xml:space="preserve">   reasoning to vector indexes: approximate-nearest-neighbour search can be pinned by a</w:t>
      </w:r>
    </w:p>
    <w:p>
      <w:r>
        <w:t xml:space="preserve">   </w:t>
      </w:r>
      <w:r>
        <w:rPr>
          <w:rFonts w:ascii="Consolas" w:hAnsi="Consolas"/>
          <w:sz w:val="18"/>
        </w:rPr>
        <w:t>tenant_id</w:t>
      </w:r>
      <w:r>
        <w:t xml:space="preserve"> predicate, which this project treats as the </w:t>
      </w:r>
      <w:r>
        <w:rPr>
          <w:i/>
        </w:rPr>
        <w:t>ninth</w:t>
      </w:r>
      <w:r>
        <w:t xml:space="preserve"> isolation layer.</w:t>
      </w:r>
    </w:p>
    <w:p>
      <w:r>
        <w:t xml:space="preserve">The gap the literature leaves open — and that LibraNet addresses — is </w:t>
      </w:r>
      <w:r>
        <w:rPr>
          <w:b/>
        </w:rPr>
        <w:t>verification</w:t>
      </w:r>
      <w:r>
        <w:t>:</w:t>
      </w:r>
    </w:p>
    <w:p>
      <w:r>
        <w:t>Krebs et al. [11] note that isolation claims are rarely tested claims. LibraNet's approach</w:t>
      </w:r>
    </w:p>
    <w:p>
      <w:r>
        <w:t>is to grow a dedicated cross-tenant test-suite in which every new feature adds negative</w:t>
      </w:r>
    </w:p>
    <w:p>
      <w:r>
        <w:t>cases requiring a 404/403 for foreign-tenant operations (33 cases at time of writing),</w:t>
      </w:r>
    </w:p>
    <w:p>
      <w:r>
        <w:t>making isolation an executable specification rather than a design intention.</w:t>
      </w:r>
    </w:p>
    <w:p>
      <w:pPr>
        <w:pStyle w:val="Heading2"/>
      </w:pPr>
      <w:r>
        <w:t>3. Subscription, billing and quota models</w:t>
      </w:r>
    </w:p>
    <w:p>
      <w:r>
        <w:t>SaaS monetisation literature describes tiered plans with soft and hard limits</w:t>
      </w:r>
    </w:p>
    <w:p>
      <w:r>
        <w:t>[15], [16]. For library platforms two</w:t>
      </w:r>
    </w:p>
    <w:p>
      <w:r>
        <w:t xml:space="preserve">details matter more: limits must be </w:t>
      </w:r>
      <w:r>
        <w:rPr>
          <w:b/>
        </w:rPr>
        <w:t>data</w:t>
      </w:r>
      <w:r>
        <w:t xml:space="preserve"> (plans change without deploys: JSON-stored</w:t>
      </w:r>
    </w:p>
    <w:p>
      <w:r>
        <w:t xml:space="preserve">limits, auditable changes), and limits must include </w:t>
      </w:r>
      <w:r>
        <w:rPr>
          <w:b/>
        </w:rPr>
        <w:t>consumptive resources</w:t>
      </w:r>
      <w:r>
        <w:t xml:space="preserve"> — storage</w:t>
      </w:r>
    </w:p>
    <w:p>
      <w:r>
        <w:t>bytes and, newly, AI calls — not just seat counts. The append-only ledger pattern for usage</w:t>
      </w:r>
    </w:p>
    <w:p>
      <w:r>
        <w:t>(accounting as an event log) is the established answer for auditable quotas (Fowler, 2005,</w:t>
      </w:r>
    </w:p>
    <w:p>
      <w:r>
        <w:t>"Accounting patterns" lineage), and LibraNet applies it to media storage; AI metering extends</w:t>
      </w:r>
    </w:p>
    <w:p>
      <w:r>
        <w:t xml:space="preserve">the same reasoning to </w:t>
      </w:r>
      <w:r>
        <w:rPr>
          <w:rFonts w:ascii="Consolas" w:hAnsi="Consolas"/>
          <w:sz w:val="18"/>
        </w:rPr>
        <w:t>aiCallsMonthly</w:t>
      </w:r>
      <w:r>
        <w:t>. Payment rails in West Africa are dominated by</w:t>
      </w:r>
    </w:p>
    <w:p>
      <w:r>
        <w:t>aggregator APIs [18] rather than card-direct acquiring, which fixes the</w:t>
      </w:r>
    </w:p>
    <w:p>
      <w:r>
        <w:t>provider-integration design.</w:t>
      </w:r>
    </w:p>
    <w:p>
      <w:pPr>
        <w:pStyle w:val="Heading2"/>
      </w:pPr>
      <w:r>
        <w:t>4. Discovery: from keyword matching to semantic and social systems</w:t>
      </w:r>
    </w:p>
    <w:p>
      <w:r>
        <w:t>Recommender literature splits into content-based filtering [19] matching</w:t>
      </w:r>
    </w:p>
    <w:p>
      <w:r>
        <w:t>item features against a user profile, and collaborative filtering (Resnick et al., 1994;</w:t>
      </w:r>
    </w:p>
    <w:p>
      <w:r>
        <w:t>Koren, Bell, &amp; Volinsky, 2009) exploiting crowd behaviour. Library settings are</w:t>
      </w:r>
    </w:p>
    <w:p>
      <w:r>
        <w:t>small-crowd settings: a single branch may have hundreds of members and sparse interaction</w:t>
      </w:r>
    </w:p>
    <w:p>
      <w:r>
        <w:t>data, which argues for hybrid/cold-start-aware designs — LibraNet therefore blends the</w:t>
      </w:r>
    </w:p>
    <w:p>
      <w:r>
        <w:t>member's own loans, ratings and want-it marks (weighted centroid over embeddings) with</w:t>
      </w:r>
    </w:p>
    <w:p>
      <w:r>
        <w:t>library-wide top-rated fallback. Dense text embeddings (Mikolov et al., 2013; Reimers &amp;</w:t>
      </w:r>
    </w:p>
    <w:p>
      <w:r>
        <w:t>Gurevych, 2019) make "find me beginner Java books after 2023" a vector problem; the</w:t>
      </w:r>
    </w:p>
    <w:p>
      <w:r>
        <w:t xml:space="preserve">library-specific wrinkle is the </w:t>
      </w:r>
      <w:r>
        <w:rPr>
          <w:b/>
        </w:rPr>
        <w:t>hard filter</w:t>
      </w:r>
      <w:r>
        <w:t xml:space="preserve"> (</w:t>
      </w:r>
      <w:r>
        <w:rPr>
          <w:i/>
        </w:rPr>
        <w:t>after 2023</w:t>
      </w:r>
      <w:r>
        <w:t xml:space="preserve"> must survive whatever the</w:t>
      </w:r>
    </w:p>
    <w:p>
      <w:r>
        <w:t>vector says) which LibraNet implements as deterministic year-filter extraction grafted onto</w:t>
      </w:r>
    </w:p>
    <w:p>
      <w:r>
        <w:t>semantic ranking with per-hit explanations. Public OPAC research has converged on</w:t>
      </w:r>
    </w:p>
    <w:p>
      <w:r>
        <w:t>"next-generation catalogues" [24] — faceted, relevant, explanatory — and the</w:t>
      </w:r>
    </w:p>
    <w:p>
      <w:r>
        <w:t>present work operationalises exactly that expectation inside a tenant-pinned search.</w:t>
      </w:r>
    </w:p>
    <w:p>
      <w:pPr>
        <w:pStyle w:val="Heading2"/>
      </w:pPr>
      <w:r>
        <w:t>5. Security and privacy in shared library platforms</w:t>
      </w:r>
    </w:p>
    <w:p>
      <w:r>
        <w:t>The OWASP Top 10 [3] drives the concrete controls: broken access control (A01 —</w:t>
      </w:r>
    </w:p>
    <w:p>
      <w:r>
        <w:t>mitigated here by layered tenant guards and 404-by-invisibility), authentication failures</w:t>
      </w:r>
    </w:p>
    <w:p>
      <w:r>
        <w:t>(A07 — lockout, TOTP MFA, refresh-rotation with reuse detection), and logging failures</w:t>
      </w:r>
    </w:p>
    <w:p>
      <w:r>
        <w:t>(A09 — structured, tenant-scoped audit). Library-specific ethics add a further constraint:</w:t>
      </w:r>
    </w:p>
    <w:p>
      <w:r>
        <w:t>patron privacy is a professional norm [25], so the system</w:t>
      </w:r>
    </w:p>
    <w:p>
      <w:r>
        <w:t>designs audit trails that never store free-text questions to the AI assistant (only intent</w:t>
      </w:r>
    </w:p>
    <w:p>
      <w:r>
        <w:t>and length) and never expose member identity in public feeds (anonymous review policy).</w:t>
      </w:r>
    </w:p>
    <w:p>
      <w:r>
        <w:t>Wan, Li, and Yu [26] note that library systems increasingly hold behavioural data; a</w:t>
      </w:r>
    </w:p>
    <w:p>
      <w:r>
        <w:t>platform multiply-tenanted across institutions must treat even search telemetry as scoped</w:t>
      </w:r>
    </w:p>
    <w:p>
      <w:r>
        <w:t xml:space="preserve">data — which LibraNet does by writing </w:t>
      </w:r>
      <w:r>
        <w:rPr>
          <w:rFonts w:ascii="Consolas" w:hAnsi="Consolas"/>
          <w:sz w:val="18"/>
        </w:rPr>
        <w:t>search_events</w:t>
      </w:r>
      <w:r>
        <w:t xml:space="preserve"> under the tenant key.</w:t>
      </w:r>
    </w:p>
    <w:p>
      <w:pPr>
        <w:pStyle w:val="Heading2"/>
      </w:pPr>
      <w:r>
        <w:t>6. Regional and sectoral context</w:t>
      </w:r>
    </w:p>
    <w:p>
      <w:r>
        <w:t>African academic and public libraries chronicle resource constraints and the opportunity of</w:t>
      </w:r>
    </w:p>
    <w:p>
      <w:r>
        <w:t>mobile-first services ([28]; [ADD: your institution's library statistics,</w:t>
      </w:r>
    </w:p>
    <w:p>
      <w:r>
        <w:t>e.g. membership counts, current ILS, from the university annual report]). A platform priced</w:t>
      </w:r>
    </w:p>
    <w:p>
      <w:r>
        <w:t>per institution in hard currency is inaccessible; a SaaS tenant billed in GHS minor units</w:t>
      </w:r>
    </w:p>
    <w:p>
      <w:r>
        <w:t>through a local aggregator matches the payment reality. Mobile-first delivery (Flutter</w:t>
      </w:r>
    </w:p>
    <w:p>
      <w:r>
        <w:t>single codebase for Android/iOS/web) fits mobile-dominant member populations.</w:t>
      </w:r>
    </w:p>
    <w:p>
      <w:pPr>
        <w:pStyle w:val="Heading2"/>
      </w:pPr>
      <w:r>
        <w:t>7.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Koha/Evergreen (OSS ILS)</w:t>
            </w:r>
          </w:p>
        </w:tc>
        <w:tc>
          <w:tcPr>
            <w:tcW w:type="dxa" w:w="1728"/>
          </w:tcPr>
          <w:p>
            <w:r>
              <w:t>Hosted ILS consortia</w:t>
            </w:r>
          </w:p>
        </w:tc>
        <w:tc>
          <w:tcPr>
            <w:tcW w:type="dxa" w:w="1728"/>
          </w:tcPr>
          <w:p>
            <w:r>
              <w:t>Generic SaaS patterns</w:t>
            </w:r>
          </w:p>
        </w:tc>
        <w:tc>
          <w:tcPr>
            <w:tcW w:type="dxa" w:w="1728"/>
          </w:tcPr>
          <w:p>
            <w:r>
              <w:t>LibraNet</w:t>
            </w:r>
          </w:p>
        </w:tc>
      </w:tr>
      <w:tr>
        <w:tc>
          <w:tcPr>
            <w:tcW w:type="dxa" w:w="1728"/>
          </w:tcPr>
          <w:p>
            <w:r>
              <w:t>Multi-tenant shared schema</w:t>
            </w:r>
          </w:p>
        </w:tc>
        <w:tc>
          <w:tcPr>
            <w:tcW w:type="dxa" w:w="1728"/>
          </w:tcPr>
          <w:p>
            <w:r>
              <w:t>✗ single-tenant</w:t>
            </w:r>
          </w:p>
        </w:tc>
        <w:tc>
          <w:tcPr>
            <w:tcW w:type="dxa" w:w="1728"/>
          </w:tcPr>
          <w:p>
            <w:r>
              <w:t>partial (vendor-internal)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shared schema + RLS</w:t>
            </w:r>
          </w:p>
        </w:tc>
      </w:tr>
      <w:tr>
        <w:tc>
          <w:tcPr>
            <w:tcW w:type="dxa" w:w="1728"/>
          </w:tcPr>
          <w:p>
            <w:r>
              <w:t>Provable tenant isolation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unauditable</w:t>
            </w:r>
          </w:p>
        </w:tc>
        <w:tc>
          <w:tcPr>
            <w:tcW w:type="dxa" w:w="1728"/>
          </w:tcPr>
          <w:p>
            <w:r>
              <w:t>argued</w:t>
            </w:r>
          </w:p>
        </w:tc>
        <w:tc>
          <w:tcPr>
            <w:tcW w:type="dxa" w:w="1728"/>
          </w:tcPr>
          <w:p>
            <w:r>
              <w:t>tested (33 negative cases)</w:t>
            </w:r>
          </w:p>
        </w:tc>
      </w:tr>
      <w:tr>
        <w:tc>
          <w:tcPr>
            <w:tcW w:type="dxa" w:w="1728"/>
          </w:tcPr>
          <w:p>
            <w:r>
              <w:t>Physical-first circulation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(barcode desk flow)</w:t>
            </w:r>
          </w:p>
        </w:tc>
      </w:tr>
      <w:tr>
        <w:tc>
          <w:tcPr>
            <w:tcW w:type="dxa" w:w="1728"/>
          </w:tcPr>
          <w:p>
            <w:r>
              <w:t>Data-driven plans &amp; African payment rails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✓ generic</w:t>
            </w:r>
          </w:p>
        </w:tc>
        <w:tc>
          <w:tcPr>
            <w:tcW w:type="dxa" w:w="1728"/>
          </w:tcPr>
          <w:p>
            <w:r>
              <w:t>✓ JSON limits + Paystack</w:t>
            </w:r>
          </w:p>
        </w:tc>
      </w:tr>
      <w:tr>
        <w:tc>
          <w:tcPr>
            <w:tcW w:type="dxa" w:w="1728"/>
          </w:tcPr>
          <w:p>
            <w:r>
              <w:t>Tenant-pinned AI discovery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(search/recs/assistant/insights, metered)</w:t>
            </w:r>
          </w:p>
        </w:tc>
      </w:tr>
      <w:tr>
        <w:tc>
          <w:tcPr>
            <w:tcW w:type="dxa" w:w="1728"/>
          </w:tcPr>
          <w:p>
            <w:r>
              <w:t>Audit-without-secrets privacy</w:t>
            </w:r>
          </w:p>
        </w:tc>
        <w:tc>
          <w:tcPr>
            <w:tcW w:type="dxa" w:w="1728"/>
          </w:tcPr>
          <w:p>
            <w:r>
              <w:t>rarely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rarely</w:t>
            </w:r>
          </w:p>
        </w:tc>
        <w:tc>
          <w:tcPr>
            <w:tcW w:type="dxa" w:w="1728"/>
          </w:tcPr>
          <w:p>
            <w:r>
              <w:t>✓ (asserted in tests)</w:t>
            </w:r>
          </w:p>
        </w:tc>
      </w:tr>
    </w:tbl>
    <w:p>
      <w:r>
        <w:t>The concluding position: the ILS literature owns circulation depth but not multi-tenancy;</w:t>
      </w:r>
    </w:p>
    <w:p>
      <w:r>
        <w:t>the SaaS literature owns multi-tenancy but not library semantics; neither owns verified</w:t>
      </w:r>
    </w:p>
    <w:p>
      <w:r>
        <w:t>tenant isolation for AI-era features. LibraNet sits in that conjunction.</w:t>
      </w:r>
    </w:p>
    <w:p>
      <w:pPr>
        <w:pStyle w:val="Heading2"/>
      </w:pPr>
      <w:r>
        <w:t>References</w:t>
      </w:r>
    </w:p>
    <w:p>
      <w:r>
        <w:t xml:space="preserve">See </w:t>
      </w:r>
      <w:r>
        <w:rPr>
          <w:rFonts w:ascii="Consolas" w:hAnsi="Consolas"/>
          <w:sz w:val="18"/>
        </w:rPr>
        <w:t>04-final-report/09-references.md</w:t>
      </w:r>
      <w:r>
        <w:t xml:space="preserve"> (shared master list, IEEE).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