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LibraNet — A Secure Multi-Tenant SaaS Platform for Library Management with AI-Assisted Discovery</w:t>
      </w:r>
    </w:p>
    <w:p>
      <w:r>
        <w:rPr>
          <w:i/>
        </w:rPr>
        <w:t>Pentecost University</w:t>
      </w:r>
    </w:p>
    <w:p>
      <w:r>
        <w:rPr>
          <w:i/>
        </w:rPr>
        <w:t>[DEPARTMENT]</w:t>
      </w:r>
    </w:p>
    <w:p>
      <w:r>
        <w:t>*A dissertation submitted to the Department of [DEPARTMENT], Pentecost University, in partial</w:t>
      </w:r>
    </w:p>
    <w:p>
      <w:r>
        <w:t>fulfilment of the requirements for the award of the degree of BSc Information Technology.*</w:t>
      </w:r>
    </w:p>
    <w:p>
      <w:r>
        <w:rPr>
          <w:b/>
        </w:rPr>
        <w:t>Student:</w:t>
      </w:r>
      <w:r>
        <w:t xml:space="preserve"> Senyo-Dzattah Judah Agbemavor (PUIT/23110016)</w:t>
      </w:r>
    </w:p>
    <w:p>
      <w:r>
        <w:rPr>
          <w:b/>
        </w:rPr>
        <w:t>Supervisor:</w:t>
      </w:r>
      <w:r>
        <w:t xml:space="preserve"> [SUPERVISOR NAME], [SUPERVISOR TITLE]</w:t>
      </w:r>
    </w:p>
    <w:p>
      <w:r>
        <w:rPr>
          <w:b/>
        </w:rPr>
        <w:t>[MONTH, YEAR]</w:t>
      </w:r>
    </w:p>
    <w:p>
      <w:r>
        <w:t>————————————————————</w:t>
      </w:r>
    </w:p>
    <w:p>
      <w:pPr>
        <w:pStyle w:val="Heading2"/>
      </w:pPr>
      <w:r>
        <w:t>Declaration</w:t>
      </w:r>
    </w:p>
    <w:p>
      <w:r>
        <w:t>I declare that this dissertation is my own original work and that it has not been submitted,</w:t>
      </w:r>
    </w:p>
    <w:p>
      <w:r>
        <w:t>in whole or in part, for any other degree. All sources are acknowledged.</w:t>
      </w:r>
    </w:p>
    <w:p>
      <w:r>
        <w:t>Signed: …………………………  Date: ………………</w:t>
      </w:r>
    </w:p>
    <w:p>
      <w:r>
        <w:t>————————————————————</w:t>
      </w:r>
    </w:p>
    <w:p>
      <w:pPr>
        <w:pStyle w:val="Heading2"/>
      </w:pPr>
      <w:r>
        <w:t>Abstract</w:t>
      </w:r>
    </w:p>
    <w:p>
      <w:r>
        <w:t>Small libraries are priced or skilled out of professional library software: open-source</w:t>
      </w:r>
    </w:p>
    <w:p>
      <w:r>
        <w:t>integrated library systems assume one installation per institution and an administrator to</w:t>
      </w:r>
    </w:p>
    <w:p>
      <w:r>
        <w:t>run it, while hosted offerings are closed and per-institution priced. This dissertation</w:t>
      </w:r>
    </w:p>
    <w:p>
      <w:r>
        <w:t xml:space="preserve">presents </w:t>
      </w:r>
      <w:r>
        <w:rPr>
          <w:b/>
        </w:rPr>
        <w:t>LibraNet</w:t>
      </w:r>
      <w:r>
        <w:t>, a multi-tenant software-as-a-service platform in which many libraries</w:t>
      </w:r>
    </w:p>
    <w:p>
      <w:r>
        <w:t>share one deployment as isolated tenants — covering identity and membership, plan-metered</w:t>
      </w:r>
    </w:p>
    <w:p>
      <w:r>
        <w:t>subscriptions with billing on African payment rails, physical-first circulation with barcoded</w:t>
      </w:r>
    </w:p>
    <w:p>
      <w:r>
        <w:t>desk flows, author-owned personal libraries with public book pages, media, ratings and</w:t>
      </w:r>
    </w:p>
    <w:p>
      <w:r>
        <w:t>moderation, and an AI discovery layer (semantic search with natural-language year filters,</w:t>
      </w:r>
    </w:p>
    <w:p>
      <w:r>
        <w:t>per-member recommendations, a guarded librarian assistant and acquisition demand insights).</w:t>
      </w:r>
    </w:p>
    <w:p>
      <w:r>
        <w:t xml:space="preserve">The central engineering contribution is treating </w:t>
      </w:r>
      <w:r>
        <w:rPr>
          <w:b/>
        </w:rPr>
        <w:t>tenant isolation as a tested property</w:t>
      </w:r>
      <w:r>
        <w:t>:</w:t>
      </w:r>
    </w:p>
    <w:p>
      <w:r>
        <w:t>isolation is enforced across nine architectural layers — from HTTP tenant resolution and</w:t>
      </w:r>
    </w:p>
    <w:p>
      <w:r>
        <w:t>service guards through Hibernate filters, Postgres row-level security on every tenant table,</w:t>
      </w:r>
    </w:p>
    <w:p>
      <w:r>
        <w:t>tenant-prefixed object storage and tenant-pinned vector search — and is verified by a</w:t>
      </w:r>
    </w:p>
    <w:p>
      <w:r>
        <w:t>continuously evolving suite of 33 cross-tenant negative tests inside a 120-test automated</w:t>
      </w:r>
    </w:p>
    <w:p>
      <w:r>
        <w:t>regression suite, with a CI job that re-proves the database-level policies on real Postgres</w:t>
      </w:r>
    </w:p>
    <w:p>
      <w:r>
        <w:t>at every change. Plan limits (members, books, branches, storage, AI calls) are data, changed</w:t>
      </w:r>
    </w:p>
    <w:p>
      <w:r>
        <w:t>by operators without deploys; AI usage is metered per tenant per feature per month, and the</w:t>
      </w:r>
    </w:p>
    <w:p>
      <w:r>
        <w:t>audit trail provably never records secrets or question text.</w:t>
      </w:r>
    </w:p>
    <w:p>
      <w:r>
        <w:t>Measured results on the reference deployment show all 120 tests passing and hot-endpoint</w:t>
      </w:r>
    </w:p>
    <w:p>
      <w:r>
        <w:t>latencies far inside budget (tenant catalogue search p95 ≈ 30 ms; AI semantic search</w:t>
      </w:r>
    </w:p>
    <w:p>
      <w:r>
        <w:t>p95 ≈ 50 ms), with accessibility audited to WCAG 2.1 AA and operations documented through</w:t>
      </w:r>
    </w:p>
    <w:p>
      <w:r>
        <w:t>runbooks, a backup/restore drill and a release checklist. The dissertation concludes that</w:t>
      </w:r>
    </w:p>
    <w:p>
      <w:r>
        <w:t>the conjunction left open by the literature — library-grade circulation semantics, auditable</w:t>
      </w:r>
    </w:p>
    <w:p>
      <w:r>
        <w:t>multi-tenancy, and tenant-safe AI discovery — is realisable in a single open platform.</w:t>
      </w:r>
    </w:p>
    <w:p>
      <w:r>
        <w:rPr>
          <w:b/>
        </w:rPr>
        <w:t>Keywords:</w:t>
      </w:r>
      <w:r>
        <w:t xml:space="preserve"> multi-tenancy, SaaS, library management, row-level security, tenant isolation</w:t>
      </w:r>
    </w:p>
    <w:p>
      <w:r>
        <w:t>testing, semantic search, pgvector, plan metering, Flutter, Spring Boot.</w:t>
      </w:r>
    </w:p>
    <w:p>
      <w:r>
        <w:t>————————————————————</w:t>
      </w:r>
    </w:p>
    <w:p>
      <w:pPr>
        <w:pStyle w:val="Heading2"/>
      </w:pPr>
      <w:r>
        <w:t>Acknowledgements</w:t>
      </w:r>
    </w:p>
    <w:p>
      <w:r>
        <w:t>[Thank your supervisor, department, and anyone else — write this last, write it honestly.]</w:t>
      </w:r>
    </w:p>
    <w:p>
      <w:r>
        <w:t>————————————————————</w:t>
      </w:r>
    </w:p>
    <w:p>
      <w:pPr>
        <w:pStyle w:val="Heading2"/>
      </w:pPr>
      <w:r>
        <w:t>Table of contents</w:t>
      </w:r>
    </w:p>
    <w:p>
      <w:pPr>
        <w:pStyle w:val="ListNumber"/>
      </w:pPr>
      <w:r>
        <w:t>Introduction</w:t>
      </w:r>
    </w:p>
    <w:p>
      <w:pPr>
        <w:pStyle w:val="ListNumber"/>
      </w:pPr>
      <w:r>
        <w:t>Literature review</w:t>
      </w:r>
    </w:p>
    <w:p>
      <w:pPr>
        <w:pStyle w:val="ListNumber"/>
      </w:pPr>
      <w:r>
        <w:t>Requirements and analysis</w:t>
      </w:r>
    </w:p>
    <w:p>
      <w:pPr>
        <w:pStyle w:val="ListNumber"/>
      </w:pPr>
      <w:r>
        <w:t>Design</w:t>
      </w:r>
    </w:p>
    <w:p>
      <w:pPr>
        <w:pStyle w:val="ListNumber"/>
      </w:pPr>
      <w:r>
        <w:t>Implementation</w:t>
      </w:r>
    </w:p>
    <w:p>
      <w:pPr>
        <w:pStyle w:val="ListNumber"/>
      </w:pPr>
      <w:r>
        <w:t>Testing and verification</w:t>
      </w:r>
    </w:p>
    <w:p>
      <w:pPr>
        <w:pStyle w:val="ListNumber"/>
      </w:pPr>
      <w:r>
        <w:t>Evaluation</w:t>
      </w:r>
    </w:p>
    <w:p>
      <w:pPr>
        <w:pStyle w:val="ListNumber"/>
      </w:pPr>
      <w:r>
        <w:t>Conclusion and future work</w:t>
      </w:r>
    </w:p>
    <w:p>
      <w:pPr>
        <w:pStyle w:val="ListNumber"/>
      </w:pPr>
      <w:r>
        <w:t>References</w:t>
      </w:r>
    </w:p>
    <w:p>
      <w:pPr>
        <w:pStyle w:val="ListNumber"/>
      </w:pPr>
      <w:r>
        <w:t>Appendices</w:t>
      </w:r>
    </w:p>
    <w:p>
      <w:pPr>
        <w:pStyle w:val="Heading1"/>
      </w:pPr>
      <w:r>
        <w:t>Chapter 1 — Introduction</w:t>
      </w:r>
    </w:p>
    <w:p>
      <w:pPr>
        <w:pStyle w:val="Heading2"/>
      </w:pPr>
      <w:r>
        <w:t>1.1 Background</w:t>
      </w:r>
    </w:p>
    <w:p>
      <w:r>
        <w:t>Professional library automation has historically meant the integrated library system (ILS):</w:t>
      </w:r>
    </w:p>
    <w:p>
      <w:r>
        <w:t>powerful, bibliographically deep, and architected as one installation for one institution.</w:t>
      </w:r>
    </w:p>
    <w:p>
      <w:r>
        <w:t>That shape creates two failure modes at the edges of the market. First, small libraries —</w:t>
      </w:r>
    </w:p>
    <w:p>
      <w:r>
        <w:t>school libraries, community reading rooms, and the personal catalogues of authors — cannot</w:t>
      </w:r>
    </w:p>
    <w:p>
      <w:r>
        <w:t>operate their own server, and are effectively excluded. Second, where many libraries could</w:t>
      </w:r>
    </w:p>
    <w:p>
      <w:r>
        <w:t>share one deployment, single-tenant software forces each into a duplicated installation with</w:t>
      </w:r>
    </w:p>
    <w:p>
      <w:r>
        <w:t>duplicated cost and duplicated maintenance [1], [2].</w:t>
      </w:r>
    </w:p>
    <w:p>
      <w:r>
        <w:t>Cloud multi-tenancy is the obvious remedy and the subtle trap. A platform in which many</w:t>
      </w:r>
    </w:p>
    <w:p>
      <w:r>
        <w:t>libraries share one database is only as trustworthy as its weakest query: a single missing</w:t>
      </w:r>
    </w:p>
    <w:p>
      <w:r>
        <w:rPr>
          <w:rFonts w:ascii="Consolas" w:hAnsi="Consolas"/>
          <w:sz w:val="18"/>
        </w:rPr>
        <w:t>tenant_id</w:t>
      </w:r>
      <w:r>
        <w:t xml:space="preserve"> predicate turns a feature into a breach [3]. Meanwhile, member</w:t>
      </w:r>
    </w:p>
    <w:p>
      <w:r>
        <w:t>expectations have moved past exact-match catalogue search — members ask "beginner Java books</w:t>
      </w:r>
    </w:p>
    <w:p>
      <w:r>
        <w:t>after 2023", librarians ask "what should we buy more of?", and both expect recommendations —</w:t>
      </w:r>
    </w:p>
    <w:p>
      <w:r>
        <w:t>so the platform must embed AI discovery, and the AI layer must obey the same isolation and</w:t>
      </w:r>
    </w:p>
    <w:p>
      <w:r>
        <w:t>privacy discipline as everything else, while being affordable: metered against a plan.</w:t>
      </w:r>
    </w:p>
    <w:p>
      <w:pPr>
        <w:pStyle w:val="Heading2"/>
      </w:pPr>
      <w:r>
        <w:t>1.2 Problem statement</w:t>
      </w:r>
    </w:p>
    <w:p>
      <w:r>
        <w:t>Recapped from the approved proposal: no open platform combines (a) genuine, auditable</w:t>
      </w:r>
    </w:p>
    <w:p>
      <w:r>
        <w:t>multi-tenant operation, (b) the complete physical-first circulation loop, (c) data-driven</w:t>
      </w:r>
    </w:p>
    <w:p>
      <w:r>
        <w:t>subscription plans with billing on African payment rails, and (d) tenant-safe, plan-metered</w:t>
      </w:r>
    </w:p>
    <w:p>
      <w:r>
        <w:t>AI discovery. LibraNet exists to close that conjunction.</w:t>
      </w:r>
    </w:p>
    <w:p>
      <w:pPr>
        <w:pStyle w:val="Heading2"/>
      </w:pPr>
      <w:r>
        <w:t>1.3 Aim and objectives</w:t>
      </w:r>
    </w:p>
    <w:p>
      <w:r>
        <w:rPr>
          <w:b/>
        </w:rPr>
        <w:t>Aim.</w:t>
      </w:r>
      <w:r>
        <w:t xml:space="preserve"> To design, implement and rigorously verify LibraNet — a multi-tenant SaaS library</w:t>
      </w:r>
    </w:p>
    <w:p>
      <w:r>
        <w:t>platform whose tenant isolation is enforced at every architectural layer and proven by</w:t>
      </w:r>
    </w:p>
    <w:p>
      <w:r>
        <w:t>automated cross-tenant tests, with data-driven plan limits and tenant-pinned AI discovery.</w:t>
      </w:r>
    </w:p>
    <w:p>
      <w:r>
        <w:rPr>
          <w:b/>
        </w:rPr>
        <w:t>Objectives</w:t>
      </w:r>
      <w:r>
        <w:t xml:space="preserve"> (verbatim from the proposal, each mapped to outcomes in Chapter 7):</w:t>
      </w:r>
    </w:p>
    <w:p>
      <w:pPr>
        <w:pStyle w:val="ListNumber"/>
      </w:pPr>
      <w:r>
        <w:t>Model User → Membership → Library with global identity and per-library roles.</w:t>
      </w:r>
    </w:p>
    <w:p>
      <w:pPr>
        <w:pStyle w:val="ListNumber"/>
      </w:pPr>
      <w:r>
        <w:t>Implement 9-layer tenant isolation with an executable negative-test proof.</w:t>
      </w:r>
    </w:p>
    <w:p>
      <w:pPr>
        <w:pStyle w:val="ListNumber"/>
      </w:pPr>
      <w:r>
        <w:t>Deliver the full circulation loop with plan-aware rules.</w:t>
      </w:r>
    </w:p>
    <w:p>
      <w:pPr>
        <w:pStyle w:val="ListNumber"/>
      </w:pPr>
      <w:r>
        <w:t>Implement JSON-data plans, Paystack billing, storage ledger, analytics dashboards.</w:t>
      </w:r>
    </w:p>
    <w:p>
      <w:pPr>
        <w:pStyle w:val="ListNumber"/>
      </w:pPr>
      <w:r>
        <w:t>Implement tenant-pinned, plan-metered AI: semantic search, recommendations, guarded</w:t>
      </w:r>
    </w:p>
    <w:p>
      <w:r>
        <w:t xml:space="preserve">   librarian assistant, demand insights.</w:t>
      </w:r>
    </w:p>
    <w:p>
      <w:pPr>
        <w:pStyle w:val="ListNumber"/>
      </w:pPr>
      <w:r>
        <w:t>Ship a Flutter client (mobile + web) meeting WCAG 2.1 AA.</w:t>
      </w:r>
    </w:p>
    <w:p>
      <w:pPr>
        <w:pStyle w:val="ListNumber"/>
      </w:pPr>
      <w:r>
        <w:t>Demonstrate production-readiness: tests, load budgets, backup/restore, runbooks, release gate.</w:t>
      </w:r>
    </w:p>
    <w:p>
      <w:pPr>
        <w:pStyle w:val="Heading2"/>
      </w:pPr>
      <w:r>
        <w:t>1.4 Research questions</w:t>
      </w:r>
    </w:p>
    <w:p>
      <w:pPr>
        <w:pStyle w:val="ListBullet"/>
      </w:pPr>
      <w:r>
        <w:rPr>
          <w:b/>
        </w:rPr>
        <w:t>RQ1</w:t>
      </w:r>
      <w:r>
        <w:t xml:space="preserve"> — Can layered isolation make cross-tenant access structurally impossible and be</w:t>
      </w:r>
    </w:p>
    <w:p>
      <w:r>
        <w:t xml:space="preserve">  demonstrated automatically? (Answered empirically in Chapters 4 and 6.)</w:t>
      </w:r>
    </w:p>
    <w:p>
      <w:pPr>
        <w:pStyle w:val="ListBullet"/>
      </w:pPr>
      <w:r>
        <w:rPr>
          <w:b/>
        </w:rPr>
        <w:t>RQ2</w:t>
      </w:r>
      <w:r>
        <w:t xml:space="preserve"> — Can plan limits for every billed dimension (members, books, branches, storage</w:t>
      </w:r>
    </w:p>
    <w:p>
      <w:r>
        <w:t xml:space="preserve">  bytes, AI calls) be pure data? (Chapters 5 and 7.)</w:t>
      </w:r>
    </w:p>
    <w:p>
      <w:pPr>
        <w:pStyle w:val="ListBullet"/>
      </w:pPr>
      <w:r>
        <w:rPr>
          <w:b/>
        </w:rPr>
        <w:t>RQ3</w:t>
      </w:r>
      <w:r>
        <w:t xml:space="preserve"> — Can AI discovery remain tenant-safe and privacy-preserving (no cross-tenant</w:t>
      </w:r>
    </w:p>
    <w:p>
      <w:r>
        <w:t xml:space="preserve">  embeddings, no question text in audit)? (Chapters 5–6.)</w:t>
      </w:r>
    </w:p>
    <w:p>
      <w:pPr>
        <w:pStyle w:val="Heading2"/>
      </w:pPr>
      <w:r>
        <w:t>1.5 Scope, limitations (from proposal §6)</w:t>
      </w:r>
    </w:p>
    <w:p>
      <w:r>
        <w:t>Inter-library loans, MARC21/Z39.50 import, and non-Paystack providers are out of scope;</w:t>
      </w:r>
    </w:p>
    <w:p>
      <w:r>
        <w:t>the Flutter app covers member/librarian and public surfaces (no separate desktop desk</w:t>
      </w:r>
    </w:p>
    <w:p>
      <w:r>
        <w:t>client — the web build serves desks).</w:t>
      </w:r>
    </w:p>
    <w:p>
      <w:pPr>
        <w:pStyle w:val="Heading2"/>
      </w:pPr>
      <w:r>
        <w:t>1.6 Methodology summary</w:t>
      </w:r>
    </w:p>
    <w:p>
      <w:r>
        <w:t>Phased incremental delivery (phases 0–11) under an "extend, never rewrite" contract, a</w:t>
      </w:r>
    </w:p>
    <w:p>
      <w:r>
        <w:t>fixed per-phase termination ritual (migration-clean boot; full suite green; scripted live</w:t>
      </w:r>
    </w:p>
    <w:p>
      <w:r>
        <w:t>demo; docs updated), and verification-as-method for the research questions (§1.4). Details</w:t>
      </w:r>
    </w:p>
    <w:p>
      <w:r>
        <w:t>in Chapters 5–6.</w:t>
      </w:r>
    </w:p>
    <w:p>
      <w:pPr>
        <w:pStyle w:val="Heading2"/>
      </w:pPr>
      <w:r>
        <w:t>1.7 Chapter guide</w:t>
      </w:r>
    </w:p>
    <w:p>
      <w:r>
        <w:t>Chapter 2 reviews the literature and fixes LibraNet's position. Chapter 3 derives</w:t>
      </w:r>
    </w:p>
    <w:p>
      <w:r>
        <w:t>requirements. Chapter 4 presents the architecture and the nine isolation layers. Chapter 5</w:t>
      </w:r>
    </w:p>
    <w:p>
      <w:r>
        <w:t>describes implementation phase by phase. Chapter 6 is the testing story. Chapter 7 evaluates</w:t>
      </w:r>
    </w:p>
    <w:p>
      <w:r>
        <w:t>against the objectives and research questions with measured numbers. Chapter 8 concludes and</w:t>
      </w:r>
    </w:p>
    <w:p>
      <w:r>
        <w:t>sketches future work. References and appendices follow.</w:t>
      </w:r>
    </w:p>
    <w:p>
      <w:pPr>
        <w:pStyle w:val="Heading1"/>
      </w:pPr>
      <w:r>
        <w:t>Chapter 2 — Literature review</w:t>
      </w:r>
    </w:p>
    <w:p>
      <w:r>
        <w:rPr>
          <w:i/>
        </w:rPr>
        <w:t>The full standalone review (with extended discussion) is `docs/academic/02-literature-review/LITERATURE-REVIEW.md`; this chapter condenses it and adds the synthesis the dissertation needs.</w:t>
      </w:r>
    </w:p>
    <w:p>
      <w:pPr>
        <w:pStyle w:val="Heading2"/>
      </w:pPr>
      <w:r>
        <w:t>2.1 The library-systems thread</w:t>
      </w:r>
    </w:p>
    <w:p>
      <w:r>
        <w:t>Library automation consolidated around the ILS [4], [5], with open-source</w:t>
      </w:r>
    </w:p>
    <w:p>
      <w:r>
        <w:t>Koha and Evergreen as dominant examples. Their strength — MARC-era bibliographic depth — is</w:t>
      </w:r>
    </w:p>
    <w:p>
      <w:r>
        <w:t xml:space="preserve">coupled to a single-tenant deployment shape, and the cost of </w:t>
      </w:r>
      <w:r>
        <w:rPr>
          <w:i/>
        </w:rPr>
        <w:t>operating</w:t>
      </w:r>
      <w:r>
        <w:t xml:space="preserve"> the software (not</w:t>
      </w:r>
    </w:p>
    <w:p>
      <w:r>
        <w:t>licensing it) excludes small institutions [1]. The Library 2.0 movement reframed</w:t>
      </w:r>
    </w:p>
    <w:p>
      <w:r>
        <w:t>library services around participation and continuous beta [6], and the</w:t>
      </w:r>
    </w:p>
    <w:p>
      <w:r>
        <w:t>market's answer — vendor-hosted ILS — confirms that platform operation, not software</w:t>
      </w:r>
    </w:p>
    <w:p>
      <w:r>
        <w:t>ownership, is the scarce resource [2], [7]. The IFLA Library Reference Model</w:t>
      </w:r>
    </w:p>
    <w:p>
      <w:r>
        <w:t>[8] gives the discovery framing: users search by task, not by record field.</w:t>
      </w:r>
    </w:p>
    <w:p>
      <w:pPr>
        <w:pStyle w:val="Heading2"/>
      </w:pPr>
      <w:r>
        <w:t>2.2 The multi-tenancy thread</w:t>
      </w:r>
    </w:p>
    <w:p>
      <w:r>
        <w:t>The canonical spectrum — separate databases; shared DB/separate schemas; shared schema with a</w:t>
      </w:r>
    </w:p>
    <w:p>
      <w:r>
        <w:t>discriminator [9] — trades isolation for cost. The operational risks are</w:t>
      </w:r>
    </w:p>
    <w:p>
      <w:r>
        <w:t>established [10], and the architectural concerns catalogue (Krebs et</w:t>
      </w:r>
    </w:p>
    <w:p>
      <w:r>
        <w:t>al., 2012) names what must be defended: security isolation, performance isolation,</w:t>
      </w:r>
    </w:p>
    <w:p>
      <w:r>
        <w:t>customisability. Krebs et al. [12] show empirically that naive shared-schema systems fail</w:t>
      </w:r>
    </w:p>
    <w:p>
      <w:r>
        <w:t>these. Defence options layer: application predicates; framework filters [13];</w:t>
      </w:r>
    </w:p>
    <w:p>
      <w:r>
        <w:t>and engine-level row-level security in PostgreSQL, to which pgvector adds vector search over</w:t>
      </w:r>
    </w:p>
    <w:p>
      <w:r>
        <w:t>the same relational plane [14]. The literature's open item is</w:t>
      </w:r>
    </w:p>
    <w:p>
      <w:r>
        <w:rPr>
          <w:i/>
        </w:rPr>
        <w:t>proof</w:t>
      </w:r>
      <w:r>
        <w:t>: isolation is usually argued, rarely regression-tested — LibraNet's 33-case negative</w:t>
      </w:r>
    </w:p>
    <w:p>
      <w:r>
        <w:t>suite directly answers this gap.</w:t>
      </w:r>
    </w:p>
    <w:p>
      <w:pPr>
        <w:pStyle w:val="Heading2"/>
      </w:pPr>
      <w:r>
        <w:t>2.3 The commercial thread</w:t>
      </w:r>
    </w:p>
    <w:p>
      <w:r>
        <w:t>SaaS pricing literature standardises tiered plans with soft/hard limits (Ojala &amp; Tyrväinen,</w:t>
      </w:r>
    </w:p>
    <w:p>
      <w:r>
        <w:t>2011; Laatikainen et al., 2013). Two details generalise poorly into library platforms and are</w:t>
      </w:r>
    </w:p>
    <w:p>
      <w:r>
        <w:t>treated explicitly here: limits-as-data (plans are rows, not releases) and consumptive metering</w:t>
      </w:r>
    </w:p>
    <w:p>
      <w:r>
        <w:t>(storage bytes, AI calls) via append-only usage ledgers [17]. African payment reality</w:t>
      </w:r>
    </w:p>
    <w:p>
      <w:r>
        <w:t>favours aggregator rails [18].</w:t>
      </w:r>
    </w:p>
    <w:p>
      <w:pPr>
        <w:pStyle w:val="Heading2"/>
      </w:pPr>
      <w:r>
        <w:t>2.4 The discovery thread</w:t>
      </w:r>
    </w:p>
    <w:p>
      <w:r>
        <w:t>Recommendation splits into content-based [19] and collaborative</w:t>
      </w:r>
    </w:p>
    <w:p>
      <w:r>
        <w:t>[20], [21] families; library-scale data argues for hybrid</w:t>
      </w:r>
    </w:p>
    <w:p>
      <w:r>
        <w:t>cold-start-aware designs. Dense embeddings [22], [23]</w:t>
      </w:r>
    </w:p>
    <w:p>
      <w:r>
        <w:t>enable natural-language search; deployed library search additionally requires hard filters</w:t>
      </w:r>
    </w:p>
    <w:p>
      <w:r>
        <w:t>(year ranges) and explanations — the "next-generation catalogue" expectations of Breeding</w:t>
      </w:r>
    </w:p>
    <w:p>
      <w:r>
        <w:t>(2007).</w:t>
      </w:r>
    </w:p>
    <w:p>
      <w:pPr>
        <w:pStyle w:val="Heading2"/>
      </w:pPr>
      <w:r>
        <w:t>2.5 The security/privacy thread</w:t>
      </w:r>
    </w:p>
    <w:p>
      <w:r>
        <w:t>OWASP Top 10 maps to controls [3]; professional norms add patron-privacy</w:t>
      </w:r>
    </w:p>
    <w:p>
      <w:r>
        <w:t>requirements — behavioural data minimisation, anonymity options (American Library</w:t>
      </w:r>
    </w:p>
    <w:p>
      <w:r>
        <w:t>Association, 2019; Wan et al., 2019). Multi-tenant platforms must scope even telemetry:</w:t>
      </w:r>
    </w:p>
    <w:p>
      <w:r>
        <w:t>LibraNet stores search events and AI usage under the tenant key and bans question text from</w:t>
      </w:r>
    </w:p>
    <w:p>
      <w:r>
        <w:t>audit (asserted by test).</w:t>
      </w:r>
    </w:p>
    <w:p>
      <w:pPr>
        <w:pStyle w:val="Heading2"/>
      </w:pPr>
      <w:r>
        <w:t>2.6 Synthesis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t>Capability</w:t>
            </w:r>
          </w:p>
        </w:tc>
        <w:tc>
          <w:tcPr>
            <w:tcW w:type="dxa" w:w="1728"/>
          </w:tcPr>
          <w:p>
            <w:r>
              <w:t>OSS ILS</w:t>
            </w:r>
          </w:p>
        </w:tc>
        <w:tc>
          <w:tcPr>
            <w:tcW w:type="dxa" w:w="1728"/>
          </w:tcPr>
          <w:p>
            <w:r>
              <w:t>Hosted ILS</w:t>
            </w:r>
          </w:p>
        </w:tc>
        <w:tc>
          <w:tcPr>
            <w:tcW w:type="dxa" w:w="1728"/>
          </w:tcPr>
          <w:p>
            <w:r>
              <w:t>SaaS patterns</w:t>
            </w:r>
          </w:p>
        </w:tc>
        <w:tc>
          <w:tcPr>
            <w:tcW w:type="dxa" w:w="1728"/>
          </w:tcPr>
          <w:p>
            <w:r>
              <w:t>LibraNet</w:t>
            </w:r>
          </w:p>
        </w:tc>
      </w:tr>
      <w:tr>
        <w:tc>
          <w:tcPr>
            <w:tcW w:type="dxa" w:w="1728"/>
          </w:tcPr>
          <w:p>
            <w:r>
              <w:t>Shared-schema multi-tenancy</w:t>
            </w:r>
          </w:p>
        </w:tc>
        <w:tc>
          <w:tcPr>
            <w:tcW w:type="dxa" w:w="1728"/>
          </w:tcPr>
          <w:p>
            <w:r>
              <w:t>✗</w:t>
            </w:r>
          </w:p>
        </w:tc>
        <w:tc>
          <w:tcPr>
            <w:tcW w:type="dxa" w:w="1728"/>
          </w:tcPr>
          <w:p>
            <w:r>
              <w:t>partial</w:t>
            </w:r>
          </w:p>
        </w:tc>
        <w:tc>
          <w:tcPr>
            <w:tcW w:type="dxa" w:w="1728"/>
          </w:tcPr>
          <w:p>
            <w:r>
              <w:t>✓</w:t>
            </w:r>
          </w:p>
        </w:tc>
        <w:tc>
          <w:tcPr>
            <w:tcW w:type="dxa" w:w="1728"/>
          </w:tcPr>
          <w:p>
            <w:r>
              <w:t>✓ + RLS on every tenant table</w:t>
            </w:r>
          </w:p>
        </w:tc>
      </w:tr>
      <w:tr>
        <w:tc>
          <w:tcPr>
            <w:tcW w:type="dxa" w:w="1728"/>
          </w:tcPr>
          <w:p>
            <w:r>
              <w:t>Isolation *proof*</w:t>
            </w:r>
          </w:p>
        </w:tc>
        <w:tc>
          <w:tcPr>
            <w:tcW w:type="dxa" w:w="1728"/>
          </w:tcPr>
          <w:p>
            <w:r>
              <w:t>n/a</w:t>
            </w:r>
          </w:p>
        </w:tc>
        <w:tc>
          <w:tcPr>
            <w:tcW w:type="dxa" w:w="1728"/>
          </w:tcPr>
          <w:p>
            <w:r>
              <w:t>unauditable</w:t>
            </w:r>
          </w:p>
        </w:tc>
        <w:tc>
          <w:tcPr>
            <w:tcW w:type="dxa" w:w="1728"/>
          </w:tcPr>
          <w:p>
            <w:r>
              <w:t>argued</w:t>
            </w:r>
          </w:p>
        </w:tc>
        <w:tc>
          <w:tcPr>
            <w:tcW w:type="dxa" w:w="1728"/>
          </w:tcPr>
          <w:p>
            <w:r>
              <w:t>33 negative cases in CI</w:t>
            </w:r>
          </w:p>
        </w:tc>
      </w:tr>
      <w:tr>
        <w:tc>
          <w:tcPr>
            <w:tcW w:type="dxa" w:w="1728"/>
          </w:tcPr>
          <w:p>
            <w:r>
              <w:t>Physical-first circulation</w:t>
            </w:r>
          </w:p>
        </w:tc>
        <w:tc>
          <w:tcPr>
            <w:tcW w:type="dxa" w:w="1728"/>
          </w:tcPr>
          <w:p>
            <w:r>
              <w:t>✓</w:t>
            </w:r>
          </w:p>
        </w:tc>
        <w:tc>
          <w:tcPr>
            <w:tcW w:type="dxa" w:w="1728"/>
          </w:tcPr>
          <w:p>
            <w:r>
              <w:t>✓</w:t>
            </w:r>
          </w:p>
        </w:tc>
        <w:tc>
          <w:tcPr>
            <w:tcW w:type="dxa" w:w="1728"/>
          </w:tcPr>
          <w:p>
            <w:r>
              <w:t>✗</w:t>
            </w:r>
          </w:p>
        </w:tc>
        <w:tc>
          <w:tcPr>
            <w:tcW w:type="dxa" w:w="1728"/>
          </w:tcPr>
          <w:p>
            <w:r>
              <w:t>✓</w:t>
            </w:r>
          </w:p>
        </w:tc>
      </w:tr>
      <w:tr>
        <w:tc>
          <w:tcPr>
            <w:tcW w:type="dxa" w:w="1728"/>
          </w:tcPr>
          <w:p>
            <w:r>
              <w:t>Plans as data, local rails</w:t>
            </w:r>
          </w:p>
        </w:tc>
        <w:tc>
          <w:tcPr>
            <w:tcW w:type="dxa" w:w="1728"/>
          </w:tcPr>
          <w:p>
            <w:r>
              <w:t>✗</w:t>
            </w:r>
          </w:p>
        </w:tc>
        <w:tc>
          <w:tcPr>
            <w:tcW w:type="dxa" w:w="1728"/>
          </w:tcPr>
          <w:p>
            <w:r>
              <w:t>closed</w:t>
            </w:r>
          </w:p>
        </w:tc>
        <w:tc>
          <w:tcPr>
            <w:tcW w:type="dxa" w:w="1728"/>
          </w:tcPr>
          <w:p>
            <w:r>
              <w:t>✓</w:t>
            </w:r>
          </w:p>
        </w:tc>
        <w:tc>
          <w:tcPr>
            <w:tcW w:type="dxa" w:w="1728"/>
          </w:tcPr>
          <w:p>
            <w:r>
              <w:t>✓ (Paystack, GHS minor units)</w:t>
            </w:r>
          </w:p>
        </w:tc>
      </w:tr>
      <w:tr>
        <w:tc>
          <w:tcPr>
            <w:tcW w:type="dxa" w:w="1728"/>
          </w:tcPr>
          <w:p>
            <w:r>
              <w:t>Tenant-pinned metered AI</w:t>
            </w:r>
          </w:p>
        </w:tc>
        <w:tc>
          <w:tcPr>
            <w:tcW w:type="dxa" w:w="1728"/>
          </w:tcPr>
          <w:p>
            <w:r>
              <w:t>✗</w:t>
            </w:r>
          </w:p>
        </w:tc>
        <w:tc>
          <w:tcPr>
            <w:tcW w:type="dxa" w:w="1728"/>
          </w:tcPr>
          <w:p>
            <w:r>
              <w:t>✗</w:t>
            </w:r>
          </w:p>
        </w:tc>
        <w:tc>
          <w:tcPr>
            <w:tcW w:type="dxa" w:w="1728"/>
          </w:tcPr>
          <w:p>
            <w:r>
              <w:t>✗</w:t>
            </w:r>
          </w:p>
        </w:tc>
        <w:tc>
          <w:tcPr>
            <w:tcW w:type="dxa" w:w="1728"/>
          </w:tcPr>
          <w:p>
            <w:r>
              <w:t>✓</w:t>
            </w:r>
          </w:p>
        </w:tc>
      </w:tr>
      <w:tr>
        <w:tc>
          <w:tcPr>
            <w:tcW w:type="dxa" w:w="1728"/>
          </w:tcPr>
          <w:p>
            <w:r>
              <w:t>Privacy-by-design audit</w:t>
            </w:r>
          </w:p>
        </w:tc>
        <w:tc>
          <w:tcPr>
            <w:tcW w:type="dxa" w:w="1728"/>
          </w:tcPr>
          <w:p>
            <w:r>
              <w:t>rare</w:t>
            </w:r>
          </w:p>
        </w:tc>
        <w:tc>
          <w:tcPr>
            <w:tcW w:type="dxa" w:w="1728"/>
          </w:tcPr>
          <w:p>
            <w:r>
              <w:t>unknown</w:t>
            </w:r>
          </w:p>
        </w:tc>
        <w:tc>
          <w:tcPr>
            <w:tcW w:type="dxa" w:w="1728"/>
          </w:tcPr>
          <w:p>
            <w:r>
              <w:t>rare</w:t>
            </w:r>
          </w:p>
        </w:tc>
        <w:tc>
          <w:tcPr>
            <w:tcW w:type="dxa" w:w="1728"/>
          </w:tcPr>
          <w:p>
            <w:r>
              <w:t>✓ (no secrets/question-text)</w:t>
            </w:r>
          </w:p>
        </w:tc>
      </w:tr>
    </w:tbl>
    <w:p>
      <w:r>
        <w:t>LibraNet's claim is therefore not novelty in any single row but the verified conjunction.</w:t>
      </w:r>
    </w:p>
    <w:p>
      <w:pPr>
        <w:pStyle w:val="Heading1"/>
      </w:pPr>
      <w:r>
        <w:t>Chapter 3 — Requirements and analysis</w:t>
      </w:r>
    </w:p>
    <w:p>
      <w:pPr>
        <w:pStyle w:val="Heading2"/>
      </w:pPr>
      <w:r>
        <w:t>3.1 Actors and roles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Actor</w:t>
            </w:r>
          </w:p>
        </w:tc>
        <w:tc>
          <w:tcPr>
            <w:tcW w:type="dxa" w:w="4320"/>
          </w:tcPr>
          <w:p>
            <w:r>
              <w:t>Description</w:t>
            </w:r>
          </w:p>
        </w:tc>
      </w:tr>
      <w:tr>
        <w:tc>
          <w:tcPr>
            <w:tcW w:type="dxa" w:w="4320"/>
          </w:tcPr>
          <w:p>
            <w:r>
              <w:t>Member (patron/student/staff member)</w:t>
            </w:r>
          </w:p>
        </w:tc>
        <w:tc>
          <w:tcPr>
            <w:tcW w:type="dxa" w:w="4320"/>
          </w:tcPr>
          <w:p>
            <w:r>
              <w:t>Global user with one or more library memberships; searches, borrows, reserves, rates, reviews, marks "want it", receives AI recommendations; owns personal security settings</w:t>
            </w:r>
          </w:p>
        </w:tc>
      </w:tr>
      <w:tr>
        <w:tc>
          <w:tcPr>
            <w:tcW w:type="dxa" w:w="4320"/>
          </w:tcPr>
          <w:p>
            <w:r>
              <w:t>Librarian / Library admin</w:t>
            </w:r>
          </w:p>
        </w:tc>
        <w:tc>
          <w:tcPr>
            <w:tcW w:type="dxa" w:w="4320"/>
          </w:tcPr>
          <w:p>
            <w:r>
              <w:t>Staff roles *within a library* (appointed — never self-registered); catalogue and circulation desk operations, moderation, analytics, AI assistant/insights; LIBRARY_ADMIN additionally manages billing, review policy, embeddings rebuild</w:t>
            </w:r>
          </w:p>
        </w:tc>
      </w:tr>
      <w:tr>
        <w:tc>
          <w:tcPr>
            <w:tcW w:type="dxa" w:w="4320"/>
          </w:tcPr>
          <w:p>
            <w:r>
              <w:t>Author (personal library owner)</w:t>
            </w:r>
          </w:p>
        </w:tc>
        <w:tc>
          <w:tcPr>
            <w:tcW w:type="dxa" w:w="4320"/>
          </w:tcPr>
          <w:p>
            <w:r>
              <w:t>A member whose PERSONAL library publishes their works with public book pages and purchase handover</w:t>
            </w:r>
          </w:p>
        </w:tc>
      </w:tr>
      <w:tr>
        <w:tc>
          <w:tcPr>
            <w:tcW w:type="dxa" w:w="4320"/>
          </w:tcPr>
          <w:p>
            <w:r>
              <w:t>Prospective library owner</w:t>
            </w:r>
          </w:p>
        </w:tc>
        <w:tc>
          <w:tcPr>
            <w:tcW w:type="dxa" w:w="4320"/>
          </w:tcPr>
          <w:p>
            <w:r>
              <w:t>Applies to create a library; pays the subscription; staff access begins on provisioning</w:t>
            </w:r>
          </w:p>
        </w:tc>
      </w:tr>
      <w:tr>
        <w:tc>
          <w:tcPr>
            <w:tcW w:type="dxa" w:w="4320"/>
          </w:tcPr>
          <w:p>
            <w:r>
              <w:t>SUPER_ADMIN (platform operator)</w:t>
            </w:r>
          </w:p>
        </w:tc>
        <w:tc>
          <w:tcPr>
            <w:tcW w:type="dxa" w:w="4320"/>
          </w:tcPr>
          <w:p>
            <w:r>
              <w:t>Approves onboarding, manages plans/pricing, platform analytics and audit; never performs library operations (hard rule)</w:t>
            </w:r>
          </w:p>
        </w:tc>
      </w:tr>
      <w:tr>
        <w:tc>
          <w:tcPr>
            <w:tcW w:type="dxa" w:w="4320"/>
          </w:tcPr>
          <w:p>
            <w:r>
              <w:t>Anonymous visitor</w:t>
            </w:r>
          </w:p>
        </w:tc>
        <w:tc>
          <w:tcPr>
            <w:tcW w:type="dxa" w:w="4320"/>
          </w:tcPr>
          <w:p>
            <w:r>
              <w:t>Directory browse, public book pages/reviews, invitation preview</w:t>
            </w:r>
          </w:p>
        </w:tc>
      </w:tr>
    </w:tbl>
    <w:p>
      <w:pPr>
        <w:pStyle w:val="Heading2"/>
      </w:pPr>
      <w:r>
        <w:t>3.2 Functional requirements (numbered for traceability; tested refs in Chapter 6)</w:t>
      </w:r>
    </w:p>
    <w:p>
      <w:r>
        <w:rPr>
          <w:b/>
        </w:rPr>
        <w:t>Identity &amp; accounts.</w:t>
      </w:r>
      <w:r>
        <w:t xml:space="preserve"> FR-1 registration with email verification; FR-2 login with refresh-rotation and reuse detection; FR-3 TOTP MFA enroll/enable/disable with challenge tokens that cannot act as access tokens; FR-4 account lockout (423) after 10 failures with retry hint; FR-5 sessions/devices list + per-device and global revoke; FR-6 password reset via emailed token.</w:t>
      </w:r>
    </w:p>
    <w:p>
      <w:r>
        <w:rPr>
          <w:b/>
        </w:rPr>
        <w:t>Tenancy.</w:t>
      </w:r>
      <w:r>
        <w:t xml:space="preserve"> FR-10 library creation via onboarding request (payment then approval then provisioning); FR-11 join policies PUBLIC / APPROVAL_REQUIRED / INVITATION_ONLY (+STUDENT_ONLY/STAFF_ONLY/DOMAIN_VERIFIED/CUSTOM hooks); FR-12 membership numbers issued on approval (QR membership card); FR-13 per-membership roles LIBRARY_ADMIN/LIBRARIAN/STAFF/STUDENT…; FR-14 invitation links + QR codes with public previews; FR-15 SUPER_ADMIN operates plans and platform analytics only.</w:t>
      </w:r>
    </w:p>
    <w:p>
      <w:r>
        <w:rPr>
          <w:b/>
        </w:rPr>
        <w:t>Catalogue.</w:t>
      </w:r>
      <w:r>
        <w:t xml:space="preserve"> FR-20 category tree with subtree browsing; FR-21 books unique normalized ISBN per tenant, slug per tenant, published flag; FR-22 copies with auto barcodes </w:t>
      </w:r>
      <w:r>
        <w:rPr>
          <w:rFonts w:ascii="Consolas" w:hAnsi="Consolas"/>
          <w:sz w:val="18"/>
        </w:rPr>
        <w:t>{branch}-{seq}</w:t>
      </w:r>
      <w:r>
        <w:t xml:space="preserve"> and accession numbers, status lifecycle incl. REMOVED soft-delete; FR-23 branches per plan </w:t>
      </w:r>
      <w:r>
        <w:rPr>
          <w:rFonts w:ascii="Consolas" w:hAnsi="Consolas"/>
          <w:sz w:val="18"/>
        </w:rPr>
        <w:t>maxBranches</w:t>
      </w:r>
      <w:r>
        <w:t xml:space="preserve">; FR-24 shelf locations </w:t>
      </w:r>
      <w:r>
        <w:rPr>
          <w:rFonts w:ascii="Consolas" w:hAnsi="Consolas"/>
          <w:sz w:val="18"/>
        </w:rPr>
        <w:t>Branch→Building→Floor→Section→Shelf→Row</w:t>
      </w:r>
      <w:r>
        <w:t>; FR-25 member search (title/subtitle/author/subjects/ISBN, category subtree, language), patrons see published only.</w:t>
      </w:r>
    </w:p>
    <w:p>
      <w:r>
        <w:rPr>
          <w:b/>
        </w:rPr>
        <w:t>Circulation.</w:t>
      </w:r>
      <w:r>
        <w:t xml:space="preserve"> FR-30 per-tenant loan policies; FR-31 desk issue/return by scanning copy barcode + membership card (lookup endpoint); FR-32 renewals (own/staff, caps, reservation-blocked); FR-33 reservation lifecycle RESERVED→WAITING_FOR_PICKUP→READY_FOR_PICKUP→COLLECTED→RETURNED with queue promotion and lazy pickup-expiry; FR-34 fines (auto-late on return; staff LOST/DAMAGED/REPLACEMENT/MANUAL) with desk payment, waiver, online payment rail verified provider-side; FR-35 notification feed (in-app + email mirror); FR-36 plan gates (e.g. STARTER: no reservations).</w:t>
      </w:r>
    </w:p>
    <w:p>
      <w:r>
        <w:rPr>
          <w:b/>
        </w:rPr>
        <w:t>Publishing &amp; media.</w:t>
      </w:r>
      <w:r>
        <w:t xml:space="preserve"> FR-40 PERSONAL author libraries with public pages </w:t>
      </w:r>
      <w:r>
        <w:rPr>
          <w:rFonts w:ascii="Consolas" w:hAnsi="Consolas"/>
          <w:sz w:val="18"/>
        </w:rPr>
        <w:t>/book/{library}/{book}</w:t>
      </w:r>
      <w:r>
        <w:t>; FR-41 want-it marks and purchase requests with desk handover; FR-42 media uploads (magic-byte sniffed, re-encoded, thumb/full variants) under plan storage quota with append-only ledger; FR-43 ratings 1–5 (aggregate columns re-denormalized) and reviews with moderation, reports, helpful votes, policy-gated anonymity.</w:t>
      </w:r>
    </w:p>
    <w:p>
      <w:r>
        <w:rPr>
          <w:b/>
        </w:rPr>
        <w:t>Billing &amp; analytics.</w:t>
      </w:r>
      <w:r>
        <w:t xml:space="preserve"> FR-50 data-driven plans/limits; FR-51 renewal checkouts extending +30d on provider-verified payment; FR-52 lazy EXPIRED sweep on overdue subscriptions; FR-53 storage add-ons stacking onto plan caps; FR-54 platform plan changes with downgrade blocked (409) when usage exceeds target; FR-55 three dashboards (tenant admin, member, platform MRR).</w:t>
      </w:r>
    </w:p>
    <w:p>
      <w:r>
        <w:rPr>
          <w:b/>
        </w:rPr>
        <w:t>AI.</w:t>
      </w:r>
      <w:r>
        <w:t xml:space="preserve"> FR-60 semantic search ("beginner Java books after 2023") with strict year filters, per-hit explanations, metered; FR-61 recommendations from loans/ratings/interests with </w:t>
      </w:r>
      <w:r>
        <w:rPr>
          <w:rFonts w:ascii="Consolas" w:hAnsi="Consolas"/>
          <w:sz w:val="18"/>
        </w:rPr>
        <w:t>because</w:t>
      </w:r>
      <w:r>
        <w:t xml:space="preserve"> reasons, consumed never echoed; FR-62 staff-only grounded assistant (DEMAND/OVERDUE/TOP_RATED/SEARCH) with citations; FR-63 demand insights (want-it, reservation queues, zero-hit searches); FR-64 usage metering + plan </w:t>
      </w:r>
      <w:r>
        <w:rPr>
          <w:rFonts w:ascii="Consolas" w:hAnsi="Consolas"/>
          <w:sz w:val="18"/>
        </w:rPr>
        <w:t>aiCallsMonthly</w:t>
      </w:r>
      <w:r>
        <w:t xml:space="preserve"> (403 on exhaustion); FR-65 tenant-pinned embedding rebuild.</w:t>
      </w:r>
    </w:p>
    <w:p>
      <w:pPr>
        <w:pStyle w:val="Heading2"/>
      </w:pPr>
      <w:r>
        <w:t>3.3 Non-functional requirements</w:t>
      </w:r>
    </w:p>
    <w:p>
      <w:r>
        <w:t xml:space="preserve">NFR-1 </w:t>
      </w:r>
      <w:r>
        <w:rPr>
          <w:b/>
        </w:rPr>
        <w:t>Isolation by invisibility</w:t>
      </w:r>
      <w:r>
        <w:t xml:space="preserve">: cross-tenant IDs → 404. NFR-2 </w:t>
      </w:r>
      <w:r>
        <w:rPr>
          <w:b/>
        </w:rPr>
        <w:t>Nine-layer enforcement</w:t>
      </w:r>
      <w:r>
        <w:t xml:space="preserve"> (Ch. 4). NFR-3 </w:t>
      </w:r>
      <w:r>
        <w:rPr>
          <w:b/>
        </w:rPr>
        <w:t>Audit without secrets</w:t>
      </w:r>
      <w:r>
        <w:t xml:space="preserve"> (no passwords, tokens, or question text). NFR-4 </w:t>
      </w:r>
      <w:r>
        <w:rPr>
          <w:b/>
        </w:rPr>
        <w:t>Performance budgets</w:t>
      </w:r>
      <w:r>
        <w:t xml:space="preserve"> (p95: catalogue ≤150 ms, discovery ≤80 ms, AI ≤400 ms — all met, Ch. 6). NFR-5 </w:t>
      </w:r>
      <w:r>
        <w:rPr>
          <w:b/>
        </w:rPr>
        <w:t>WCAG 2.1 AA</w:t>
      </w:r>
      <w:r>
        <w:t xml:space="preserve"> client. NFR-6 </w:t>
      </w:r>
      <w:r>
        <w:rPr>
          <w:b/>
        </w:rPr>
        <w:t>RPO ≤ 15 min / RTO ≤ 1 h</w:t>
      </w:r>
      <w:r>
        <w:t xml:space="preserve"> via WAL + nightly dumps. NFR-7 </w:t>
      </w:r>
      <w:r>
        <w:rPr>
          <w:b/>
        </w:rPr>
        <w:t>Extend-only evolution</w:t>
      </w:r>
      <w:r>
        <w:t xml:space="preserve"> (migrations need no rewrites; ADR-gated refactors). NFR-8 </w:t>
      </w:r>
      <w:r>
        <w:rPr>
          <w:b/>
        </w:rPr>
        <w:t>Fail-closed money paths, fail-open at-risk auxiliaries</w:t>
      </w:r>
      <w:r>
        <w:t xml:space="preserve"> (Redis limiter fail-open with loud logs; verification mail is dev-logged).</w:t>
      </w:r>
    </w:p>
    <w:p>
      <w:pPr>
        <w:pStyle w:val="Heading2"/>
      </w:pPr>
      <w:r>
        <w:t>3.4 Use-case highlights (full UCs in appendix)</w:t>
      </w:r>
    </w:p>
    <w:p>
      <w:r>
        <w:t xml:space="preserve">UC-A </w:t>
      </w:r>
      <w:r>
        <w:rPr>
          <w:i/>
        </w:rPr>
        <w:t>Desk issue</w:t>
      </w:r>
      <w:r>
        <w:t xml:space="preserve">: librarian scans library card QR (membership number) → member summary; scans copy barcode → issue creates loan under policy; copy unavailable → 409 with the reason. UC-B </w:t>
      </w:r>
      <w:r>
        <w:rPr>
          <w:i/>
        </w:rPr>
        <w:t>Reserve with queue</w:t>
      </w:r>
      <w:r>
        <w:t xml:space="preserve">: reserve → on return the next queued reservation is promoted with a pickup window; window lapse auto-expires on next read. UC-C </w:t>
      </w:r>
      <w:r>
        <w:rPr>
          <w:i/>
        </w:rPr>
        <w:t>Acquisition question</w:t>
      </w:r>
      <w:r>
        <w:t xml:space="preserve">: librarian asks assistant "what should we buy more copies of?" → DEMAND intent grounded in want-it counts + reservation depth, citations to titles. UC-D </w:t>
      </w:r>
      <w:r>
        <w:rPr>
          <w:i/>
        </w:rPr>
        <w:t>Plan exhaustion</w:t>
      </w:r>
      <w:r>
        <w:t xml:space="preserve">: tenant hits </w:t>
      </w:r>
      <w:r>
        <w:rPr>
          <w:rFonts w:ascii="Consolas" w:hAnsi="Consolas"/>
          <w:sz w:val="18"/>
        </w:rPr>
        <w:t>aiCallsMonthly</w:t>
      </w:r>
      <w:r>
        <w:t xml:space="preserve"> → all AI endpoints answer 403 </w:t>
      </w:r>
      <w:r>
        <w:rPr>
          <w:rFonts w:ascii="Consolas" w:hAnsi="Consolas"/>
          <w:sz w:val="18"/>
        </w:rPr>
        <w:t>PLAN_LIMIT_EXCEEDED</w:t>
      </w:r>
      <w:r>
        <w:t xml:space="preserve"> until rollover or upgrade (data change only).</w:t>
      </w:r>
    </w:p>
    <w:p>
      <w:pPr>
        <w:pStyle w:val="Heading2"/>
      </w:pPr>
      <w:r>
        <w:t>3.5 Traceability</w:t>
      </w:r>
    </w:p>
    <w:p>
      <w:r>
        <w:t>Every FR maps to endpoints (Appendix A) and at least one automated test (Ch. 6, Table 6.1); every NFR maps to a measured gate (load baseline, WCAG audit, isolation suite, CI PG proof).</w:t>
      </w:r>
    </w:p>
    <w:p>
      <w:pPr>
        <w:pStyle w:val="Heading1"/>
      </w:pPr>
      <w:r>
        <w:t>Chapter 4 — Design</w:t>
      </w:r>
    </w:p>
    <w:p>
      <w:pPr>
        <w:pStyle w:val="Heading2"/>
      </w:pPr>
      <w:r>
        <w:t>4.1 System architecture</w:t>
      </w:r>
    </w:p>
    <w:p>
      <w:r>
        <w:t xml:space="preserve">Three planes, one deployment: the </w:t>
      </w:r>
      <w:r>
        <w:rPr>
          <w:b/>
        </w:rPr>
        <w:t>public plane</w:t>
      </w:r>
      <w:r>
        <w:t xml:space="preserve"> (anonymous directory, public book pages,</w:t>
      </w:r>
    </w:p>
    <w:p>
      <w:r>
        <w:t xml:space="preserve">media bytes, invitation previews), the </w:t>
      </w:r>
      <w:r>
        <w:rPr>
          <w:b/>
        </w:rPr>
        <w:t>tenant plane</w:t>
      </w:r>
      <w:r>
        <w:t xml:space="preserve"> (</w:t>
      </w:r>
      <w:r>
        <w:rPr>
          <w:rFonts w:ascii="Consolas" w:hAnsi="Consolas"/>
          <w:sz w:val="18"/>
        </w:rPr>
        <w:t>/api/v1/tenant/**</w:t>
      </w:r>
      <w:r>
        <w:t>, requires JWT +</w:t>
      </w:r>
    </w:p>
    <w:p>
      <w:r>
        <w:t xml:space="preserve">validated </w:t>
      </w:r>
      <w:r>
        <w:rPr>
          <w:rFonts w:ascii="Consolas" w:hAnsi="Consolas"/>
          <w:sz w:val="18"/>
        </w:rPr>
        <w:t>X-Library-Id</w:t>
      </w:r>
      <w:r>
        <w:t xml:space="preserve"> membership), and the </w:t>
      </w:r>
      <w:r>
        <w:rPr>
          <w:b/>
        </w:rPr>
        <w:t>platform plane</w:t>
      </w:r>
      <w:r>
        <w:t xml:space="preserve"> (</w:t>
      </w:r>
      <w:r>
        <w:rPr>
          <w:rFonts w:ascii="Consolas" w:hAnsi="Consolas"/>
          <w:sz w:val="18"/>
        </w:rPr>
        <w:t>/api/v1/platform/**</w:t>
      </w:r>
      <w:r>
        <w:t>,</w:t>
      </w:r>
    </w:p>
    <w:p>
      <w:r>
        <w:t>SUPER_ADMIN only, structurally incapable of library operations). A Flutter client</w:t>
      </w:r>
    </w:p>
    <w:p>
      <w:r>
        <w:t>(Android/iOS/web, single codebase) consumes all three. Infrastructure: Postgres 16 +</w:t>
      </w:r>
    </w:p>
    <w:p>
      <w:r>
        <w:t>pgvector, Redis (optional distributed rate limiting), S3-compatible object storage, SMTP;</w:t>
      </w:r>
    </w:p>
    <w:p>
      <w:r>
        <w:t>deployments are stateless behind TLS.</w:t>
      </w:r>
    </w:p>
    <w:p>
      <w:r>
        <w:rPr>
          <w:rFonts w:ascii="Consolas" w:hAnsi="Consolas"/>
          <w:sz w:val="17"/>
        </w:rPr>
        <w:t>[ Flutter app ]──HTTPS──▶[ Spring Boot API ]──▶[ Postgres +pgvector (RLS) ]</w:t>
        <w:br/>
        <w:t xml:space="preserve">                              │    ├──▶[ Redis ]   rate limiting (fail-open)</w:t>
        <w:br/>
        <w:t xml:space="preserve">                              │    ├──▶[ MinIO/S3 ] media blobs, tenant-prefixed keys</w:t>
        <w:br/>
        <w:t xml:space="preserve">                              │    └──▶[ SMTP ]    verification / notifications</w:t>
      </w:r>
    </w:p>
    <w:p>
      <w:pPr>
        <w:pStyle w:val="Heading2"/>
      </w:pPr>
      <w:r>
        <w:t>4.2 The nine isolation layers (RQ1's design answer)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#</w:t>
            </w:r>
          </w:p>
        </w:tc>
        <w:tc>
          <w:tcPr>
            <w:tcW w:type="dxa" w:w="2880"/>
          </w:tcPr>
          <w:p>
            <w:r>
              <w:t>Layer</w:t>
            </w:r>
          </w:p>
        </w:tc>
        <w:tc>
          <w:tcPr>
            <w:tcW w:type="dxa" w:w="2880"/>
          </w:tcPr>
          <w:p>
            <w:r>
              <w:t>Mechanism</w:t>
            </w:r>
          </w:p>
        </w:tc>
      </w:tr>
      <w:tr>
        <w:tc>
          <w:tcPr>
            <w:tcW w:type="dxa" w:w="2880"/>
          </w:tcPr>
          <w:p>
            <w:r>
              <w:t>1</w:t>
            </w:r>
          </w:p>
        </w:tc>
        <w:tc>
          <w:tcPr>
            <w:tcW w:type="dxa" w:w="2880"/>
          </w:tcPr>
          <w:p>
            <w:r>
              <w:t>HTTP plane</w:t>
            </w:r>
          </w:p>
        </w:tc>
        <w:tc>
          <w:tcPr>
            <w:tcW w:type="dxa" w:w="2880"/>
          </w:tcPr>
          <w:p>
            <w:r>
              <w:t>`TenantResolutionFilter` resolves `X-Library-Id` to a library and loads the caller's membership per request; header never trusted blindly — membership must exist</w:t>
            </w:r>
          </w:p>
        </w:tc>
      </w:tr>
      <w:tr>
        <w:tc>
          <w:tcPr>
            <w:tcW w:type="dxa" w:w="2880"/>
          </w:tcPr>
          <w:p>
            <w:r>
              <w:t>2</w:t>
            </w:r>
          </w:p>
        </w:tc>
        <w:tc>
          <w:tcPr>
            <w:tcW w:type="dxa" w:w="2880"/>
          </w:tcPr>
          <w:p>
            <w:r>
              <w:t>Context</w:t>
            </w:r>
          </w:p>
        </w:tc>
        <w:tc>
          <w:tcPr>
            <w:tcW w:type="dxa" w:w="2880"/>
          </w:tcPr>
          <w:p>
            <w:r>
              <w:t>`TenantContext` (transaction-scoped): tenant id + role carried immutably through the call</w:t>
            </w:r>
          </w:p>
        </w:tc>
      </w:tr>
      <w:tr>
        <w:tc>
          <w:tcPr>
            <w:tcW w:type="dxa" w:w="2880"/>
          </w:tcPr>
          <w:p>
            <w:r>
              <w:t>3</w:t>
            </w:r>
          </w:p>
        </w:tc>
        <w:tc>
          <w:tcPr>
            <w:tcW w:type="dxa" w:w="2880"/>
          </w:tcPr>
          <w:p>
            <w:r>
              <w:t>Service guards</w:t>
            </w:r>
          </w:p>
        </w:tc>
        <w:tc>
          <w:tcPr>
            <w:tcW w:type="dxa" w:w="2880"/>
          </w:tcPr>
          <w:p>
            <w:r>
              <w:t>`TenantGuard.requireRole/requireBelongsToCurrentTenant` — cross-tenant entity → 404 (invisibility, not 403)</w:t>
            </w:r>
          </w:p>
        </w:tc>
      </w:tr>
      <w:tr>
        <w:tc>
          <w:tcPr>
            <w:tcW w:type="dxa" w:w="2880"/>
          </w:tcPr>
          <w:p>
            <w:r>
              <w:t>4</w:t>
            </w:r>
          </w:p>
        </w:tc>
        <w:tc>
          <w:tcPr>
            <w:tcW w:type="dxa" w:w="2880"/>
          </w:tcPr>
          <w:p>
            <w:r>
              <w:t>ORM filter</w:t>
            </w:r>
          </w:p>
        </w:tc>
        <w:tc>
          <w:tcPr>
            <w:tcW w:type="dxa" w:w="2880"/>
          </w:tcPr>
          <w:p>
            <w:r>
              <w:t>Hibernate tenant filter applies the `tenant_id` predicate even if a service forgets</w:t>
            </w:r>
          </w:p>
        </w:tc>
      </w:tr>
      <w:tr>
        <w:tc>
          <w:tcPr>
            <w:tcW w:type="dxa" w:w="2880"/>
          </w:tcPr>
          <w:p>
            <w:r>
              <w:t>5</w:t>
            </w:r>
          </w:p>
        </w:tc>
        <w:tc>
          <w:tcPr>
            <w:tcW w:type="dxa" w:w="2880"/>
          </w:tcPr>
          <w:p>
            <w:r>
              <w:t>Keys &amp; identifiers</w:t>
            </w:r>
          </w:p>
        </w:tc>
        <w:tc>
          <w:tcPr>
            <w:tcW w:type="dxa" w:w="2880"/>
          </w:tcPr>
          <w:p>
            <w:r>
              <w:t>tenant-scoped natural keys (ISBN unique *per tenant*, `{branch}-{seq}` barcodes are tenant-namespaced)</w:t>
            </w:r>
          </w:p>
        </w:tc>
      </w:tr>
      <w:tr>
        <w:tc>
          <w:tcPr>
            <w:tcW w:type="dxa" w:w="2880"/>
          </w:tcPr>
          <w:p>
            <w:r>
              <w:t>6</w:t>
            </w:r>
          </w:p>
        </w:tc>
        <w:tc>
          <w:tcPr>
            <w:tcW w:type="dxa" w:w="2880"/>
          </w:tcPr>
          <w:p>
            <w:r>
              <w:t>Row-level security</w:t>
            </w:r>
          </w:p>
        </w:tc>
        <w:tc>
          <w:tcPr>
            <w:tcW w:type="dxa" w:w="2880"/>
          </w:tcPr>
          <w:p>
            <w:r>
              <w:t>Postgres RLS policy on every tenant table (25 policies, CI-verified ≥25): engine rejects cross-tenant rows even under raw SQL</w:t>
            </w:r>
          </w:p>
        </w:tc>
      </w:tr>
      <w:tr>
        <w:tc>
          <w:tcPr>
            <w:tcW w:type="dxa" w:w="2880"/>
          </w:tcPr>
          <w:p>
            <w:r>
              <w:t>7</w:t>
            </w:r>
          </w:p>
        </w:tc>
        <w:tc>
          <w:tcPr>
            <w:tcW w:type="dxa" w:w="2880"/>
          </w:tcPr>
          <w:p>
            <w:r>
              <w:t>Storage</w:t>
            </w:r>
          </w:p>
        </w:tc>
        <w:tc>
          <w:tcPr>
            <w:tcW w:type="dxa" w:w="2880"/>
          </w:tcPr>
          <w:p>
            <w:r>
              <w:t>object keys prefixed `t/{tenantId}/…`; public plane only ever serves ACTIVE+visible library attachments; avatars never public</w:t>
            </w:r>
          </w:p>
        </w:tc>
      </w:tr>
      <w:tr>
        <w:tc>
          <w:tcPr>
            <w:tcW w:type="dxa" w:w="2880"/>
          </w:tcPr>
          <w:p>
            <w:r>
              <w:t>8</w:t>
            </w:r>
          </w:p>
        </w:tc>
        <w:tc>
          <w:tcPr>
            <w:tcW w:type="dxa" w:w="2880"/>
          </w:tcPr>
          <w:p>
            <w:r>
              <w:t>Money &amp; audit</w:t>
            </w:r>
          </w:p>
        </w:tc>
        <w:tc>
          <w:tcPr>
            <w:tcW w:type="dxa" w:w="2880"/>
          </w:tcPr>
          <w:p>
            <w:r>
              <w:t>payments/fines/audit readers are tenant-pinned; platform readers are SUPER_ADMIN with role separation</w:t>
            </w:r>
          </w:p>
        </w:tc>
      </w:tr>
      <w:tr>
        <w:tc>
          <w:tcPr>
            <w:tcW w:type="dxa" w:w="2880"/>
          </w:tcPr>
          <w:p>
            <w:r>
              <w:t>9</w:t>
            </w:r>
          </w:p>
        </w:tc>
        <w:tc>
          <w:tcPr>
            <w:tcW w:type="dxa" w:w="2880"/>
          </w:tcPr>
          <w:p>
            <w:r>
              <w:t>Vector search</w:t>
            </w:r>
          </w:p>
        </w:tc>
        <w:tc>
          <w:tcPr>
            <w:tcW w:type="dxa" w:w="2880"/>
          </w:tcPr>
          <w:p>
            <w:r>
              <w:t>ANN/native query carries `WHERE tenant_id = ?` inside the pgvector search itself; embeddings stored per tenant with rebuild proving zero row leakage</w:t>
            </w:r>
          </w:p>
        </w:tc>
      </w:tr>
    </w:tbl>
    <w:p>
      <w:r>
        <w:t>Layer interactions are fail-stacked: a defect in any single layer does not expose another</w:t>
      </w:r>
    </w:p>
    <w:p>
      <w:r>
        <w:t>tenant's data.</w:t>
      </w:r>
    </w:p>
    <w:p>
      <w:pPr>
        <w:pStyle w:val="Heading2"/>
      </w:pPr>
      <w:r>
        <w:t>4.3 Identity model</w:t>
      </w:r>
    </w:p>
    <w:p>
      <w:r>
        <w:t xml:space="preserve">One global </w:t>
      </w:r>
      <w:r>
        <w:rPr>
          <w:b/>
        </w:rPr>
        <w:t>User</w:t>
      </w:r>
      <w:r>
        <w:t xml:space="preserve"> (email/password, MFA, lockout counters) joins zero or more libraries as</w:t>
      </w:r>
    </w:p>
    <w:p>
      <w:r>
        <w:rPr>
          <w:b/>
        </w:rPr>
        <w:t>Membership</w:t>
      </w:r>
      <w:r>
        <w:t xml:space="preserve"> (unique (tenant,user); number issued on approval; role + membership type +</w:t>
      </w:r>
    </w:p>
    <w:p>
      <w:r>
        <w:t>status per membership). Tenancy rights are always membership-derived, so one person can be a</w:t>
      </w:r>
    </w:p>
    <w:p>
      <w:r>
        <w:t>patron in one library and a librarian in another without privilege bleed.</w:t>
      </w:r>
    </w:p>
    <w:p>
      <w:pPr>
        <w:pStyle w:val="Heading2"/>
      </w:pPr>
      <w:r>
        <w:t>4.4 Data design</w:t>
      </w:r>
    </w:p>
    <w:p>
      <w:r>
        <w:t xml:space="preserve">32 tables across V1–V19 migrations; extend-only evolution. Key aggregates: </w:t>
      </w:r>
      <w:r>
        <w:rPr>
          <w:rFonts w:ascii="Consolas" w:hAnsi="Consolas"/>
          <w:sz w:val="18"/>
        </w:rPr>
        <w:t>libraries</w:t>
      </w:r>
    </w:p>
    <w:p>
      <w:r>
        <w:t xml:space="preserve">(tenant root: uid, slug, type, status, join policy, visibility, member_count); </w:t>
      </w:r>
      <w:r>
        <w:rPr>
          <w:rFonts w:ascii="Consolas" w:hAnsi="Consolas"/>
          <w:sz w:val="18"/>
        </w:rPr>
        <w:t>memberships</w:t>
      </w:r>
      <w:r>
        <w:t>;</w:t>
      </w:r>
    </w:p>
    <w:p>
      <w:r>
        <w:rPr>
          <w:rFonts w:ascii="Consolas" w:hAnsi="Consolas"/>
          <w:sz w:val="18"/>
        </w:rPr>
        <w:t>subscription_plans</w:t>
      </w:r>
      <w:r>
        <w:t xml:space="preserve"> (</w:t>
      </w:r>
      <w:r>
        <w:rPr>
          <w:b/>
        </w:rPr>
        <w:t>limits as JSON</w:t>
      </w:r>
      <w:r>
        <w:t xml:space="preserve"> — RQ2) + </w:t>
      </w:r>
      <w:r>
        <w:rPr>
          <w:rFonts w:ascii="Consolas" w:hAnsi="Consolas"/>
          <w:sz w:val="18"/>
        </w:rPr>
        <w:t>library_subscriptions</w:t>
      </w:r>
      <w:r>
        <w:t xml:space="preserve"> + </w:t>
      </w:r>
      <w:r>
        <w:rPr>
          <w:rFonts w:ascii="Consolas" w:hAnsi="Consolas"/>
          <w:sz w:val="18"/>
        </w:rPr>
        <w:t>payments</w:t>
      </w:r>
      <w:r>
        <w:t>;</w:t>
      </w:r>
    </w:p>
    <w:p>
      <w:r>
        <w:rPr>
          <w:rFonts w:ascii="Consolas" w:hAnsi="Consolas"/>
          <w:sz w:val="18"/>
        </w:rPr>
        <w:t>categories/books/book_copies/branches/shelf_locations</w:t>
      </w:r>
      <w:r>
        <w:t>; `loans/reservations/fines/</w:t>
      </w:r>
    </w:p>
    <w:p>
      <w:r>
        <w:t>notifications</w:t>
      </w:r>
      <w:r>
        <w:rPr>
          <w:rFonts w:ascii="Consolas" w:hAnsi="Consolas"/>
          <w:sz w:val="18"/>
        </w:rPr>
        <w:t xml:space="preserve">; </w:t>
      </w:r>
      <w:r>
        <w:t>book_interests/purchase_requests/media_objects/book_ratings/book_reviews/</w:t>
      </w:r>
    </w:p>
    <w:p>
      <w:r>
        <w:t>review_reports/review_helpful_votes</w:t>
      </w:r>
      <w:r>
        <w:rPr>
          <w:rFonts w:ascii="Consolas" w:hAnsi="Consolas"/>
          <w:sz w:val="18"/>
        </w:rPr>
        <w:t xml:space="preserve">; </w:t>
      </w:r>
      <w:r>
        <w:t>storage_usage</w:t>
      </w:r>
      <w:r>
        <w:rPr>
          <w:rFonts w:ascii="Consolas" w:hAnsi="Consolas"/>
          <w:sz w:val="18"/>
        </w:rPr>
        <w:t xml:space="preserve"> (append-only ledger); </w:t>
      </w:r>
      <w:r>
        <w:t>book_embeddings</w:t>
      </w:r>
    </w:p>
    <w:p>
      <w:r>
        <w:t>/ai_usage_counters/search_events</w:t>
      </w:r>
      <w:r>
        <w:rPr>
          <w:rFonts w:ascii="Consolas" w:hAnsi="Consolas"/>
          <w:sz w:val="18"/>
        </w:rPr>
        <w:t xml:space="preserve"> (AI plane); </w:t>
      </w:r>
      <w:r>
        <w:t>audit_logs`. Index strategy: hot predicate</w:t>
      </w:r>
    </w:p>
    <w:p>
      <w:r>
        <w:t xml:space="preserve">sets carry composites from V5–V18; V19 adds PG-only trigram GIN for </w:t>
      </w:r>
      <w:r>
        <w:rPr>
          <w:rFonts w:ascii="Consolas" w:hAnsi="Consolas"/>
          <w:sz w:val="18"/>
        </w:rPr>
        <w:t>%like%</w:t>
      </w:r>
      <w:r>
        <w:t xml:space="preserve"> member search.</w:t>
      </w:r>
    </w:p>
    <w:p>
      <w:pPr>
        <w:pStyle w:val="Heading2"/>
      </w:pPr>
      <w:r>
        <w:t>4.5 API design</w:t>
      </w:r>
    </w:p>
    <w:p>
      <w:r>
        <w:t>REST v1 with a consistent envelope discipline: resources scoped under</w:t>
      </w:r>
    </w:p>
    <w:p>
      <w:r>
        <w:rPr>
          <w:rFonts w:ascii="Consolas" w:hAnsi="Consolas"/>
          <w:sz w:val="18"/>
        </w:rPr>
        <w:t>/api/v1/{public,tenant,platform,auth,me}</w:t>
      </w:r>
      <w:r>
        <w:t>; validation DTOs everywhere (bean validation);</w:t>
      </w:r>
    </w:p>
    <w:p>
      <w:r>
        <w:rPr>
          <w:b/>
        </w:rPr>
        <w:t>one error shape</w:t>
      </w:r>
      <w:r>
        <w:t xml:space="preserve"> — </w:t>
      </w:r>
      <w:r>
        <w:rPr>
          <w:rFonts w:ascii="Consolas" w:hAnsi="Consolas"/>
          <w:sz w:val="18"/>
        </w:rPr>
        <w:t>{timestamp,status,code,message,details,traceId}</w:t>
      </w:r>
      <w:r>
        <w:t xml:space="preserve"> — documented on every</w:t>
      </w:r>
    </w:p>
    <w:p>
      <w:r>
        <w:t>operation in OpenAPI (post-generation customizer adds exactly the codes each operation can</w:t>
      </w:r>
    </w:p>
    <w:p>
      <w:r>
        <w:t>produce). Idempotency where money moves (provider-verified confirms; unique provider refs).</w:t>
      </w:r>
    </w:p>
    <w:p>
      <w:r>
        <w:t>Soft-delete conventions (status flags) preserve audit history; nothing destructive exists in</w:t>
      </w:r>
    </w:p>
    <w:p>
      <w:r>
        <w:t>the API.</w:t>
      </w:r>
    </w:p>
    <w:p>
      <w:pPr>
        <w:pStyle w:val="Heading2"/>
      </w:pPr>
      <w:r>
        <w:t>4.6 Security design controls (mapped to OWASP)</w:t>
      </w:r>
    </w:p>
    <w:p>
      <w:pPr>
        <w:pStyle w:val="ListBullet"/>
      </w:pPr>
      <w:r>
        <w:rPr>
          <w:b/>
        </w:rPr>
        <w:t>A01 Access control</w:t>
      </w:r>
      <w:r>
        <w:t xml:space="preserve"> → layers 1–9 above; SUPER_ADMIN cannot exercise tenant functions.</w:t>
      </w:r>
    </w:p>
    <w:p>
      <w:pPr>
        <w:pStyle w:val="ListBullet"/>
      </w:pPr>
      <w:r>
        <w:rPr>
          <w:b/>
        </w:rPr>
        <w:t>A02 Crypto</w:t>
      </w:r>
      <w:r>
        <w:t xml:space="preserve"> → HS256/HS384 JWTs with fail-fast weak-secret check; TOTP (RFC 6238); password BCrypt; secrets env-only.</w:t>
      </w:r>
    </w:p>
    <w:p>
      <w:pPr>
        <w:pStyle w:val="ListBullet"/>
      </w:pPr>
      <w:r>
        <w:rPr>
          <w:b/>
        </w:rPr>
        <w:t>A07 Auth failures</w:t>
      </w:r>
      <w:r>
        <w:t xml:space="preserve"> → durable 10-strike lockout (423 + </w:t>
      </w:r>
      <w:r>
        <w:rPr>
          <w:rFonts w:ascii="Consolas" w:hAnsi="Consolas"/>
          <w:sz w:val="18"/>
        </w:rPr>
        <w:t>retryAfterSeconds</w:t>
      </w:r>
      <w:r>
        <w:t>), MFA challenge tokens unusable as access tokens, refresh-reuse detection revokes the family.</w:t>
      </w:r>
    </w:p>
    <w:p>
      <w:pPr>
        <w:pStyle w:val="ListBullet"/>
      </w:pPr>
      <w:r>
        <w:rPr>
          <w:b/>
        </w:rPr>
        <w:t>A09 Logging</w:t>
      </w:r>
      <w:r>
        <w:t xml:space="preserve"> → structured audit with tenant pinning; never logs secrets or AI question text (only intent + length — asserted by test).</w:t>
      </w:r>
    </w:p>
    <w:p>
      <w:pPr>
        <w:pStyle w:val="ListBullet"/>
      </w:pPr>
      <w:r>
        <w:rPr>
          <w:b/>
        </w:rPr>
        <w:t>Rate limiting</w:t>
      </w:r>
      <w:r>
        <w:t xml:space="preserve"> → memory or Redis (fail-open, logged); auth endpoints throttled per IP+account.</w:t>
      </w:r>
    </w:p>
    <w:p>
      <w:pPr>
        <w:pStyle w:val="ListBullet"/>
      </w:pPr>
      <w:r>
        <w:rPr>
          <w:b/>
        </w:rPr>
        <w:t>Headers</w:t>
      </w:r>
      <w:r>
        <w:t xml:space="preserve"> → CSP </w:t>
      </w:r>
      <w:r>
        <w:rPr>
          <w:rFonts w:ascii="Consolas" w:hAnsi="Consolas"/>
          <w:sz w:val="18"/>
        </w:rPr>
        <w:t>default-src 'none'</w:t>
      </w:r>
      <w:r>
        <w:t xml:space="preserve"> on API, Permissions-Policy, nosniff, DENY.</w:t>
      </w:r>
    </w:p>
    <w:p>
      <w:pPr>
        <w:pStyle w:val="Heading2"/>
      </w:pPr>
      <w:r>
        <w:t>4.7 AI design</w:t>
      </w:r>
    </w:p>
    <w:p>
      <w:r>
        <w:t>Embeddings are tenant-scoped rows (</w:t>
      </w:r>
      <w:r>
        <w:rPr>
          <w:rFonts w:ascii="Consolas" w:hAnsi="Consolas"/>
          <w:sz w:val="18"/>
        </w:rPr>
        <w:t>model</w:t>
      </w:r>
      <w:r>
        <w:t xml:space="preserve">, </w:t>
      </w:r>
      <w:r>
        <w:rPr>
          <w:rFonts w:ascii="Consolas" w:hAnsi="Consolas"/>
          <w:sz w:val="18"/>
        </w:rPr>
        <w:t>dims</w:t>
      </w:r>
      <w:r>
        <w:t xml:space="preserve">, </w:t>
      </w:r>
      <w:r>
        <w:rPr>
          <w:rFonts w:ascii="Consolas" w:hAnsi="Consolas"/>
          <w:sz w:val="18"/>
        </w:rPr>
        <w:t>text_hash</w:t>
      </w:r>
      <w:r>
        <w:t xml:space="preserve"> → self-healing staleness).</w:t>
      </w:r>
    </w:p>
    <w:p>
      <w:r>
        <w:t>The dev embedder is a deterministic 256-dim hashing embedder (offline CI); production can</w:t>
      </w:r>
    </w:p>
    <w:p>
      <w:r>
        <w:t xml:space="preserve">select OpenAI embeddings by env. </w:t>
      </w:r>
      <w:r>
        <w:rPr>
          <w:b/>
        </w:rPr>
        <w:t>Query understanding</w:t>
      </w:r>
      <w:r>
        <w:t xml:space="preserve"> extracts strict year predicates</w:t>
      </w:r>
    </w:p>
    <w:p>
      <w:r>
        <w:t>("after 2023", "older than 1990", "in 2019") so hard filters always beat vectors. Scoring</w:t>
      </w:r>
    </w:p>
    <w:p>
      <w:r>
        <w:t xml:space="preserve">= 0.7·cosine + 0.3·lexical coverage with per-hit </w:t>
      </w:r>
      <w:r>
        <w:rPr>
          <w:rFonts w:ascii="Consolas" w:hAnsi="Consolas"/>
          <w:sz w:val="18"/>
        </w:rPr>
        <w:t>matchedTokens</w:t>
      </w:r>
      <w:r>
        <w:t xml:space="preserve"> + </w:t>
      </w:r>
      <w:r>
        <w:rPr>
          <w:rFonts w:ascii="Consolas" w:hAnsi="Consolas"/>
          <w:sz w:val="18"/>
        </w:rPr>
        <w:t>why</w:t>
      </w:r>
      <w:r>
        <w:t xml:space="preserve"> explanations.</w:t>
      </w:r>
    </w:p>
    <w:p>
      <w:r>
        <w:t>Recommendations = weighted centroid of the member's own loans (×1), ≥4★ ratings (×2),</w:t>
      </w:r>
    </w:p>
    <w:p>
      <w:r>
        <w:t>want-it marks (×1.5); cold start → library top-rated; consumed titles never echo. The</w:t>
      </w:r>
    </w:p>
    <w:p>
      <w:r>
        <w:t>assistant is staff-only, intent-routed (DEMAND/OVERDUE/TOP_RATED/SEARCH), grounded in tenant</w:t>
      </w:r>
    </w:p>
    <w:p>
      <w:r>
        <w:t xml:space="preserve">data with catalog citations. Every AI call debits </w:t>
      </w:r>
      <w:r>
        <w:rPr>
          <w:rFonts w:ascii="Consolas" w:hAnsi="Consolas"/>
          <w:sz w:val="18"/>
        </w:rPr>
        <w:t>ai_usage_counters</w:t>
      </w:r>
      <w:r>
        <w:t xml:space="preserve"> (tenant, feature, month)</w:t>
      </w:r>
    </w:p>
    <w:p>
      <w:r>
        <w:t xml:space="preserve">against </w:t>
      </w:r>
      <w:r>
        <w:rPr>
          <w:rFonts w:ascii="Consolas" w:hAnsi="Consolas"/>
          <w:sz w:val="18"/>
        </w:rPr>
        <w:t>limits.aiCallsMonthly</w:t>
      </w:r>
      <w:r>
        <w:t xml:space="preserve"> → 403 </w:t>
      </w:r>
      <w:r>
        <w:rPr>
          <w:rFonts w:ascii="Consolas" w:hAnsi="Consolas"/>
          <w:sz w:val="18"/>
        </w:rPr>
        <w:t>PLAN_LIMIT_EXCEEDED</w:t>
      </w:r>
      <w:r>
        <w:t>.</w:t>
      </w:r>
    </w:p>
    <w:p>
      <w:pPr>
        <w:pStyle w:val="Heading2"/>
      </w:pPr>
      <w:r>
        <w:t>4.8 Client design</w:t>
      </w:r>
    </w:p>
    <w:p>
      <w:r>
        <w:t>Flutter single codebase; Riverpod state; go_router deep links (</w:t>
      </w:r>
      <w:r>
        <w:rPr>
          <w:rFonts w:ascii="Consolas" w:hAnsi="Consolas"/>
          <w:sz w:val="18"/>
        </w:rPr>
        <w:t>/join/{key}</w:t>
      </w:r>
      <w:r>
        <w:t>,</w:t>
      </w:r>
    </w:p>
    <w:p>
      <w:r>
        <w:rPr>
          <w:rFonts w:ascii="Consolas" w:hAnsi="Consolas"/>
          <w:sz w:val="18"/>
        </w:rPr>
        <w:t>/book/{library}/{book}</w:t>
      </w:r>
      <w:r>
        <w:t xml:space="preserve">, </w:t>
      </w:r>
      <w:r>
        <w:rPr>
          <w:rFonts w:ascii="Consolas" w:hAnsi="Consolas"/>
          <w:sz w:val="18"/>
        </w:rPr>
        <w:t>/ai</w:t>
      </w:r>
      <w:r>
        <w:t>); membership card renders its QR (scannable at the desk);</w:t>
      </w:r>
    </w:p>
    <w:p>
      <w:r>
        <w:t>WCAG 2.1 AA audited (semantics, tooltips, contrast, text scaling).</w:t>
      </w:r>
    </w:p>
    <w:p>
      <w:pPr>
        <w:pStyle w:val="Heading1"/>
      </w:pPr>
      <w:r>
        <w:t>Chapter 5 — Implementation</w:t>
      </w:r>
    </w:p>
    <w:p>
      <w:r>
        <w:t>*Stack: Java 21 / Spring Boot 3.5 (JPA/Hibernate, Spring Security JWT, Flyway, springdoc),</w:t>
      </w:r>
    </w:p>
    <w:p>
      <w:r>
        <w:t>Postgres 16 + pgvector, Redis, MinIO, Paystack API; Flutter 3 (material 3, Riverpod,</w:t>
      </w:r>
    </w:p>
    <w:p>
      <w:r>
        <w:t xml:space="preserve">go_router). Repo layout: </w:t>
      </w:r>
      <w:r>
        <w:rPr>
          <w:rFonts w:ascii="Consolas" w:hAnsi="Consolas"/>
          <w:sz w:val="18"/>
        </w:rPr>
        <w:t>backend/</w:t>
      </w:r>
      <w:r>
        <w:t xml:space="preserve">, </w:t>
      </w:r>
      <w:r>
        <w:rPr>
          <w:rFonts w:ascii="Consolas" w:hAnsi="Consolas"/>
          <w:sz w:val="18"/>
        </w:rPr>
        <w:t>mobile/</w:t>
      </w:r>
      <w:r>
        <w:t xml:space="preserve">, </w:t>
      </w:r>
      <w:r>
        <w:rPr>
          <w:rFonts w:ascii="Consolas" w:hAnsi="Consolas"/>
          <w:sz w:val="18"/>
        </w:rPr>
        <w:t>infra/</w:t>
      </w:r>
      <w:r>
        <w:t xml:space="preserve">, </w:t>
      </w:r>
      <w:r>
        <w:rPr>
          <w:rFonts w:ascii="Consolas" w:hAnsi="Consolas"/>
          <w:sz w:val="18"/>
        </w:rPr>
        <w:t>docs/</w:t>
      </w:r>
      <w:r>
        <w:t xml:space="preserve">, </w:t>
      </w:r>
      <w:r>
        <w:rPr>
          <w:rFonts w:ascii="Consolas" w:hAnsi="Consolas"/>
          <w:sz w:val="18"/>
        </w:rPr>
        <w:t>scripts/</w:t>
      </w:r>
      <w:r>
        <w:t>.*</w:t>
      </w:r>
    </w:p>
    <w:p>
      <w:r>
        <w:t>Implementation proceeded phase by phase under the "extend, never rewrite" contract; each</w:t>
      </w:r>
    </w:p>
    <w:p>
      <w:r>
        <w:t>phase shipped migration(s) + module + tests + live scripted demo. The phase log below doubles</w:t>
      </w:r>
    </w:p>
    <w:p>
      <w:r>
        <w:t>as a build history (traceable in git).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Phase</w:t>
            </w:r>
          </w:p>
        </w:tc>
        <w:tc>
          <w:tcPr>
            <w:tcW w:type="dxa" w:w="2880"/>
          </w:tcPr>
          <w:p>
            <w:r>
              <w:t>Delivered</w:t>
            </w:r>
          </w:p>
        </w:tc>
        <w:tc>
          <w:tcPr>
            <w:tcW w:type="dxa" w:w="2880"/>
          </w:tcPr>
          <w:p>
            <w:r>
              <w:t>Key artifacts</w:t>
            </w:r>
          </w:p>
        </w:tc>
      </w:tr>
      <w:tr>
        <w:tc>
          <w:tcPr>
            <w:tcW w:type="dxa" w:w="2880"/>
          </w:tcPr>
          <w:p>
            <w:r>
              <w:t>0 Bootstrap</w:t>
            </w:r>
          </w:p>
        </w:tc>
        <w:tc>
          <w:tcPr>
            <w:tcW w:type="dxa" w:w="2880"/>
          </w:tcPr>
          <w:p>
            <w:r>
              <w:t>monorepo, CI, Docker, ADRs</w:t>
            </w:r>
          </w:p>
        </w:tc>
        <w:tc>
          <w:tcPr>
            <w:tcW w:type="dxa" w:w="2880"/>
          </w:tcPr>
          <w:p>
            <w:r>
              <w:t>`infra/docker-compose.yml`, `.github/workflows/ci.yml`</w:t>
            </w:r>
          </w:p>
        </w:tc>
      </w:tr>
      <w:tr>
        <w:tc>
          <w:tcPr>
            <w:tcW w:type="dxa" w:w="2880"/>
          </w:tcPr>
          <w:p>
            <w:r>
              <w:t>1 Identity &amp; security core</w:t>
            </w:r>
          </w:p>
        </w:tc>
        <w:tc>
          <w:tcPr>
            <w:tcW w:type="dxa" w:w="2880"/>
          </w:tcPr>
          <w:p>
            <w:r>
              <w:t>registration/login, refresh rotation w/ reuse detection, verification mail, audit service, rate limiting</w:t>
            </w:r>
          </w:p>
        </w:tc>
        <w:tc>
          <w:tcPr>
            <w:tcW w:type="dxa" w:w="2880"/>
          </w:tcPr>
          <w:p>
            <w:r>
              <w:t>`identity/` module, `audit_logs`</w:t>
            </w:r>
          </w:p>
        </w:tc>
      </w:tr>
      <w:tr>
        <w:tc>
          <w:tcPr>
            <w:tcW w:type="dxa" w:w="2880"/>
          </w:tcPr>
          <w:p>
            <w:r>
              <w:t>2 Tenancy &amp; membership</w:t>
            </w:r>
          </w:p>
        </w:tc>
        <w:tc>
          <w:tcPr>
            <w:tcW w:type="dxa" w:w="2880"/>
          </w:tcPr>
          <w:p>
            <w:r>
              <w:t>TenantContext + filter, RLS migration V2, libraries/uids, joins &amp; invitations</w:t>
            </w:r>
          </w:p>
        </w:tc>
        <w:tc>
          <w:tcPr>
            <w:tcW w:type="dxa" w:w="2880"/>
          </w:tcPr>
          <w:p>
            <w:r>
              <w:t>`tenancy/`, `membership/`</w:t>
            </w:r>
          </w:p>
        </w:tc>
      </w:tr>
      <w:tr>
        <w:tc>
          <w:tcPr>
            <w:tcW w:type="dxa" w:w="2880"/>
          </w:tcPr>
          <w:p>
            <w:r>
              <w:t>3 Onboarding &amp; subscriptions</w:t>
            </w:r>
          </w:p>
        </w:tc>
        <w:tc>
          <w:tcPr>
            <w:tcW w:type="dxa" w:w="2880"/>
          </w:tcPr>
          <w:p>
            <w:r>
              <w:t>plans (JSON limits), request→payment→approve→provision, entitlements</w:t>
            </w:r>
          </w:p>
        </w:tc>
        <w:tc>
          <w:tcPr>
            <w:tcW w:type="dxa" w:w="2880"/>
          </w:tcPr>
          <w:p>
            <w:r>
              <w:t>`onboarding/`, `billing/`</w:t>
            </w:r>
          </w:p>
        </w:tc>
      </w:tr>
      <w:tr>
        <w:tc>
          <w:tcPr>
            <w:tcW w:type="dxa" w:w="2880"/>
          </w:tcPr>
          <w:p>
            <w:r>
              <w:t>4 Catalogue &amp; discovery</w:t>
            </w:r>
          </w:p>
        </w:tc>
        <w:tc>
          <w:tcPr>
            <w:tcW w:type="dxa" w:w="2880"/>
          </w:tcPr>
          <w:p>
            <w:r>
              <w:t>category tree, books/copies w/ barcodes, branches, shelf locations, member search</w:t>
            </w:r>
          </w:p>
        </w:tc>
        <w:tc>
          <w:tcPr>
            <w:tcW w:type="dxa" w:w="2880"/>
          </w:tcPr>
          <w:p>
            <w:r>
              <w:t>`catalog/`</w:t>
            </w:r>
          </w:p>
        </w:tc>
      </w:tr>
      <w:tr>
        <w:tc>
          <w:tcPr>
            <w:tcW w:type="dxa" w:w="2880"/>
          </w:tcPr>
          <w:p>
            <w:r>
              <w:t>5 Circulation</w:t>
            </w:r>
          </w:p>
        </w:tc>
        <w:tc>
          <w:tcPr>
            <w:tcW w:type="dxa" w:w="2880"/>
          </w:tcPr>
          <w:p>
            <w:r>
              <w:t>policies, desk issue/return scans, renewals, reservation queues + pickup expiry, fines, notifications</w:t>
            </w:r>
          </w:p>
        </w:tc>
        <w:tc>
          <w:tcPr>
            <w:tcW w:type="dxa" w:w="2880"/>
          </w:tcPr>
          <w:p>
            <w:r>
              <w:t>`circulation/`</w:t>
            </w:r>
          </w:p>
        </w:tc>
      </w:tr>
      <w:tr>
        <w:tc>
          <w:tcPr>
            <w:tcW w:type="dxa" w:w="2880"/>
          </w:tcPr>
          <w:p>
            <w:r>
              <w:t>6 Publishing &amp; public pages</w:t>
            </w:r>
          </w:p>
        </w:tc>
        <w:tc>
          <w:tcPr>
            <w:tcW w:type="dxa" w:w="2880"/>
          </w:tcPr>
          <w:p>
            <w:r>
              <w:t>PERSONAL author libraries, public book pages w/ share URLs, want-it marks, purchase handover</w:t>
            </w:r>
          </w:p>
        </w:tc>
        <w:tc>
          <w:tcPr>
            <w:tcW w:type="dxa" w:w="2880"/>
          </w:tcPr>
          <w:p>
            <w:r>
              <w:t>`publishing/`</w:t>
            </w:r>
          </w:p>
        </w:tc>
      </w:tr>
      <w:tr>
        <w:tc>
          <w:tcPr>
            <w:tcW w:type="dxa" w:w="2880"/>
          </w:tcPr>
          <w:p>
            <w:r>
              <w:t>7 Media, ratings, reviews</w:t>
            </w:r>
          </w:p>
        </w:tc>
        <w:tc>
          <w:tcPr>
            <w:tcW w:type="dxa" w:w="2880"/>
          </w:tcPr>
          <w:p>
            <w:r>
              <w:t>sniffed uploads w/ variants, quota, ratings aggregates, moderation/reports/votes, anonymity policy</w:t>
            </w:r>
          </w:p>
        </w:tc>
        <w:tc>
          <w:tcPr>
            <w:tcW w:type="dxa" w:w="2880"/>
          </w:tcPr>
          <w:p>
            <w:r>
              <w:t>`media/`</w:t>
            </w:r>
          </w:p>
        </w:tc>
      </w:tr>
      <w:tr>
        <w:tc>
          <w:tcPr>
            <w:tcW w:type="dxa" w:w="2880"/>
          </w:tcPr>
          <w:p>
            <w:r>
              <w:t>8 Advanced security</w:t>
            </w:r>
          </w:p>
        </w:tc>
        <w:tc>
          <w:tcPr>
            <w:tcW w:type="dxa" w:w="2880"/>
          </w:tcPr>
          <w:p>
            <w:r>
              <w:t>TOTP MFA, sessions/devices, Redis limiter option, headers review, audit viewers, pentest map</w:t>
            </w:r>
          </w:p>
        </w:tc>
        <w:tc>
          <w:tcPr>
            <w:tcW w:type="dxa" w:w="2880"/>
          </w:tcPr>
          <w:p>
            <w:r>
              <w:t>`identity/security/`, `docs/SECURITY-PENTEST-CHECKLIST.md`</w:t>
            </w:r>
          </w:p>
        </w:tc>
      </w:tr>
      <w:tr>
        <w:tc>
          <w:tcPr>
            <w:tcW w:type="dxa" w:w="2880"/>
          </w:tcPr>
          <w:p>
            <w:r>
              <w:t>9 Quotas, billing, analytics</w:t>
            </w:r>
          </w:p>
        </w:tc>
        <w:tc>
          <w:tcPr>
            <w:tcW w:type="dxa" w:w="2880"/>
          </w:tcPr>
          <w:p>
            <w:r>
              <w:t>storage ledger, renewals +30d, lazy EXPIRED, add-ons, downgrade guard, online fine rail, 3 dashboards</w:t>
            </w:r>
          </w:p>
        </w:tc>
        <w:tc>
          <w:tcPr>
            <w:tcW w:type="dxa" w:w="2880"/>
          </w:tcPr>
          <w:p>
            <w:r>
              <w:t>`analytics/`, V14–V15</w:t>
            </w:r>
          </w:p>
        </w:tc>
      </w:tr>
      <w:tr>
        <w:tc>
          <w:tcPr>
            <w:tcW w:type="dxa" w:w="2880"/>
          </w:tcPr>
          <w:p>
            <w:r>
              <w:t>10 AI</w:t>
            </w:r>
          </w:p>
        </w:tc>
        <w:tc>
          <w:tcPr>
            <w:tcW w:type="dxa" w:w="2880"/>
          </w:tcPr>
          <w:p>
            <w:r>
              <w:t>embeddings, semantic search, recommendations, guarded assistant, demand insights, metering</w:t>
            </w:r>
          </w:p>
        </w:tc>
        <w:tc>
          <w:tcPr>
            <w:tcW w:type="dxa" w:w="2880"/>
          </w:tcPr>
          <w:p>
            <w:r>
              <w:t>`ai/`, V16–V17</w:t>
            </w:r>
          </w:p>
        </w:tc>
      </w:tr>
      <w:tr>
        <w:tc>
          <w:tcPr>
            <w:tcW w:type="dxa" w:w="2880"/>
          </w:tcPr>
          <w:p>
            <w:r>
              <w:t>11 Hardening</w:t>
            </w:r>
          </w:p>
        </w:tc>
        <w:tc>
          <w:tcPr>
            <w:tcW w:type="dxa" w:w="2880"/>
          </w:tcPr>
          <w:p>
            <w:r>
              <w:t>WCAG fixes, V18–V19 indexes, edge caching, OpenAPI polish, backups/drill, runbooks, release gate, perf baseline</w:t>
            </w:r>
          </w:p>
        </w:tc>
        <w:tc>
          <w:tcPr>
            <w:tcW w:type="dxa" w:w="2880"/>
          </w:tcPr>
          <w:p>
            <w:r>
              <w:t>`docs/ops/*`, `scripts/*`</w:t>
            </w:r>
          </w:p>
        </w:tc>
      </w:tr>
    </w:tbl>
    <w:p>
      <w:pPr>
        <w:pStyle w:val="Heading2"/>
      </w:pPr>
      <w:r>
        <w:t>5.1 Notable implementation decisions</w:t>
      </w:r>
    </w:p>
    <w:p>
      <w:pPr>
        <w:pStyle w:val="ListNumber"/>
      </w:pPr>
      <w:r>
        <w:rPr>
          <w:b/>
        </w:rPr>
        <w:t>Money is minor units everywhere</w:t>
      </w:r>
      <w:r>
        <w:t xml:space="preserve"> (</w:t>
      </w:r>
      <w:r>
        <w:rPr>
          <w:rFonts w:ascii="Consolas" w:hAnsi="Consolas"/>
          <w:sz w:val="18"/>
        </w:rPr>
        <w:t>priceMonthlyMinor</w:t>
      </w:r>
      <w:r>
        <w:t xml:space="preserve">, </w:t>
      </w:r>
      <w:r>
        <w:rPr>
          <w:rFonts w:ascii="Consolas" w:hAnsi="Consolas"/>
          <w:sz w:val="18"/>
        </w:rPr>
        <w:t>amountMinor</w:t>
      </w:r>
      <w:r>
        <w:t>) — no floats touch</w:t>
      </w:r>
    </w:p>
    <w:p>
      <w:r>
        <w:t xml:space="preserve">   currency; GH₵ via Paystack minor units.</w:t>
      </w:r>
    </w:p>
    <w:p>
      <w:pPr>
        <w:pStyle w:val="ListNumber"/>
      </w:pPr>
      <w:r>
        <w:rPr>
          <w:b/>
        </w:rPr>
        <w:t>Lazy sweeps beat schedulers</w:t>
      </w:r>
      <w:r>
        <w:t>: subscription expiry and pickup-window expiry run as</w:t>
      </w:r>
    </w:p>
    <w:p>
      <w:r>
        <w:t xml:space="preserve">   REQUIRES_NEW side-transactions on first overdue read — nothing sleeps stale, nothing</w:t>
      </w:r>
    </w:p>
    <w:p>
      <w:r>
        <w:t xml:space="preserve">   fails a read.</w:t>
      </w:r>
    </w:p>
    <w:p>
      <w:pPr>
        <w:pStyle w:val="ListNumber"/>
      </w:pPr>
      <w:r>
        <w:rPr>
          <w:b/>
        </w:rPr>
        <w:t>Plan limits are rows</w:t>
      </w:r>
      <w:r>
        <w:t xml:space="preserve">: changing STARTER's </w:t>
      </w:r>
      <w:r>
        <w:rPr>
          <w:rFonts w:ascii="Consolas" w:hAnsi="Consolas"/>
          <w:sz w:val="18"/>
        </w:rPr>
        <w:t>aiCallsMonthly</w:t>
      </w:r>
      <w:r>
        <w:t xml:space="preserve"> is an UPDATE, and the</w:t>
      </w:r>
    </w:p>
    <w:p>
      <w:r>
        <w:t xml:space="preserve">   regression suite proves enforcement flips by data alone (AI quota test).</w:t>
      </w:r>
    </w:p>
    <w:p>
      <w:pPr>
        <w:pStyle w:val="ListNumber"/>
      </w:pPr>
      <w:r>
        <w:rPr>
          <w:b/>
        </w:rPr>
        <w:t>Deterministic dev AI</w:t>
      </w:r>
      <w:r>
        <w:t>: the 256-dim hashing embedder (unigrams+bigrams, FNV-1a,</w:t>
      </w:r>
    </w:p>
    <w:p>
      <w:r>
        <w:t xml:space="preserve">   Porter-lite stemming, stopwords, L2-norm) gives reproducible rankings in tests and CI</w:t>
      </w:r>
    </w:p>
    <w:p>
      <w:r>
        <w:t xml:space="preserve">   without paid APIs; production selects </w:t>
      </w:r>
      <w:r>
        <w:rPr>
          <w:rFonts w:ascii="Consolas" w:hAnsi="Consolas"/>
          <w:sz w:val="18"/>
        </w:rPr>
        <w:t>text-embedding-3-small</w:t>
      </w:r>
      <w:r>
        <w:t xml:space="preserve"> by env with dims 1536 —</w:t>
      </w:r>
    </w:p>
    <w:p>
      <w:r>
        <w:t xml:space="preserve">   same storage column.</w:t>
      </w:r>
    </w:p>
    <w:p>
      <w:pPr>
        <w:pStyle w:val="ListNumber"/>
      </w:pPr>
      <w:r>
        <w:rPr>
          <w:b/>
        </w:rPr>
        <w:t>Hibernate → RLS belt and braces</w:t>
      </w:r>
      <w:r>
        <w:t>: the ORM filter covers JPA paths, RLS covers raw SQL</w:t>
      </w:r>
    </w:p>
    <w:p>
      <w:r>
        <w:t xml:space="preserve">   and any future reporting connection; CI asserts ≥25 policies exist on real PG.</w:t>
      </w:r>
    </w:p>
    <w:p>
      <w:pPr>
        <w:pStyle w:val="ListNumber"/>
      </w:pPr>
      <w:r>
        <w:rPr>
          <w:b/>
        </w:rPr>
        <w:t>Audit discipline</w:t>
      </w:r>
      <w:r>
        <w:t xml:space="preserve">: </w:t>
      </w:r>
      <w:r>
        <w:rPr>
          <w:rFonts w:ascii="Consolas" w:hAnsi="Consolas"/>
          <w:sz w:val="18"/>
        </w:rPr>
        <w:t>audit.log(...)</w:t>
      </w:r>
      <w:r>
        <w:t xml:space="preserve"> is REQUIRES_NEW (a failing business transaction</w:t>
      </w:r>
    </w:p>
    <w:p>
      <w:r>
        <w:t xml:space="preserve">   cannot erase its own audit), and metadata maps are built explicit field by field — there</w:t>
      </w:r>
    </w:p>
    <w:p>
      <w:r>
        <w:t xml:space="preserve">   is no code path that serializes a request body into audit.</w:t>
      </w:r>
    </w:p>
    <w:p>
      <w:pPr>
        <w:pStyle w:val="ListNumber"/>
      </w:pPr>
      <w:r>
        <w:rPr>
          <w:b/>
        </w:rPr>
        <w:t>Portal pages stay public-safe</w:t>
      </w:r>
      <w:r>
        <w:t>: public reads return 404 (not 403/401) for anything</w:t>
      </w:r>
    </w:p>
    <w:p>
      <w:r>
        <w:t xml:space="preserve">   unpublished, hidden or suspended — no existence oracle on the anonymous plane either.</w:t>
      </w:r>
    </w:p>
    <w:p>
      <w:pPr>
        <w:pStyle w:val="Heading2"/>
      </w:pPr>
      <w:r>
        <w:t>5.2 The Flutter client</w:t>
      </w:r>
    </w:p>
    <w:p>
      <w:r>
        <w:t>Single codebase for Android/iOS/web. Surfaces: auth (register/verify/login/MFA), discovery &amp;</w:t>
      </w:r>
    </w:p>
    <w:p>
      <w:r>
        <w:t>join, home (multi-library membership picker + QR card), catalogue/search/detail with</w:t>
      </w:r>
    </w:p>
    <w:p>
      <w:r>
        <w:t>rating + interest + reserve, loans/reservations/fines/notifications views, and the Phase-10</w:t>
      </w:r>
    </w:p>
    <w:p>
      <w:r>
        <w:rPr>
          <w:rFonts w:ascii="Consolas" w:hAnsi="Consolas"/>
          <w:sz w:val="18"/>
        </w:rPr>
        <w:t>/ai</w:t>
      </w:r>
      <w:r>
        <w:t xml:space="preserve"> page (semantic search with explanation chips, recommendations with reasons; staff-only</w:t>
      </w:r>
    </w:p>
    <w:p>
      <w:r>
        <w:t xml:space="preserve">assistant + demand insights + usage chip). All tenant calls carry the JWT + </w:t>
      </w:r>
      <w:r>
        <w:rPr>
          <w:rFonts w:ascii="Consolas" w:hAnsi="Consolas"/>
          <w:sz w:val="18"/>
        </w:rPr>
        <w:t>X-Library-Id</w:t>
      </w:r>
    </w:p>
    <w:p>
      <w:r>
        <w:t xml:space="preserve">of the </w:t>
      </w:r>
      <w:r>
        <w:rPr>
          <w:i/>
        </w:rPr>
        <w:t>active</w:t>
      </w:r>
      <w:r>
        <w:t xml:space="preserve"> membership; the session persists and offers per-library switching without</w:t>
      </w:r>
    </w:p>
    <w:p>
      <w:r>
        <w:t>re-login. Phase 11 added the accessibility layer (QR semantics label, tooltips on every</w:t>
      </w:r>
    </w:p>
    <w:p>
      <w:r>
        <w:t xml:space="preserve">icon-only control, semantic headers, </w:t>
      </w:r>
      <w:r>
        <w:rPr>
          <w:rFonts w:ascii="Consolas" w:hAnsi="Consolas"/>
          <w:sz w:val="18"/>
        </w:rPr>
        <w:t>TextInputAction.search</w:t>
      </w:r>
      <w:r>
        <w:t>).</w:t>
      </w:r>
    </w:p>
    <w:p>
      <w:pPr>
        <w:pStyle w:val="Heading1"/>
      </w:pPr>
      <w:r>
        <w:t>Chapter 6 — Testing and verification</w:t>
      </w:r>
    </w:p>
    <w:p>
      <w:pPr>
        <w:pStyle w:val="Heading2"/>
      </w:pPr>
      <w:r>
        <w:t>6.1 Strategy</w:t>
      </w:r>
    </w:p>
    <w:p>
      <w:r>
        <w:t>Verification is layered to match the architecture: unit-level behaviour (query understanding,</w:t>
      </w:r>
    </w:p>
    <w:p>
      <w:r>
        <w:t>embedder math) sits inside end-to-end REST suites that run against the real app with the real</w:t>
      </w:r>
    </w:p>
    <w:p>
      <w:r>
        <w:t>security filter chain (MockMvc + full context + dev H2/PG-mode). **The suite is the</w:t>
      </w:r>
    </w:p>
    <w:p>
      <w:r>
        <w:t>specification**: each phase ends only when the whole suite is green on one shared schema —</w:t>
      </w:r>
    </w:p>
    <w:p>
      <w:r>
        <w:t>so cross-suite interference is deliberately part of the test environment (suites use their</w:t>
      </w:r>
    </w:p>
    <w:p>
      <w:r>
        <w:t>own tenants and never assert global counts).</w:t>
      </w:r>
    </w:p>
    <w:p>
      <w:pPr>
        <w:pStyle w:val="Heading2"/>
      </w:pPr>
      <w:r>
        <w:t>6.2 The suites (120 tests, 13 classes, all green at submission)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Suite</w:t>
            </w:r>
          </w:p>
        </w:tc>
        <w:tc>
          <w:tcPr>
            <w:tcW w:type="dxa" w:w="2880"/>
          </w:tcPr>
          <w:p>
            <w:r>
              <w:t>Cases</w:t>
            </w:r>
          </w:p>
        </w:tc>
        <w:tc>
          <w:tcPr>
            <w:tcW w:type="dxa" w:w="2880"/>
          </w:tcPr>
          <w:p>
            <w:r>
              <w:t>What it proves</w:t>
            </w:r>
          </w:p>
        </w:tc>
      </w:tr>
      <w:tr>
        <w:tc>
          <w:tcPr>
            <w:tcW w:type="dxa" w:w="2880"/>
          </w:tcPr>
          <w:p>
            <w:r>
              <w:t>`TenantIsolationTest`</w:t>
            </w:r>
          </w:p>
        </w:tc>
        <w:tc>
          <w:tcPr>
            <w:tcW w:type="dxa" w:w="2880"/>
          </w:tcPr>
          <w:p>
            <w:r>
              <w:t>33</w:t>
            </w:r>
          </w:p>
        </w:tc>
        <w:tc>
          <w:tcPr>
            <w:tcW w:type="dxa" w:w="2880"/>
          </w:tcPr>
          <w:p>
            <w:r>
              <w:t>every feature's cross-tenant IDs → 404; SUPER_ADMIN refused tenant ops; dashboards/ratings/AI scoped; AI: foreign embeddings never scored, recommendations stay in-tenant</w:t>
            </w:r>
          </w:p>
        </w:tc>
      </w:tr>
      <w:tr>
        <w:tc>
          <w:tcPr>
            <w:tcW w:type="dxa" w:w="2880"/>
          </w:tcPr>
          <w:p>
            <w:r>
              <w:t>`AiFlowTest`</w:t>
            </w:r>
          </w:p>
        </w:tc>
        <w:tc>
          <w:tcPr>
            <w:tcW w:type="dxa" w:w="2880"/>
          </w:tcPr>
          <w:p>
            <w:r>
              <w:t>10</w:t>
            </w:r>
          </w:p>
        </w:tc>
        <w:tc>
          <w:tcPr>
            <w:tcW w:type="dxa" w:w="2880"/>
          </w:tcPr>
          <w:p>
            <w:r>
              <w:t>deterministic semantic ranking + strict year filter (yearless rows excluded); recs in-domain, consumed never echoed; assistant grounding + citations + audit holds no question text + patron 403; zero-hit demand capture; tenant-pinned rebuild; plan-quota 403 flipped by JSON data and restored</w:t>
            </w:r>
          </w:p>
        </w:tc>
      </w:tr>
      <w:tr>
        <w:tc>
          <w:tcPr>
            <w:tcW w:type="dxa" w:w="2880"/>
          </w:tcPr>
          <w:p>
            <w:r>
              <w:t>`HardeningTest`</w:t>
            </w:r>
          </w:p>
        </w:tc>
        <w:tc>
          <w:tcPr>
            <w:tcW w:type="dxa" w:w="2880"/>
          </w:tcPr>
          <w:p>
            <w:r>
              <w:t>8</w:t>
            </w:r>
          </w:p>
        </w:tc>
        <w:tc>
          <w:tcPr>
            <w:tcW w:type="dxa" w:w="2880"/>
          </w:tcPr>
          <w:p>
            <w:r>
              <w:t>cache rules (anonymous public 60 s / previews no-store / private never-public), OpenAPI envelope + per-op error codes, V18 indexes exist</w:t>
            </w:r>
          </w:p>
        </w:tc>
      </w:tr>
      <w:tr>
        <w:tc>
          <w:tcPr>
            <w:tcW w:type="dxa" w:w="2880"/>
          </w:tcPr>
          <w:p>
            <w:r>
              <w:t>Billing/analytics flows</w:t>
            </w:r>
          </w:p>
        </w:tc>
        <w:tc>
          <w:tcPr>
            <w:tcW w:type="dxa" w:w="2880"/>
          </w:tcPr>
          <w:p>
            <w:r>
              <w:t>11</w:t>
            </w:r>
          </w:p>
        </w:tc>
        <w:tc>
          <w:tcPr>
            <w:tcW w:type="dxa" w:w="2880"/>
          </w:tcPr>
          <w:p>
            <w:r>
              <w:t>+30-day renewal, add-on stacking, lazy EXPIRED, blocked/allowed plan changes, provider-verified fine rail, ledger netting</w:t>
            </w:r>
          </w:p>
        </w:tc>
      </w:tr>
      <w:tr>
        <w:tc>
          <w:tcPr>
            <w:tcW w:type="dxa" w:w="2880"/>
          </w:tcPr>
          <w:p>
            <w:r>
              <w:t>Security hardening</w:t>
            </w:r>
          </w:p>
        </w:tc>
        <w:tc>
          <w:tcPr>
            <w:tcW w:type="dxa" w:w="2880"/>
          </w:tcPr>
          <w:p>
            <w:r>
              <w:t>7</w:t>
            </w:r>
          </w:p>
        </w:tc>
        <w:tc>
          <w:tcPr>
            <w:tcW w:type="dxa" w:w="2880"/>
          </w:tcPr>
          <w:p>
            <w:r>
              <w:t>423 lockout, sessions/revoke→reuse detection, TOTP E2E, audit viewers, headers</w:t>
            </w:r>
          </w:p>
        </w:tc>
      </w:tr>
      <w:tr>
        <w:tc>
          <w:tcPr>
            <w:tcW w:type="dxa" w:w="2880"/>
          </w:tcPr>
          <w:p>
            <w:r>
              <w:t>Media/review, circulation, catalog, publishing, onboarding, identity flows</w:t>
            </w:r>
          </w:p>
        </w:tc>
        <w:tc>
          <w:tcPr>
            <w:tcW w:type="dxa" w:w="2880"/>
          </w:tcPr>
          <w:p>
            <w:r>
              <w:t>remainder</w:t>
            </w:r>
          </w:p>
        </w:tc>
        <w:tc>
          <w:tcPr>
            <w:tcW w:type="dxa" w:w="2880"/>
          </w:tcPr>
          <w:p>
            <w:r>
              <w:t>each FR's happy + error paths</w:t>
            </w:r>
          </w:p>
        </w:tc>
      </w:tr>
    </w:tbl>
    <w:p>
      <w:r>
        <w:t>Every phase added ≥1 isolation case — the number grew 0→33 monotonically and is a CI merge</w:t>
      </w:r>
    </w:p>
    <w:p>
      <w:r>
        <w:t>blocker.</w:t>
      </w:r>
    </w:p>
    <w:p>
      <w:pPr>
        <w:pStyle w:val="Heading2"/>
      </w:pPr>
      <w:r>
        <w:t>6.3 Live end-to-end evidence (scripted demos, all passing at submission)</w:t>
      </w:r>
    </w:p>
    <w:p>
      <w:pPr>
        <w:pStyle w:val="ListBullet"/>
      </w:pPr>
      <w:r>
        <w:t xml:space="preserve">Phase demos re-runnable: </w:t>
      </w:r>
      <w:r>
        <w:rPr>
          <w:rFonts w:ascii="Consolas" w:hAnsi="Consolas"/>
          <w:sz w:val="18"/>
        </w:rPr>
        <w:t>demo-p10.sh</w:t>
      </w:r>
      <w:r>
        <w:t xml:space="preserve"> (14 AI checks) and </w:t>
      </w:r>
      <w:r>
        <w:rPr>
          <w:rFonts w:ascii="Consolas" w:hAnsi="Consolas"/>
          <w:sz w:val="18"/>
        </w:rPr>
        <w:t>demo-p11.sh</w:t>
      </w:r>
      <w:r>
        <w:t xml:space="preserve"> (6 hardening</w:t>
      </w:r>
    </w:p>
    <w:p>
      <w:r>
        <w:t xml:space="preserve">  checks) against the booted app.</w:t>
      </w:r>
    </w:p>
    <w:p>
      <w:pPr>
        <w:pStyle w:val="ListBullet"/>
      </w:pPr>
      <w:r>
        <w:t xml:space="preserve">Boot log proves </w:t>
      </w:r>
      <w:r>
        <w:rPr>
          <w:b/>
        </w:rPr>
        <w:t>all 19 Flyway migrations</w:t>
      </w:r>
      <w:r>
        <w:t xml:space="preserve"> apply cleanly on an empty schema.</w:t>
      </w:r>
    </w:p>
    <w:p>
      <w:pPr>
        <w:pStyle w:val="ListBullet"/>
      </w:pPr>
      <w:r>
        <w:t xml:space="preserve">CI job </w:t>
      </w:r>
      <w:r>
        <w:rPr>
          <w:rFonts w:ascii="Consolas" w:hAnsi="Consolas"/>
          <w:sz w:val="18"/>
        </w:rPr>
        <w:t>staging-migration-smoke</w:t>
      </w:r>
      <w:r>
        <w:t xml:space="preserve"> boots the staging profile against **real pgvector/pg16 +</w:t>
      </w:r>
    </w:p>
    <w:p>
      <w:r>
        <w:t xml:space="preserve">  Redis + SMTP** and asserts: ≥25 tenant-isolation RLS policies with RLS enabled; HNSW</w:t>
      </w:r>
    </w:p>
    <w:p>
      <w:r>
        <w:t xml:space="preserve">  vector index; 4 trigram GIN indexes.</w:t>
      </w:r>
    </w:p>
    <w:p>
      <w:pPr>
        <w:pStyle w:val="Heading2"/>
      </w:pPr>
      <w:r>
        <w:t>6.4 Performance verification</w:t>
      </w:r>
    </w:p>
    <w:p>
      <w:r>
        <w:rPr>
          <w:rFonts w:ascii="Consolas" w:hAnsi="Consolas"/>
          <w:sz w:val="18"/>
        </w:rPr>
        <w:t>scripts/load-test.sh</w:t>
      </w:r>
      <w:r>
        <w:t xml:space="preserve"> — 40 sequential requests per hot endpoint against the dev build</w:t>
      </w:r>
    </w:p>
    <w:p>
      <w:r>
        <w:t xml:space="preserve">(budgets and both measured runs in </w:t>
      </w:r>
      <w:r>
        <w:rPr>
          <w:rFonts w:ascii="Consolas" w:hAnsi="Consolas"/>
          <w:sz w:val="18"/>
        </w:rPr>
        <w:t>docs/PERF-BASELINE.md</w:t>
      </w:r>
      <w:r>
        <w:t>):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Endpoint</w:t>
            </w:r>
          </w:p>
        </w:tc>
        <w:tc>
          <w:tcPr>
            <w:tcW w:type="dxa" w:w="2880"/>
          </w:tcPr>
          <w:p>
            <w:r>
              <w:t>Budget p95</w:t>
            </w:r>
          </w:p>
        </w:tc>
        <w:tc>
          <w:tcPr>
            <w:tcW w:type="dxa" w:w="2880"/>
          </w:tcPr>
          <w:p>
            <w:r>
              <w:t>Measured p95 (run A / run B)</w:t>
            </w:r>
          </w:p>
        </w:tc>
      </w:tr>
      <w:tr>
        <w:tc>
          <w:tcPr>
            <w:tcW w:type="dxa" w:w="2880"/>
          </w:tcPr>
          <w:p>
            <w:r>
              <w:t>Tenant catalogue search</w:t>
            </w:r>
          </w:p>
        </w:tc>
        <w:tc>
          <w:tcPr>
            <w:tcW w:type="dxa" w:w="2880"/>
          </w:tcPr>
          <w:p>
            <w:r>
              <w:t>150 ms</w:t>
            </w:r>
          </w:p>
        </w:tc>
        <w:tc>
          <w:tcPr>
            <w:tcW w:type="dxa" w:w="2880"/>
          </w:tcPr>
          <w:p>
            <w:r>
              <w:t>29.7 / 23.7 ms</w:t>
            </w:r>
          </w:p>
        </w:tc>
      </w:tr>
      <w:tr>
        <w:tc>
          <w:tcPr>
            <w:tcW w:type="dxa" w:w="2880"/>
          </w:tcPr>
          <w:p>
            <w:r>
              <w:t>Anonymous discovery</w:t>
            </w:r>
          </w:p>
        </w:tc>
        <w:tc>
          <w:tcPr>
            <w:tcW w:type="dxa" w:w="2880"/>
          </w:tcPr>
          <w:p>
            <w:r>
              <w:t>80 ms</w:t>
            </w:r>
          </w:p>
        </w:tc>
        <w:tc>
          <w:tcPr>
            <w:tcW w:type="dxa" w:w="2880"/>
          </w:tcPr>
          <w:p>
            <w:r>
              <w:t>10.7 / 10.7 ms</w:t>
            </w:r>
          </w:p>
        </w:tc>
      </w:tr>
      <w:tr>
        <w:tc>
          <w:tcPr>
            <w:tcW w:type="dxa" w:w="2880"/>
          </w:tcPr>
          <w:p>
            <w:r>
              <w:t>Public book page</w:t>
            </w:r>
          </w:p>
        </w:tc>
        <w:tc>
          <w:tcPr>
            <w:tcW w:type="dxa" w:w="2880"/>
          </w:tcPr>
          <w:p>
            <w:r>
              <w:t>80 ms</w:t>
            </w:r>
          </w:p>
        </w:tc>
        <w:tc>
          <w:tcPr>
            <w:tcW w:type="dxa" w:w="2880"/>
          </w:tcPr>
          <w:p>
            <w:r>
              <w:t>17.1 / 14.9 ms</w:t>
            </w:r>
          </w:p>
        </w:tc>
      </w:tr>
      <w:tr>
        <w:tc>
          <w:tcPr>
            <w:tcW w:type="dxa" w:w="2880"/>
          </w:tcPr>
          <w:p>
            <w:r>
              <w:t>AI semantic search</w:t>
            </w:r>
          </w:p>
        </w:tc>
        <w:tc>
          <w:tcPr>
            <w:tcW w:type="dxa" w:w="2880"/>
          </w:tcPr>
          <w:p>
            <w:r>
              <w:t>400 ms</w:t>
            </w:r>
          </w:p>
        </w:tc>
        <w:tc>
          <w:tcPr>
            <w:tcW w:type="dxa" w:w="2880"/>
          </w:tcPr>
          <w:p>
            <w:r>
              <w:t>49.8 / 34.5 ms</w:t>
            </w:r>
          </w:p>
        </w:tc>
      </w:tr>
    </w:tbl>
    <w:p>
      <w:r>
        <w:t>N+1 audit found hot paths already batched (grouped availability counts, aggregate</w:t>
      </w:r>
    </w:p>
    <w:p>
      <w:r>
        <w:t>dashboards, bulk embedding reads) — no per-row loops.</w:t>
      </w:r>
    </w:p>
    <w:p>
      <w:pPr>
        <w:pStyle w:val="Heading2"/>
      </w:pPr>
      <w:r>
        <w:t>6.5 Accessibility verification</w:t>
      </w:r>
    </w:p>
    <w:p>
      <w:r>
        <w:t xml:space="preserve">WCAG 2.1 AA criterion-by-criterion audit signed in </w:t>
      </w:r>
      <w:r>
        <w:rPr>
          <w:rFonts w:ascii="Consolas" w:hAnsi="Consolas"/>
          <w:sz w:val="18"/>
        </w:rPr>
        <w:t>docs/ACCESSIBILITY-AUDIT.md</w:t>
      </w:r>
      <w:r>
        <w:t>:</w:t>
      </w:r>
    </w:p>
    <w:p>
      <w:r>
        <w:t>non-text content labelled (QR semantics label), every icon-only control tooltiped, semantic</w:t>
      </w:r>
    </w:p>
    <w:p>
      <w:r>
        <w:t>headers, Material-3 role pairs for contrast (≥4.5:1), system text scaling honoured, keyboard</w:t>
      </w:r>
    </w:p>
    <w:p>
      <w:r>
        <w:t>submission on search fields, server error messages surfaced verbatim.</w:t>
      </w:r>
    </w:p>
    <w:p>
      <w:pPr>
        <w:pStyle w:val="Heading2"/>
      </w:pPr>
      <w:r>
        <w:t>6.6 Security verification</w:t>
      </w:r>
    </w:p>
    <w:p>
      <w:r>
        <w:t xml:space="preserve">Pentest map in </w:t>
      </w:r>
      <w:r>
        <w:rPr>
          <w:rFonts w:ascii="Consolas" w:hAnsi="Consolas"/>
          <w:sz w:val="18"/>
        </w:rPr>
        <w:t>docs/SECURITY-PENTEST-CHECKLIST.md</w:t>
      </w:r>
      <w:r>
        <w:t xml:space="preserve"> (every control → code location → test).</w:t>
      </w:r>
    </w:p>
    <w:p>
      <w:r>
        <w:t xml:space="preserve">Live probes at submission: CSP </w:t>
      </w:r>
      <w:r>
        <w:rPr>
          <w:rFonts w:ascii="Consolas" w:hAnsi="Consolas"/>
          <w:sz w:val="18"/>
        </w:rPr>
        <w:t>default-src 'none'</w:t>
      </w:r>
      <w:r>
        <w:t xml:space="preserve"> + Permissions-Policy + nosniff + DENY</w:t>
      </w:r>
    </w:p>
    <w:p>
      <w:r>
        <w:t>present; tenant endpoints without token/header → 400; patron → AI usage 403; **cross-tenant</w:t>
      </w:r>
    </w:p>
    <w:p>
      <w:r>
        <w:t>book ID → 404**; secrets scan of the repo clean; all secrets env-injected with fail-fast</w:t>
      </w:r>
    </w:p>
    <w:p>
      <w:r>
        <w:t>weak-key check.</w:t>
      </w:r>
    </w:p>
    <w:p>
      <w:pPr>
        <w:pStyle w:val="Heading2"/>
      </w:pPr>
      <w:r>
        <w:t>6.7 Threats to validity (examiner-honest)</w:t>
      </w:r>
    </w:p>
    <w:p>
      <w:pPr>
        <w:pStyle w:val="ListBullet"/>
      </w:pPr>
      <w:r>
        <w:t>Load numbers are sequential single-client latencies on the dev host — a concurrency study</w:t>
      </w:r>
    </w:p>
    <w:p>
      <w:r>
        <w:t xml:space="preserve">  (the baseline doc names the tool and gate) is a production-day-1 task.</w:t>
      </w:r>
    </w:p>
    <w:p>
      <w:pPr>
        <w:pStyle w:val="ListBullet"/>
      </w:pPr>
      <w:r>
        <w:t xml:space="preserve">AI quality: the deterministic dev embedder proves the </w:t>
      </w:r>
      <w:r>
        <w:rPr>
          <w:i/>
        </w:rPr>
        <w:t>pipeline</w:t>
      </w:r>
      <w:r>
        <w:t>; semantic quality claims</w:t>
      </w:r>
    </w:p>
    <w:p>
      <w:r>
        <w:t xml:space="preserve">  apply to the production embedder path (env-selected OpenAI embeddings).</w:t>
      </w:r>
    </w:p>
    <w:p>
      <w:pPr>
        <w:pStyle w:val="ListBullet"/>
      </w:pPr>
      <w:r>
        <w:t>Tenant scale: seeded demos use 4 tenants; isolation correctness is schema-level, not</w:t>
      </w:r>
    </w:p>
    <w:p>
      <w:r>
        <w:t xml:space="preserve">  volume-dependent, but very-large-tenant behaviour is future load work.</w:t>
      </w:r>
    </w:p>
    <w:p>
      <w:pPr>
        <w:pStyle w:val="Heading1"/>
      </w:pPr>
      <w:r>
        <w:t>Chapter 7 — Evaluation</w:t>
      </w:r>
    </w:p>
    <w:p>
      <w:pPr>
        <w:pStyle w:val="Heading2"/>
      </w:pPr>
      <w:r>
        <w:t>7.1 Objectives → outcomes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#</w:t>
            </w:r>
          </w:p>
        </w:tc>
        <w:tc>
          <w:tcPr>
            <w:tcW w:type="dxa" w:w="2160"/>
          </w:tcPr>
          <w:p>
            <w:r>
              <w:t>Objective (Ch. 1)</w:t>
            </w:r>
          </w:p>
        </w:tc>
        <w:tc>
          <w:tcPr>
            <w:tcW w:type="dxa" w:w="2160"/>
          </w:tcPr>
          <w:p>
            <w:r>
              <w:t>Met?</w:t>
            </w:r>
          </w:p>
        </w:tc>
        <w:tc>
          <w:tcPr>
            <w:tcW w:type="dxa" w:w="2160"/>
          </w:tcPr>
          <w:p>
            <w:r>
              <w:t>Evidence</w:t>
            </w:r>
          </w:p>
        </w:tc>
      </w:tr>
      <w:tr>
        <w:tc>
          <w:tcPr>
            <w:tcW w:type="dxa" w:w="2160"/>
          </w:tcPr>
          <w:p>
            <w:r>
              <w:t>1</w:t>
            </w:r>
          </w:p>
        </w:tc>
        <w:tc>
          <w:tcPr>
            <w:tcW w:type="dxa" w:w="2160"/>
          </w:tcPr>
          <w:p>
            <w:r>
              <w:t>Identity–tenancy domain</w:t>
            </w:r>
          </w:p>
        </w:tc>
        <w:tc>
          <w:tcPr>
            <w:tcW w:type="dxa" w:w="2160"/>
          </w:tcPr>
          <w:p>
            <w:r>
              <w:t>✅</w:t>
            </w:r>
          </w:p>
        </w:tc>
        <w:tc>
          <w:tcPr>
            <w:tcW w:type="dxa" w:w="2160"/>
          </w:tcPr>
          <w:p>
            <w:r>
              <w:t>memberships/invitations; join policies; QR membership cards; role resolution per request</w:t>
            </w:r>
          </w:p>
        </w:tc>
      </w:tr>
      <w:tr>
        <w:tc>
          <w:tcPr>
            <w:tcW w:type="dxa" w:w="2160"/>
          </w:tcPr>
          <w:p>
            <w:r>
              <w:t>2</w:t>
            </w:r>
          </w:p>
        </w:tc>
        <w:tc>
          <w:tcPr>
            <w:tcW w:type="dxa" w:w="2160"/>
          </w:tcPr>
          <w:p>
            <w:r>
              <w:t>9-layer isolation + automated proof</w:t>
            </w:r>
          </w:p>
        </w:tc>
        <w:tc>
          <w:tcPr>
            <w:tcW w:type="dxa" w:w="2160"/>
          </w:tcPr>
          <w:p>
            <w:r>
              <w:t>✅</w:t>
            </w:r>
          </w:p>
        </w:tc>
        <w:tc>
          <w:tcPr>
            <w:tcW w:type="dxa" w:w="2160"/>
          </w:tcPr>
          <w:p>
            <w:r>
              <w:t>layers in Ch. 4.2; 33-case isolation suite; 25 RLS policies CI-verified on PG</w:t>
            </w:r>
          </w:p>
        </w:tc>
      </w:tr>
      <w:tr>
        <w:tc>
          <w:tcPr>
            <w:tcW w:type="dxa" w:w="2160"/>
          </w:tcPr>
          <w:p>
            <w:r>
              <w:t>3</w:t>
            </w:r>
          </w:p>
        </w:tc>
        <w:tc>
          <w:tcPr>
            <w:tcW w:type="dxa" w:w="2160"/>
          </w:tcPr>
          <w:p>
            <w:r>
              <w:t>Circulation loop</w:t>
            </w:r>
          </w:p>
        </w:tc>
        <w:tc>
          <w:tcPr>
            <w:tcW w:type="dxa" w:w="2160"/>
          </w:tcPr>
          <w:p>
            <w:r>
              <w:t>✅</w:t>
            </w:r>
          </w:p>
        </w:tc>
        <w:tc>
          <w:tcPr>
            <w:tcW w:type="dxa" w:w="2160"/>
          </w:tcPr>
          <w:p>
            <w:r>
              <w:t>issue/return scans, renewals, queue promotion + pickup expiry, auto-late/lost/damaged fines, desk + online settlement</w:t>
            </w:r>
          </w:p>
        </w:tc>
      </w:tr>
      <w:tr>
        <w:tc>
          <w:tcPr>
            <w:tcW w:type="dxa" w:w="2160"/>
          </w:tcPr>
          <w:p>
            <w:r>
              <w:t>4</w:t>
            </w:r>
          </w:p>
        </w:tc>
        <w:tc>
          <w:tcPr>
            <w:tcW w:type="dxa" w:w="2160"/>
          </w:tcPr>
          <w:p>
            <w:r>
              <w:t>Plans-as-data billing</w:t>
            </w:r>
          </w:p>
        </w:tc>
        <w:tc>
          <w:tcPr>
            <w:tcW w:type="dxa" w:w="2160"/>
          </w:tcPr>
          <w:p>
            <w:r>
              <w:t>✅</w:t>
            </w:r>
          </w:p>
        </w:tc>
        <w:tc>
          <w:tcPr>
            <w:tcW w:type="dxa" w:w="2160"/>
          </w:tcPr>
          <w:p>
            <w:r>
              <w:t>JSON limits (incl. `aiCallsMonthly`), Paystack checkouts + provider-verified confirms, storage ledger, renewal/lazy-expiry, downgrade guard; flipped in tests by data edits only</w:t>
            </w:r>
          </w:p>
        </w:tc>
      </w:tr>
      <w:tr>
        <w:tc>
          <w:tcPr>
            <w:tcW w:type="dxa" w:w="2160"/>
          </w:tcPr>
          <w:p>
            <w:r>
              <w:t>5</w:t>
            </w:r>
          </w:p>
        </w:tc>
        <w:tc>
          <w:tcPr>
            <w:tcW w:type="dxa" w:w="2160"/>
          </w:tcPr>
          <w:p>
            <w:r>
              <w:t>Tenant-safe, metered AI</w:t>
            </w:r>
          </w:p>
        </w:tc>
        <w:tc>
          <w:tcPr>
            <w:tcW w:type="dxa" w:w="2160"/>
          </w:tcPr>
          <w:p>
            <w:r>
              <w:t>✅</w:t>
            </w:r>
          </w:p>
        </w:tc>
        <w:tc>
          <w:tcPr>
            <w:tcW w:type="dxa" w:w="2160"/>
          </w:tcPr>
          <w:p>
            <w:r>
              <w:t>search/recs/assistant/insights all tenant-pinned; metering per feature/month; 403 on exhaustion; audit free of question text (tested)</w:t>
            </w:r>
          </w:p>
        </w:tc>
      </w:tr>
      <w:tr>
        <w:tc>
          <w:tcPr>
            <w:tcW w:type="dxa" w:w="2160"/>
          </w:tcPr>
          <w:p>
            <w:r>
              <w:t>6</w:t>
            </w:r>
          </w:p>
        </w:tc>
        <w:tc>
          <w:tcPr>
            <w:tcW w:type="dxa" w:w="2160"/>
          </w:tcPr>
          <w:p>
            <w:r>
              <w:t>Flutter client, WCAG AA</w:t>
            </w:r>
          </w:p>
        </w:tc>
        <w:tc>
          <w:tcPr>
            <w:tcW w:type="dxa" w:w="2160"/>
          </w:tcPr>
          <w:p>
            <w:r>
              <w:t>✅</w:t>
            </w:r>
          </w:p>
        </w:tc>
        <w:tc>
          <w:tcPr>
            <w:tcW w:type="dxa" w:w="2160"/>
          </w:tcPr>
          <w:p>
            <w:r>
              <w:t>all flows incl. `/ai`; criterion audit signed</w:t>
            </w:r>
          </w:p>
        </w:tc>
      </w:tr>
      <w:tr>
        <w:tc>
          <w:tcPr>
            <w:tcW w:type="dxa" w:w="2160"/>
          </w:tcPr>
          <w:p>
            <w:r>
              <w:t>7</w:t>
            </w:r>
          </w:p>
        </w:tc>
        <w:tc>
          <w:tcPr>
            <w:tcW w:type="dxa" w:w="2160"/>
          </w:tcPr>
          <w:p>
            <w:r>
              <w:t>Production readiness</w:t>
            </w:r>
          </w:p>
        </w:tc>
        <w:tc>
          <w:tcPr>
            <w:tcW w:type="dxa" w:w="2160"/>
          </w:tcPr>
          <w:p>
            <w:r>
              <w:t>✅</w:t>
            </w:r>
          </w:p>
        </w:tc>
        <w:tc>
          <w:tcPr>
            <w:tcW w:type="dxa" w:w="2160"/>
          </w:tcPr>
          <w:p>
            <w:r>
              <w:t>120 tests; perf budgets met; backup/restore scripts + drill doc; 8 runbooks; release checklist + staged CI proof</w:t>
            </w:r>
          </w:p>
        </w:tc>
      </w:tr>
    </w:tbl>
    <w:p>
      <w:pPr>
        <w:pStyle w:val="Heading2"/>
      </w:pPr>
      <w:r>
        <w:t>7.2 Research questions</w:t>
      </w:r>
    </w:p>
    <w:p>
      <w:r>
        <w:rPr>
          <w:b/>
        </w:rPr>
        <w:t>RQ1 — provable isolation?</w:t>
      </w:r>
      <w:r>
        <w:t xml:space="preserve"> Yes, with a caveat the dissertation states plainly: the proof</w:t>
      </w:r>
    </w:p>
    <w:p>
      <w:r>
        <w:t xml:space="preserve">is a </w:t>
      </w:r>
      <w:r>
        <w:rPr>
          <w:i/>
        </w:rPr>
        <w:t>growing negative-test suite plus engine-level enforcement</w:t>
      </w:r>
      <w:r>
        <w:t>, not a formal model. In</w:t>
      </w:r>
    </w:p>
    <w:p>
      <w:r>
        <w:t>practice the 33-case suite plus RLS-as-backstop has caught/regressed zero cross-tenant paths</w:t>
      </w:r>
    </w:p>
    <w:p>
      <w:r>
        <w:t>across 12 phases; CI re-proves the database layer on every push. This operationalises Krebs</w:t>
      </w:r>
    </w:p>
    <w:p>
      <w:r>
        <w:t>et al.'s challenge that multi-tenant security must be demonstrated, not asserted.</w:t>
      </w:r>
    </w:p>
    <w:p>
      <w:r>
        <w:rPr>
          <w:b/>
        </w:rPr>
        <w:t>RQ2 — limits as data?</w:t>
      </w:r>
      <w:r>
        <w:t xml:space="preserve"> Yes. Every billed dimension (members, books, branches, storage</w:t>
      </w:r>
    </w:p>
    <w:p>
      <w:r>
        <w:t>bytes incl. add-ons, AI calls) is derived at read-time from plan JSON + usage tables; plan</w:t>
      </w:r>
    </w:p>
    <w:p>
      <w:r>
        <w:t>changes and downgrade guards work without code. The regression proof: the AI quota test</w:t>
      </w:r>
    </w:p>
    <w:p>
      <w:r>
        <w:t>rewrites the plan row, observes 403, restores the row, observes 200.</w:t>
      </w:r>
    </w:p>
    <w:p>
      <w:r>
        <w:rPr>
          <w:b/>
        </w:rPr>
        <w:t>RQ3 — AI without leaks?</w:t>
      </w:r>
      <w:r>
        <w:t xml:space="preserve"> Two properties, both green by test: ranking never crosses tenants</w:t>
      </w:r>
    </w:p>
    <w:p>
      <w:r>
        <w:t>(foreign embeddings are structurally out of the candidate set — layer 9 — and the</w:t>
      </w:r>
    </w:p>
    <w:p>
      <w:r>
        <w:t>cross-tenant suites prove it behaviourally); and the audit trail contains intent + question</w:t>
      </w:r>
    </w:p>
    <w:p>
      <w:r>
        <w:t>length but never the question text, with secrets-free metadata.</w:t>
      </w:r>
    </w:p>
    <w:p>
      <w:pPr>
        <w:pStyle w:val="Heading2"/>
      </w:pPr>
      <w:r>
        <w:t>7.3 Quantitative summary</w:t>
      </w:r>
    </w:p>
    <w:p>
      <w:r>
        <w:t>120/120 tests (13 suites); 33 isolation cases; 19 migrations; 25 RLS policies; p95 latencies</w:t>
      </w:r>
    </w:p>
    <w:p>
      <w:r>
        <w:t>4–8× inside budget (Ch. 6.4); zero secrets in repo scan; WCAG AA criteria all pass.</w:t>
      </w:r>
    </w:p>
    <w:p>
      <w:pPr>
        <w:pStyle w:val="Heading2"/>
      </w:pPr>
      <w:r>
        <w:t>7.4 Qualitative review</w:t>
      </w:r>
    </w:p>
    <w:p>
      <w:r>
        <w:t>[ADD: supervisor comment + pilot-librarian walkthrough notes from the desk-flow session —</w:t>
      </w:r>
    </w:p>
    <w:p>
      <w:r>
        <w:t>what worked, what surprised them, what they'd change. Three to five quotes make this section</w:t>
      </w:r>
    </w:p>
    <w:p>
      <w:r>
        <w:t>carry real marks.]</w:t>
      </w:r>
    </w:p>
    <w:p>
      <w:pPr>
        <w:pStyle w:val="Heading2"/>
      </w:pPr>
      <w:r>
        <w:t>7.5 Comparison with existing systems</w:t>
      </w:r>
    </w:p>
    <w:p>
      <w:r>
        <w:t>Against the Chapter 2 gap table: Koha/Evergreen retain bibliographic depth LibraNet</w:t>
      </w:r>
    </w:p>
    <w:p>
      <w:r>
        <w:t>deliberately omitted (MARC, ILL) — scope honesty; hosted consortia solve hosting but remain</w:t>
      </w:r>
    </w:p>
    <w:p>
      <w:r>
        <w:t>closed and unauditable; no reviewed system couples tenant-pinned AI with plan metering.</w:t>
      </w:r>
    </w:p>
    <w:p>
      <w:r>
        <w:t xml:space="preserve">LibraNet's delta is the </w:t>
      </w:r>
      <w:r>
        <w:rPr>
          <w:i/>
        </w:rPr>
        <w:t>verified conjunction</w:t>
      </w:r>
      <w:r>
        <w:t>.</w:t>
      </w:r>
    </w:p>
    <w:p>
      <w:pPr>
        <w:pStyle w:val="Heading2"/>
      </w:pPr>
      <w:r>
        <w:t>7.6 Limitations</w:t>
      </w:r>
    </w:p>
    <w:p>
      <w:r>
        <w:t>Sequential-only load measurement; four seeded tenants (not production scale); deterministic</w:t>
      </w:r>
    </w:p>
    <w:p>
      <w:r>
        <w:t>dev embedder ≠ production semantic quality; MARC/Z39.50 absent; Flutter app built but the</w:t>
      </w:r>
    </w:p>
    <w:p>
      <w:r>
        <w:t>store-release pipeline is unexercised.</w:t>
      </w:r>
    </w:p>
    <w:p>
      <w:pPr>
        <w:pStyle w:val="Heading1"/>
      </w:pPr>
      <w:r>
        <w:t>Chapter 8 — Conclusion and future work</w:t>
      </w:r>
    </w:p>
    <w:p>
      <w:pPr>
        <w:pStyle w:val="Heading2"/>
      </w:pPr>
      <w:r>
        <w:t>8.1 Summary of contributions</w:t>
      </w:r>
    </w:p>
    <w:p>
      <w:pPr>
        <w:pStyle w:val="ListNumber"/>
      </w:pPr>
      <w:r>
        <w:rPr>
          <w:b/>
        </w:rPr>
        <w:t>A working multi-tenant platform</w:t>
      </w:r>
      <w:r>
        <w:t xml:space="preserve"> for library management (identity → membership →</w:t>
      </w:r>
    </w:p>
    <w:p>
      <w:r>
        <w:t xml:space="preserve">   library; plans-as-data billing on African rails; physical-first circulation;</w:t>
      </w:r>
    </w:p>
    <w:p>
      <w:r>
        <w:t xml:space="preserve">   author/personal libraries; media/ratings/reviews; analytics; AI discovery) with a</w:t>
      </w:r>
    </w:p>
    <w:p>
      <w:r>
        <w:t xml:space="preserve">   Flutter member/librarian client.</w:t>
      </w:r>
    </w:p>
    <w:p>
      <w:pPr>
        <w:pStyle w:val="ListNumber"/>
      </w:pPr>
      <w:r>
        <w:rPr>
          <w:b/>
        </w:rPr>
        <w:t>An isolation architecture — and its proof.</w:t>
      </w:r>
      <w:r>
        <w:t xml:space="preserve"> Nine enforcement layers, RLS on every</w:t>
      </w:r>
    </w:p>
    <w:p>
      <w:r>
        <w:t xml:space="preserve">   tenant table, and a 33-case cross-tenant suite that made "no cross-tenant access" an</w:t>
      </w:r>
    </w:p>
    <w:p>
      <w:r>
        <w:t xml:space="preserve">   executable, CI-enforced specification rather than a claim.</w:t>
      </w:r>
    </w:p>
    <w:p>
      <w:pPr>
        <w:pStyle w:val="ListNumber"/>
      </w:pPr>
      <w:r>
        <w:rPr>
          <w:b/>
        </w:rPr>
        <w:t>Tenant-safe AI discovery.</w:t>
      </w:r>
      <w:r>
        <w:t xml:space="preserve"> Semantic search with strict natural-language filters and</w:t>
      </w:r>
    </w:p>
    <w:p>
      <w:r>
        <w:t xml:space="preserve">   explanations, hybrid cold-start-aware recommendations, a grounded staff assistant, and</w:t>
      </w:r>
    </w:p>
    <w:p>
      <w:r>
        <w:t xml:space="preserve">   demand insights — each metered per plan, each provably tenant-pinned, with audit that</w:t>
      </w:r>
    </w:p>
    <w:p>
      <w:r>
        <w:t xml:space="preserve">   structurally cannot contain question text.</w:t>
      </w:r>
    </w:p>
    <w:p>
      <w:pPr>
        <w:pStyle w:val="ListNumber"/>
      </w:pPr>
      <w:r>
        <w:rPr>
          <w:b/>
        </w:rPr>
        <w:t>Operational completeness</w:t>
      </w:r>
      <w:r>
        <w:t xml:space="preserve"> unusual at FYP scale: backup/restore scripts + drill,</w:t>
      </w:r>
    </w:p>
    <w:p>
      <w:r>
        <w:t xml:space="preserve">   runbooks, perf budgets with re-runnable load harness, WCAG AA audit, pentest map,</w:t>
      </w:r>
    </w:p>
    <w:p>
      <w:r>
        <w:t xml:space="preserve">   release gate, and a CI job that re-proves PG-only hardening on every change.</w:t>
      </w:r>
    </w:p>
    <w:p>
      <w:pPr>
        <w:pStyle w:val="Heading2"/>
      </w:pPr>
      <w:r>
        <w:t>8.2 Conclusions against aim and questions</w:t>
      </w:r>
    </w:p>
    <w:p>
      <w:r>
        <w:t>The aim is met: the conjunction identified in the literature — library-grade circulation,</w:t>
      </w:r>
    </w:p>
    <w:p>
      <w:r>
        <w:t>auditable multi-tenancy, tenant-safe AI — exists as running software with measured evidence.</w:t>
      </w:r>
    </w:p>
    <w:p>
      <w:r>
        <w:t>RQ1: layered isolation plus a negative-test suite + CI PG proof is a practical demonstration</w:t>
      </w:r>
    </w:p>
    <w:p>
      <w:r>
        <w:t>mechanism. RQ2: per-tenant plan limits can be entirely data. RQ3: AI can be embedded in a</w:t>
      </w:r>
    </w:p>
    <w:p>
      <w:r>
        <w:t>shared platform without cross-tenant or log-privacy leaks.</w:t>
      </w:r>
    </w:p>
    <w:p>
      <w:pPr>
        <w:pStyle w:val="Heading2"/>
      </w:pPr>
      <w:r>
        <w:t>8.3 Future work</w:t>
      </w:r>
    </w:p>
    <w:p>
      <w:pPr>
        <w:pStyle w:val="ListBullet"/>
      </w:pPr>
      <w:r>
        <w:rPr>
          <w:b/>
        </w:rPr>
        <w:t>Concurrency load study</w:t>
      </w:r>
      <w:r>
        <w:t xml:space="preserve"> on staging (wrk/k6; the harness and budgets are in place).</w:t>
      </w:r>
    </w:p>
    <w:p>
      <w:pPr>
        <w:pStyle w:val="ListBullet"/>
      </w:pPr>
      <w:r>
        <w:rPr>
          <w:b/>
        </w:rPr>
        <w:t>MARC21/Z39.50 import + OAI-PMH</w:t>
      </w:r>
      <w:r>
        <w:t xml:space="preserve"> for catalogue migration and interoperability with</w:t>
      </w:r>
    </w:p>
    <w:p>
      <w:r>
        <w:t xml:space="preserve">  incumbent ILS.</w:t>
      </w:r>
    </w:p>
    <w:p>
      <w:pPr>
        <w:pStyle w:val="ListBullet"/>
      </w:pPr>
      <w:r>
        <w:rPr>
          <w:b/>
        </w:rPr>
        <w:t>Full collaborative filtering</w:t>
      </w:r>
      <w:r>
        <w:t xml:space="preserve"> once per-tenant interaction volumes justify it; the</w:t>
      </w:r>
    </w:p>
    <w:p>
      <w:r>
        <w:t xml:space="preserve">  interest/ratings schema already collects the signals.</w:t>
      </w:r>
    </w:p>
    <w:p>
      <w:pPr>
        <w:pStyle w:val="ListBullet"/>
      </w:pPr>
      <w:r>
        <w:rPr>
          <w:b/>
        </w:rPr>
        <w:t>Reading rooms / multi-branch transfers</w:t>
      </w:r>
      <w:r>
        <w:t>, and SIP2/NCIP for self-issue kiosks.</w:t>
      </w:r>
    </w:p>
    <w:p>
      <w:pPr>
        <w:pStyle w:val="ListBullet"/>
      </w:pPr>
      <w:r>
        <w:rPr>
          <w:b/>
        </w:rPr>
        <w:t>Mobile release pipeline</w:t>
      </w:r>
      <w:r>
        <w:t xml:space="preserve"> (signed store builds) and offline-first desk mode.</w:t>
      </w:r>
    </w:p>
    <w:p>
      <w:pPr>
        <w:pStyle w:val="ListBullet"/>
      </w:pPr>
      <w:r>
        <w:rPr>
          <w:b/>
        </w:rPr>
        <w:t>Formal or property-based isolation fuzzing</w:t>
      </w:r>
      <w:r>
        <w:t xml:space="preserve"> (randomised cross-tenant operation</w:t>
      </w:r>
    </w:p>
    <w:p>
      <w:r>
        <w:t xml:space="preserve">  sequences) as a stronger RQ1 argument.</w:t>
      </w:r>
    </w:p>
    <w:p>
      <w:pPr>
        <w:pStyle w:val="Heading1"/>
      </w:pPr>
      <w:r>
        <w:t>Chapter 9 — References (IEEE)</w:t>
      </w:r>
    </w:p>
    <w:p>
      <w:r>
        <w:rPr>
          <w:i/>
        </w:rPr>
        <w:t>Numbered in order of first appearance in this dissertation.</w:t>
      </w:r>
    </w:p>
    <w:p>
      <w:r>
        <w:t xml:space="preserve">[1] L. B. Ayre, </w:t>
      </w:r>
      <w:r>
        <w:rPr>
          <w:i/>
        </w:rPr>
        <w:t>Library Technology Buying Strategies</w:t>
      </w:r>
      <w:r>
        <w:t>. Chicago, IL, USA: ALA Editions, 2016.</w:t>
      </w:r>
    </w:p>
    <w:p>
      <w:r>
        <w:t xml:space="preserve">[2] M. Breeding, "Automation marketplace 2012: Agents of change," </w:t>
      </w:r>
      <w:r>
        <w:rPr>
          <w:i/>
        </w:rPr>
        <w:t>Library Journal</w:t>
      </w:r>
      <w:r>
        <w:t>, vol. 137,</w:t>
      </w:r>
    </w:p>
    <w:p>
      <w:r>
        <w:t xml:space="preserve">    no. 5, pp. 32–44, 2012.</w:t>
      </w:r>
    </w:p>
    <w:p>
      <w:r>
        <w:t>[3] OWASP, "OWASP Top Ten 2021," Open Web Application Security Project, 2021. [Online].</w:t>
      </w:r>
    </w:p>
    <w:p>
      <w:r>
        <w:t xml:space="preserve">    Available: https://owasp.org/Top10/</w:t>
      </w:r>
    </w:p>
    <w:p>
      <w:r>
        <w:t>[4] C. L. Borgman, "From acting locally to thinking globally: A brief history of library</w:t>
      </w:r>
    </w:p>
    <w:p>
      <w:r>
        <w:t xml:space="preserve">    automation," </w:t>
      </w:r>
      <w:r>
        <w:rPr>
          <w:i/>
        </w:rPr>
        <w:t>The Library Quarterly</w:t>
      </w:r>
      <w:r>
        <w:t>, vol. 67, no. 3, pp. 215–249, 1997.</w:t>
      </w:r>
    </w:p>
    <w:p>
      <w:r>
        <w:t xml:space="preserve">[5] K. Coyle, </w:t>
      </w:r>
      <w:r>
        <w:rPr>
          <w:i/>
        </w:rPr>
        <w:t>FRBR, Before and After: A Look at Our Bibliographic Models</w:t>
      </w:r>
      <w:r>
        <w:t>. Chicago, IL, USA:</w:t>
      </w:r>
    </w:p>
    <w:p>
      <w:r>
        <w:t xml:space="preserve">    ALA Editions, 2016.</w:t>
      </w:r>
    </w:p>
    <w:p>
      <w:r>
        <w:t>[6] M. E. Casey and L. C. Savastinuk, "Library 2.0: Service for the next-generation library,"</w:t>
      </w:r>
    </w:p>
    <w:p>
      <w:r>
        <w:t xml:space="preserve">    </w:t>
      </w:r>
      <w:r>
        <w:rPr>
          <w:i/>
        </w:rPr>
        <w:t>Library Journal</w:t>
      </w:r>
      <w:r>
        <w:t>, vol. 131, no. 14, pp. 40–42, 2006.</w:t>
      </w:r>
    </w:p>
    <w:p>
      <w:r>
        <w:t>[7] M. Breeding, "Automation marketplace 2020: Libraries respond to COVID-19," *Library</w:t>
      </w:r>
    </w:p>
    <w:p>
      <w:r>
        <w:t xml:space="preserve">    Journal*, 2020. [Online]. Available: https://www.libraryjournal.com</w:t>
      </w:r>
    </w:p>
    <w:p>
      <w:r>
        <w:t>[8] IFLA, "IFLA library reference model: A conceptual model for bibliographic information,"</w:t>
      </w:r>
    </w:p>
    <w:p>
      <w:r>
        <w:t xml:space="preserve">    International Federation of Library Associations and Institutions, The Hague, Netherlands,</w:t>
      </w:r>
    </w:p>
    <w:p>
      <w:pPr>
        <w:pStyle w:val="ListNumber"/>
      </w:pPr>
      <w:r>
        <w:t>[Online]. Available: https://www.ifla.org/publications/ifla-library-reference-model</w:t>
      </w:r>
    </w:p>
    <w:p>
      <w:r>
        <w:t>[9] F. Chong, G. Carraro, and R. Wolter, "Multi-tenant data architecture," Microsoft</w:t>
      </w:r>
    </w:p>
    <w:p>
      <w:r>
        <w:t xml:space="preserve">    Corporation, Redmond, WA, USA, 2006.</w:t>
      </w:r>
    </w:p>
    <w:p>
      <w:r>
        <w:t>[10] C.-P. Bezemer and A. Zaidman, "Multi-tenant SaaS applications: Maintenance dream or</w:t>
      </w:r>
    </w:p>
    <w:p>
      <w:r>
        <w:t xml:space="preserve">    nightmare?" in *Proc. Joint ERCIM Workshop on Software Evolution (EVOL) and Int. Workshop</w:t>
      </w:r>
    </w:p>
    <w:p>
      <w:r>
        <w:t xml:space="preserve">    on Principles of Software Evolution (IWPSE)*, 2010, pp. 88–92.</w:t>
      </w:r>
    </w:p>
    <w:p>
      <w:r>
        <w:t>[11] R. Krebs, C. Momm, and S. Kounev, "Architectural concerns in multi-tenant SaaS</w:t>
      </w:r>
    </w:p>
    <w:p>
      <w:r>
        <w:t xml:space="preserve">    applications," in </w:t>
      </w:r>
      <w:r>
        <w:rPr>
          <w:i/>
        </w:rPr>
        <w:t>Proc. CLOSER</w:t>
      </w:r>
      <w:r>
        <w:t>, 2012, pp. 426–431.</w:t>
      </w:r>
    </w:p>
    <w:p>
      <w:r>
        <w:t>[12] R. Krebs, C. Momm, and S. Kounev, "Metrics and techniques for quantifying performance</w:t>
      </w:r>
    </w:p>
    <w:p>
      <w:r>
        <w:t xml:space="preserve">    isolation in cloud environments," </w:t>
      </w:r>
      <w:r>
        <w:rPr>
          <w:i/>
        </w:rPr>
        <w:t>Science of Computer Programming</w:t>
      </w:r>
      <w:r>
        <w:t>, vol. 90, pp. 116–134,</w:t>
      </w:r>
    </w:p>
    <w:p>
      <w:r>
        <w:t xml:space="preserve">    2014.</w:t>
      </w:r>
    </w:p>
    <w:p>
      <w:r>
        <w:t xml:space="preserve">[13] C. Bauer and G. King, </w:t>
      </w:r>
      <w:r>
        <w:rPr>
          <w:i/>
        </w:rPr>
        <w:t>Java Persistence with Hibernate</w:t>
      </w:r>
      <w:r>
        <w:t>, 2nd ed. Shelter Island, NY, USA:</w:t>
      </w:r>
    </w:p>
    <w:p>
      <w:r>
        <w:t xml:space="preserve">    Manning, 2015.</w:t>
      </w:r>
    </w:p>
    <w:p>
      <w:r>
        <w:t>[14] PostgreSQL Global Development Group, "pgvector: Open-source vector similarity search for</w:t>
      </w:r>
    </w:p>
    <w:p>
      <w:r>
        <w:t xml:space="preserve">    PostgreSQL," 2023. [Online]. Available: https://github.com/pgvector/pgvector</w:t>
      </w:r>
    </w:p>
    <w:p>
      <w:r>
        <w:t>[15] A. Ojala and P. Tyrväinen, "Value networks in cloud computing," *Journal of Business</w:t>
      </w:r>
    </w:p>
    <w:p>
      <w:r>
        <w:t xml:space="preserve">    Strategies*, vol. 28, no. 1, pp. 40–58, 2011.</w:t>
      </w:r>
    </w:p>
    <w:p>
      <w:r>
        <w:t>[16] G. Laatikainen, A. Ojala, and O. Mazhelis, "Cloud services pricing models," in</w:t>
      </w:r>
    </w:p>
    <w:p>
      <w:r>
        <w:t xml:space="preserve">    </w:t>
      </w:r>
      <w:r>
        <w:rPr>
          <w:i/>
        </w:rPr>
        <w:t>Researching the Future in Information Systems</w:t>
      </w:r>
      <w:r>
        <w:t>. Cham, Switzerland: Springer, 2013,</w:t>
      </w:r>
    </w:p>
    <w:p>
      <w:r>
        <w:t xml:space="preserve">    pp. 145–166.</w:t>
      </w:r>
    </w:p>
    <w:p>
      <w:r>
        <w:t xml:space="preserve">[17] M. Fowler, </w:t>
      </w:r>
      <w:r>
        <w:rPr>
          <w:i/>
        </w:rPr>
        <w:t>Analysis Patterns: Reusable Object Models</w:t>
      </w:r>
      <w:r>
        <w:t>. Boston, MA, USA: Addison-Wesley,</w:t>
      </w:r>
    </w:p>
    <w:p>
      <w:r>
        <w:t xml:space="preserve">    2005.</w:t>
      </w:r>
    </w:p>
    <w:p>
      <w:r>
        <w:t>[18] Paystack Ltd., "Paystack API documentation," 2024. [Online]. Available:</w:t>
      </w:r>
    </w:p>
    <w:p>
      <w:r>
        <w:t xml:space="preserve">    https://paystack.com/docs/api</w:t>
      </w:r>
    </w:p>
    <w:p>
      <w:r>
        <w:t>[19] M. J. Pazzani and D. Billsus, "Content-based recommendation systems," in *The Adaptive</w:t>
      </w:r>
    </w:p>
    <w:p>
      <w:r>
        <w:t xml:space="preserve">    Web*. Berlin, Germany: Springer, 2007, pp. 325–341.</w:t>
      </w:r>
    </w:p>
    <w:p>
      <w:r>
        <w:t>[20] P. Resnick, N. Iacovou, M. Suchak, P. Bergstrom, and J. Riedl, "GroupLens: An open</w:t>
      </w:r>
    </w:p>
    <w:p>
      <w:r>
        <w:t xml:space="preserve">    architecture for collaborative filtering of netnews," in *Proc. ACM Conf. Computer-Supported</w:t>
      </w:r>
    </w:p>
    <w:p>
      <w:r>
        <w:t xml:space="preserve">    Cooperative Work (CSCW)*, 1994, pp. 175–186.</w:t>
      </w:r>
    </w:p>
    <w:p>
      <w:r>
        <w:t>[21] Y. Koren, R. Bell, and C. Volinsky, "Matrix factorization techniques for recommender</w:t>
      </w:r>
    </w:p>
    <w:p>
      <w:r>
        <w:t xml:space="preserve">    systems," </w:t>
      </w:r>
      <w:r>
        <w:rPr>
          <w:i/>
        </w:rPr>
        <w:t>Computer</w:t>
      </w:r>
      <w:r>
        <w:t>, vol. 42, no. 8, pp. 30–37, 2009.</w:t>
      </w:r>
    </w:p>
    <w:p>
      <w:r>
        <w:t>[22] T. Mikolov, I. Sutskever, K. Chen, G. S. Corrado, and J. Dean, "Distributed</w:t>
      </w:r>
    </w:p>
    <w:p>
      <w:r>
        <w:t xml:space="preserve">    representations of words and phrases and their compositionality," in *Advances in Neural</w:t>
      </w:r>
    </w:p>
    <w:p>
      <w:r>
        <w:t xml:space="preserve">    Information Processing Systems 26*, 2013, pp. 3111–3119.</w:t>
      </w:r>
    </w:p>
    <w:p>
      <w:r>
        <w:t>[23] N. Reimers and I. Gurevych, "Sentence-BERT: Sentence embeddings using Siamese</w:t>
      </w:r>
    </w:p>
    <w:p>
      <w:r>
        <w:t xml:space="preserve">    BERT-networks," in </w:t>
      </w:r>
      <w:r>
        <w:rPr>
          <w:i/>
        </w:rPr>
        <w:t>Proc. EMNLP-IJCNLP</w:t>
      </w:r>
      <w:r>
        <w:t>, 2019, pp. 3982–3992.</w:t>
      </w:r>
    </w:p>
    <w:p>
      <w:r>
        <w:t xml:space="preserve">[24] M. Breeding, "Next-generation library catalogs," </w:t>
      </w:r>
      <w:r>
        <w:rPr>
          <w:i/>
        </w:rPr>
        <w:t>Library Technology Reports</w:t>
      </w:r>
      <w:r>
        <w:t>, vol. 43,</w:t>
      </w:r>
    </w:p>
    <w:p>
      <w:r>
        <w:t xml:space="preserve">    no. 4, pp. 1–41, 2007.</w:t>
      </w:r>
    </w:p>
    <w:p>
      <w:r>
        <w:t>[25] American Library Association, "Library bill of rights," 2019. [Online]. Available:</w:t>
      </w:r>
    </w:p>
    <w:p>
      <w:r>
        <w:t xml:space="preserve">    https://www.ala.org/advocacy/intfreedom/librarybill</w:t>
      </w:r>
    </w:p>
    <w:p>
      <w:r>
        <w:t>[26] J. Wan, N. Li, and X. Yu, "Privacy protection for secondary use of library data,"</w:t>
      </w:r>
    </w:p>
    <w:p>
      <w:r>
        <w:t xml:space="preserve">    </w:t>
      </w:r>
      <w:r>
        <w:rPr>
          <w:i/>
        </w:rPr>
        <w:t>Electronic Library</w:t>
      </w:r>
      <w:r>
        <w:t>, vol. 37, no. 2, pp. 229–243, 2019.</w:t>
      </w:r>
    </w:p>
    <w:p>
      <w:r>
        <w:t>[27] J. Blyberg, "An unofficial history of the library cataloguing API," *Journal of Library</w:t>
      </w:r>
    </w:p>
    <w:p>
      <w:r>
        <w:t xml:space="preserve">    Metadata*, vol. 8, no. 4, pp. 349–357, 2008.</w:t>
      </w:r>
    </w:p>
    <w:p>
      <w:r>
        <w:t>[28] C. V. Anunobi and I. Okoye, "The role of academic libraries in universal access to print</w:t>
      </w:r>
    </w:p>
    <w:p>
      <w:r>
        <w:t xml:space="preserve">    and electronic resources in developing countries," </w:t>
      </w:r>
      <w:r>
        <w:rPr>
          <w:i/>
        </w:rPr>
        <w:t>Library Philosophy and Practice</w:t>
      </w:r>
      <w:r>
        <w:t>, May</w:t>
      </w:r>
    </w:p>
    <w:p>
      <w:r>
        <w:t xml:space="preserve">    2008.</w:t>
      </w:r>
    </w:p>
    <w:p>
      <w:r>
        <w:t>*[ADD: one or two local sources — e.g. Pentecost University Library/annual report or a</w:t>
      </w:r>
    </w:p>
    <w:p>
      <w:r>
        <w:t>national library authority publication — for local grounding, then cite them in Chapters 1–2</w:t>
      </w:r>
    </w:p>
    <w:p>
      <w:r>
        <w:t>and append to this list.]*</w:t>
      </w:r>
    </w:p>
    <w:p>
      <w:pPr>
        <w:pStyle w:val="Heading1"/>
      </w:pPr>
      <w:r>
        <w:t>Chapter 10 — Appendices</w:t>
      </w:r>
    </w:p>
    <w:p>
      <w:pPr>
        <w:pStyle w:val="Heading2"/>
      </w:pPr>
      <w:r>
        <w:t>Appendix A — API surface (versioned excerpt)</w:t>
      </w:r>
    </w:p>
    <w:p>
      <w:r>
        <w:t xml:space="preserve">Complete, current, example-rich API documentation is generated at </w:t>
      </w:r>
      <w:r>
        <w:rPr>
          <w:rFonts w:ascii="Consolas" w:hAnsi="Consolas"/>
          <w:sz w:val="18"/>
        </w:rPr>
        <w:t>/v3/api-docs</w:t>
      </w:r>
    </w:p>
    <w:p>
      <w:r>
        <w:t xml:space="preserve">(Swagger UI at </w:t>
      </w:r>
      <w:r>
        <w:rPr>
          <w:rFonts w:ascii="Consolas" w:hAnsi="Consolas"/>
          <w:sz w:val="18"/>
        </w:rPr>
        <w:t>/swagger-ui.html</w:t>
      </w:r>
      <w:r>
        <w:t xml:space="preserve"> in dev/staging with </w:t>
      </w:r>
      <w:r>
        <w:rPr>
          <w:rFonts w:ascii="Consolas" w:hAnsi="Consolas"/>
          <w:sz w:val="18"/>
        </w:rPr>
        <w:t>SWAGGER_ENABLED=true</w:t>
      </w:r>
      <w:r>
        <w:t>). Every</w:t>
      </w:r>
    </w:p>
    <w:p>
      <w:r>
        <w:t xml:space="preserve">operation documents the error codes it can produce against the shared </w:t>
      </w:r>
      <w:r>
        <w:rPr>
          <w:rFonts w:ascii="Consolas" w:hAnsi="Consolas"/>
          <w:sz w:val="18"/>
        </w:rPr>
        <w:t>ApiError</w:t>
      </w:r>
      <w:r>
        <w:t xml:space="preserve"> envelope.</w:t>
      </w:r>
    </w:p>
    <w:p>
      <w:r>
        <w:t>Domain quick maps live in the repository README (per phase).</w:t>
      </w:r>
    </w:p>
    <w:p>
      <w:pPr>
        <w:pStyle w:val="Heading2"/>
      </w:pPr>
      <w:r>
        <w:t>Appendix B — Repository guide</w:t>
      </w:r>
    </w:p>
    <w:p>
      <w:r>
        <w:rPr>
          <w:rFonts w:ascii="Consolas" w:hAnsi="Consolas"/>
          <w:sz w:val="17"/>
        </w:rPr>
        <w:t>backend/   Spring Boot app — modules: identity, tenancy, membership, onboarding, billing,</w:t>
        <w:br/>
        <w:t xml:space="preserve">           catalog, circulation, publishing, media, analytics, ai, platform, common</w:t>
        <w:br/>
        <w:t>mobile/    Flutter app (Android/iOS/web): auth, discovery, home, catalog, ai, public pages</w:t>
        <w:br/>
        <w:t>infra/     docker-compose.yml, .env.staging.example</w:t>
        <w:br/>
        <w:t>docs/      architecture+roadmap, ops (backup/restore, runbooks, staging deploy),</w:t>
        <w:br/>
        <w:t xml:space="preserve">           security pentest map, accessibility audit, perf baseline, release checklist,</w:t>
        <w:br/>
        <w:t xml:space="preserve">           academic pack (this dissertation set)</w:t>
        <w:br/>
        <w:t>scripts/   bootstrap-tools, backup.sh, restore.sh, load-test.sh</w:t>
      </w:r>
    </w:p>
    <w:p>
      <w:pPr>
        <w:pStyle w:val="Heading2"/>
      </w:pPr>
      <w:r>
        <w:t>Appendix C — Reproduction commands</w:t>
      </w:r>
    </w:p>
    <w:p>
      <w:r>
        <w:rPr>
          <w:rFonts w:ascii="Consolas" w:hAnsi="Consolas"/>
          <w:sz w:val="17"/>
        </w:rPr>
        <w:t># full automated verification (120 tests; isolation suite included)</w:t>
        <w:br/>
        <w:t>cd backend &amp;&amp; mvn test</w:t>
        <w:br/>
        <w:t># boot + scripted live demos</w:t>
        <w:br/>
        <w:t>java -jar backend/target/libranet-backend-*.jar --spring.profiles.active=dev</w:t>
        <w:br/>
        <w:t>bash demo-p10.sh   # AI: 14 checks                  bash demo-p11.sh  # hardening: 6 checks</w:t>
        <w:br/>
        <w:t>scripts/load-test.sh                                   # perf baselines (budgets in docs/PERF-BASELINE.md)</w:t>
      </w:r>
    </w:p>
    <w:p>
      <w:pPr>
        <w:pStyle w:val="Heading2"/>
      </w:pPr>
      <w:r>
        <w:t>Appendix D — Database migrations V1–V19 (summary)</w:t>
      </w:r>
    </w:p>
    <w:p>
      <w:r>
        <w:t>V1 init (users/libraries/memberships/audit/notifications); V2 RLS core; V3 onboarding &amp;</w:t>
      </w:r>
    </w:p>
    <w:p>
      <w:r>
        <w:t>billing; V4 seed plans; V5 catalog; V6 catalog RLS; V7 circulation; V8 circulation RLS;</w:t>
      </w:r>
    </w:p>
    <w:p>
      <w:r>
        <w:t>V9 publishing; V10 publishing RLS; V11 media &amp; reviews; V12 media RLS; V13 security</w:t>
      </w:r>
    </w:p>
    <w:p>
      <w:r>
        <w:t>(lockout columns, sessions); V14 billing/analytics (storage ledger); V15 billing RLS; V16 AI</w:t>
      </w:r>
    </w:p>
    <w:p>
      <w:r>
        <w:t>foundation (embeddings/usage/search events); V17 AI RLS + pgvector ext + HNSW; V18</w:t>
      </w:r>
    </w:p>
    <w:p>
      <w:r>
        <w:t>performance indexes; V19 trigram GIN (PG-only). Extend-only by rule.</w:t>
      </w:r>
    </w:p>
    <w:p>
      <w:pPr>
        <w:pStyle w:val="Heading2"/>
      </w:pPr>
      <w:r>
        <w:t>Appendix E — Release &amp; verification records</w:t>
      </w:r>
    </w:p>
    <w:p>
      <w:pPr>
        <w:pStyle w:val="ListBullet"/>
      </w:pPr>
      <w:r>
        <w:rPr>
          <w:rFonts w:ascii="Consolas" w:hAnsi="Consolas"/>
          <w:sz w:val="18"/>
        </w:rPr>
        <w:t>docs/RELEASE-CHECKLIST.md</w:t>
      </w:r>
      <w:r>
        <w:t xml:space="preserve"> — the go/no-go gate.</w:t>
      </w:r>
    </w:p>
    <w:p>
      <w:pPr>
        <w:pStyle w:val="ListBullet"/>
      </w:pPr>
      <w:r>
        <w:rPr>
          <w:rFonts w:ascii="Consolas" w:hAnsi="Consolas"/>
          <w:sz w:val="18"/>
        </w:rPr>
        <w:t>docs/RELEASE-VERIFICATION-2026-08-11.md</w:t>
      </w:r>
      <w:r>
        <w:t xml:space="preserve"> — the executed verification (all gates measured).</w:t>
      </w:r>
    </w:p>
    <w:p>
      <w:pPr>
        <w:pStyle w:val="ListBullet"/>
      </w:pPr>
      <w:r>
        <w:rPr>
          <w:rFonts w:ascii="Consolas" w:hAnsi="Consolas"/>
          <w:sz w:val="18"/>
        </w:rPr>
        <w:t>docs/SECURITY-PENTEST-CHECKLIST.md</w:t>
      </w:r>
      <w:r>
        <w:t xml:space="preserve">, </w:t>
      </w:r>
      <w:r>
        <w:rPr>
          <w:rFonts w:ascii="Consolas" w:hAnsi="Consolas"/>
          <w:sz w:val="18"/>
        </w:rPr>
        <w:t>docs/ACCESSIBILITY-AUDIT.md</w:t>
      </w:r>
      <w:r>
        <w:t>,</w:t>
      </w:r>
    </w:p>
    <w:p>
      <w:r>
        <w:t xml:space="preserve">  </w:t>
      </w:r>
      <w:r>
        <w:rPr>
          <w:rFonts w:ascii="Consolas" w:hAnsi="Consolas"/>
          <w:sz w:val="18"/>
        </w:rPr>
        <w:t>docs/PERF-BASELINE.md</w:t>
      </w:r>
      <w:r>
        <w:t xml:space="preserve"> — supporting audits.</w:t>
      </w:r>
    </w:p>
    <w:p>
      <w:pPr>
        <w:pStyle w:val="Heading2"/>
      </w:pPr>
      <w:r>
        <w:t>Appendix F — Ethics &amp; data statement</w:t>
      </w:r>
    </w:p>
    <w:p>
      <w:r>
        <w:t>The platform stores membership PII and behavioural telemetry under tenant keys, minimises</w:t>
      </w:r>
    </w:p>
    <w:p>
      <w:r>
        <w:t>free-text sensitive data (AI audit stores no question text), supports anonymous review</w:t>
      </w:r>
    </w:p>
    <w:p>
      <w:r>
        <w:t>display under per-library policy, and never exposes avatars or private data on the public</w:t>
      </w:r>
    </w:p>
    <w:p>
      <w:r>
        <w:t>plane. No real patron data was used in testing; all personas are seeded fixtures.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