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spacing w:after="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Joseph Karo’s (1488–1575) legal </w:t>
      </w:r>
      <w:r w:rsidDel="00000000" w:rsidR="00000000" w:rsidRPr="00000000">
        <w:rPr>
          <w:rFonts w:ascii="Times New Roman" w:cs="Times New Roman" w:eastAsia="Times New Roman" w:hAnsi="Times New Roman"/>
          <w:i w:val="1"/>
          <w:sz w:val="28"/>
          <w:szCs w:val="28"/>
          <w:rtl w:val="0"/>
        </w:rPr>
        <w:t xml:space="preserve">oeuvre </w:t>
      </w:r>
      <w:r w:rsidDel="00000000" w:rsidR="00000000" w:rsidRPr="00000000">
        <w:rPr>
          <w:rFonts w:ascii="Times New Roman" w:cs="Times New Roman" w:eastAsia="Times New Roman" w:hAnsi="Times New Roman"/>
          <w:sz w:val="28"/>
          <w:szCs w:val="28"/>
          <w:rtl w:val="0"/>
        </w:rPr>
        <w:t xml:space="preserve">marks a transition between the Jewish Middle Ages and early modernity. Of his legal works, two are particularly consequential: the analytic magnum opus </w:t>
      </w:r>
      <w:r w:rsidDel="00000000" w:rsidR="00000000" w:rsidRPr="00000000">
        <w:rPr>
          <w:rFonts w:ascii="Times New Roman" w:cs="Times New Roman" w:eastAsia="Times New Roman" w:hAnsi="Times New Roman"/>
          <w:i w:val="1"/>
          <w:sz w:val="28"/>
          <w:szCs w:val="28"/>
          <w:rtl w:val="0"/>
        </w:rPr>
        <w:t xml:space="preserve">Beit Yosef </w:t>
      </w:r>
      <w:r w:rsidDel="00000000" w:rsidR="00000000" w:rsidRPr="00000000">
        <w:rPr>
          <w:rFonts w:ascii="Times New Roman" w:cs="Times New Roman" w:eastAsia="Times New Roman" w:hAnsi="Times New Roman"/>
          <w:sz w:val="28"/>
          <w:szCs w:val="28"/>
          <w:rtl w:val="0"/>
        </w:rPr>
        <w:t xml:space="preserve">(“House of Joseph”), presented in the form of a commentary on Jacob ben Asher’s fourteenth-century lawbook </w:t>
      </w:r>
      <w:r w:rsidDel="00000000" w:rsidR="00000000" w:rsidRPr="00000000">
        <w:rPr>
          <w:rFonts w:ascii="Times New Roman" w:cs="Times New Roman" w:eastAsia="Times New Roman" w:hAnsi="Times New Roman"/>
          <w:i w:val="1"/>
          <w:sz w:val="28"/>
          <w:szCs w:val="28"/>
          <w:rtl w:val="0"/>
        </w:rPr>
        <w:t xml:space="preserve">Arba‘ah Turim </w:t>
      </w:r>
      <w:r w:rsidDel="00000000" w:rsidR="00000000" w:rsidRPr="00000000">
        <w:rPr>
          <w:rFonts w:ascii="Times New Roman" w:cs="Times New Roman" w:eastAsia="Times New Roman" w:hAnsi="Times New Roman"/>
          <w:sz w:val="28"/>
          <w:szCs w:val="28"/>
          <w:rtl w:val="0"/>
        </w:rPr>
        <w:t xml:space="preserve">(“Four Rows,” known as “Tur”), and its companion, </w:t>
      </w:r>
      <w:r w:rsidDel="00000000" w:rsidR="00000000" w:rsidRPr="00000000">
        <w:rPr>
          <w:rFonts w:ascii="Times New Roman" w:cs="Times New Roman" w:eastAsia="Times New Roman" w:hAnsi="Times New Roman"/>
          <w:i w:val="1"/>
          <w:sz w:val="28"/>
          <w:szCs w:val="28"/>
          <w:rtl w:val="0"/>
        </w:rPr>
        <w:t xml:space="preserve">Shulhan Arukh </w:t>
      </w:r>
      <w:r w:rsidDel="00000000" w:rsidR="00000000" w:rsidRPr="00000000">
        <w:rPr>
          <w:rFonts w:ascii="Times New Roman" w:cs="Times New Roman" w:eastAsia="Times New Roman" w:hAnsi="Times New Roman"/>
          <w:sz w:val="28"/>
          <w:szCs w:val="28"/>
          <w:rtl w:val="0"/>
        </w:rPr>
        <w:t xml:space="preserve">(“Prepared Table”). Karo composed </w:t>
      </w:r>
      <w:r w:rsidDel="00000000" w:rsidR="00000000" w:rsidRPr="00000000">
        <w:rPr>
          <w:rFonts w:ascii="Times New Roman" w:cs="Times New Roman" w:eastAsia="Times New Roman" w:hAnsi="Times New Roman"/>
          <w:i w:val="1"/>
          <w:sz w:val="28"/>
          <w:szCs w:val="28"/>
          <w:rtl w:val="0"/>
        </w:rPr>
        <w:t xml:space="preserve">Beit Yosef </w:t>
      </w:r>
      <w:r w:rsidDel="00000000" w:rsidR="00000000" w:rsidRPr="00000000">
        <w:rPr>
          <w:rFonts w:ascii="Times New Roman" w:cs="Times New Roman" w:eastAsia="Times New Roman" w:hAnsi="Times New Roman"/>
          <w:sz w:val="28"/>
          <w:szCs w:val="28"/>
          <w:rtl w:val="0"/>
        </w:rPr>
        <w:t xml:space="preserve">over an approximately twenty-year period (1522–1547, with later revisions), and its four parts were printed in Italy between 1550 and 1559. </w:t>
      </w:r>
      <w:r w:rsidDel="00000000" w:rsidR="00000000" w:rsidRPr="00000000">
        <w:rPr>
          <w:rFonts w:ascii="Times New Roman" w:cs="Times New Roman" w:eastAsia="Times New Roman" w:hAnsi="Times New Roman"/>
          <w:i w:val="1"/>
          <w:sz w:val="28"/>
          <w:szCs w:val="28"/>
          <w:rtl w:val="0"/>
        </w:rPr>
        <w:t xml:space="preserve">Shulhan Arukh </w:t>
      </w:r>
      <w:r w:rsidDel="00000000" w:rsidR="00000000" w:rsidRPr="00000000">
        <w:rPr>
          <w:rFonts w:ascii="Times New Roman" w:cs="Times New Roman" w:eastAsia="Times New Roman" w:hAnsi="Times New Roman"/>
          <w:sz w:val="28"/>
          <w:szCs w:val="28"/>
          <w:rtl w:val="0"/>
        </w:rPr>
        <w:t xml:space="preserve">was first published in Italy in 1565. In a brief introduction, Karo describes </w:t>
      </w:r>
      <w:r w:rsidDel="00000000" w:rsidR="00000000" w:rsidRPr="00000000">
        <w:rPr>
          <w:rFonts w:ascii="Times New Roman" w:cs="Times New Roman" w:eastAsia="Times New Roman" w:hAnsi="Times New Roman"/>
          <w:i w:val="1"/>
          <w:sz w:val="28"/>
          <w:szCs w:val="28"/>
          <w:rtl w:val="0"/>
        </w:rPr>
        <w:t xml:space="preserve">Shulhan Arukh </w:t>
      </w:r>
      <w:r w:rsidDel="00000000" w:rsidR="00000000" w:rsidRPr="00000000">
        <w:rPr>
          <w:rFonts w:ascii="Times New Roman" w:cs="Times New Roman" w:eastAsia="Times New Roman" w:hAnsi="Times New Roman"/>
          <w:sz w:val="28"/>
          <w:szCs w:val="28"/>
          <w:rtl w:val="0"/>
        </w:rPr>
        <w:t xml:space="preserve">as a lawbook that collects </w:t>
      </w:r>
      <w:r w:rsidDel="00000000" w:rsidR="00000000" w:rsidRPr="00000000">
        <w:rPr>
          <w:rFonts w:ascii="Times New Roman" w:cs="Times New Roman" w:eastAsia="Times New Roman" w:hAnsi="Times New Roman"/>
          <w:i w:val="1"/>
          <w:sz w:val="28"/>
          <w:szCs w:val="28"/>
          <w:rtl w:val="0"/>
        </w:rPr>
        <w:t xml:space="preserve">Beit Yosef</w:t>
      </w:r>
      <w:r w:rsidDel="00000000" w:rsidR="00000000" w:rsidRPr="00000000">
        <w:rPr>
          <w:rFonts w:ascii="Times New Roman" w:cs="Times New Roman" w:eastAsia="Times New Roman" w:hAnsi="Times New Roman"/>
          <w:sz w:val="28"/>
          <w:szCs w:val="28"/>
          <w:rtl w:val="0"/>
        </w:rPr>
        <w:t xml:space="preserve">’s rulings, presenting them “in a concise manner.” </w:t>
      </w:r>
      <w:r w:rsidDel="00000000" w:rsidR="00000000" w:rsidRPr="00000000">
        <w:rPr>
          <w:rFonts w:ascii="Times New Roman" w:cs="Times New Roman" w:eastAsia="Times New Roman" w:hAnsi="Times New Roman"/>
          <w:i w:val="1"/>
          <w:sz w:val="28"/>
          <w:szCs w:val="28"/>
          <w:rtl w:val="0"/>
        </w:rPr>
        <w:t xml:space="preserve">Shulhan Arukh </w:t>
      </w:r>
      <w:r w:rsidDel="00000000" w:rsidR="00000000" w:rsidRPr="00000000">
        <w:rPr>
          <w:rFonts w:ascii="Times New Roman" w:cs="Times New Roman" w:eastAsia="Times New Roman" w:hAnsi="Times New Roman"/>
          <w:sz w:val="28"/>
          <w:szCs w:val="28"/>
          <w:rtl w:val="0"/>
        </w:rPr>
        <w:t xml:space="preserve">is also to serve as a Jewish law </w:t>
      </w:r>
      <w:r w:rsidDel="00000000" w:rsidR="00000000" w:rsidRPr="00000000">
        <w:rPr>
          <w:rFonts w:ascii="Times New Roman" w:cs="Times New Roman" w:eastAsia="Times New Roman" w:hAnsi="Times New Roman"/>
          <w:i w:val="1"/>
          <w:sz w:val="28"/>
          <w:szCs w:val="28"/>
          <w:rtl w:val="0"/>
        </w:rPr>
        <w:t xml:space="preserve">aide mémoire,</w:t>
      </w:r>
      <w:r w:rsidDel="00000000" w:rsidR="00000000" w:rsidRPr="00000000">
        <w:rPr>
          <w:rFonts w:ascii="Times New Roman" w:cs="Times New Roman" w:eastAsia="Times New Roman" w:hAnsi="Times New Roman"/>
          <w:sz w:val="28"/>
          <w:szCs w:val="28"/>
          <w:rtl w:val="0"/>
        </w:rPr>
        <w:t xml:space="preserve"> the content of which both seasoned scholars and students would come to know by heart through constant monthly study and repetition. While the story of </w:t>
      </w:r>
      <w:r w:rsidDel="00000000" w:rsidR="00000000" w:rsidRPr="00000000">
        <w:rPr>
          <w:rFonts w:ascii="Times New Roman" w:cs="Times New Roman" w:eastAsia="Times New Roman" w:hAnsi="Times New Roman"/>
          <w:i w:val="1"/>
          <w:sz w:val="28"/>
          <w:szCs w:val="28"/>
          <w:rtl w:val="0"/>
        </w:rPr>
        <w:t xml:space="preserve">Shulhan Arukh</w:t>
      </w:r>
      <w:r w:rsidDel="00000000" w:rsidR="00000000" w:rsidRPr="00000000">
        <w:rPr>
          <w:rFonts w:ascii="Times New Roman" w:cs="Times New Roman" w:eastAsia="Times New Roman" w:hAnsi="Times New Roman"/>
          <w:sz w:val="28"/>
          <w:szCs w:val="28"/>
          <w:rtl w:val="0"/>
        </w:rPr>
        <w:t xml:space="preserve">’s composition and reception is incomplete without reference to Moses Isserles’s (1530–1572) glosses and their early printing as part of the work (beginning in 1574), this presentation focuses on Karo’s own text. </w:t>
      </w:r>
    </w:p>
    <w:p w:rsidR="00000000" w:rsidDel="00000000" w:rsidP="00000000" w:rsidRDefault="00000000" w:rsidRPr="00000000" w14:paraId="0000000B">
      <w:pPr>
        <w:spacing w:after="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Karo’s brief introduction to </w:t>
      </w:r>
      <w:r w:rsidDel="00000000" w:rsidR="00000000" w:rsidRPr="00000000">
        <w:rPr>
          <w:rFonts w:ascii="Times New Roman" w:cs="Times New Roman" w:eastAsia="Times New Roman" w:hAnsi="Times New Roman"/>
          <w:i w:val="1"/>
          <w:sz w:val="28"/>
          <w:szCs w:val="28"/>
          <w:rtl w:val="0"/>
        </w:rPr>
        <w:t xml:space="preserve">Shulhan Arukh </w:t>
      </w:r>
      <w:r w:rsidDel="00000000" w:rsidR="00000000" w:rsidRPr="00000000">
        <w:rPr>
          <w:rFonts w:ascii="Times New Roman" w:cs="Times New Roman" w:eastAsia="Times New Roman" w:hAnsi="Times New Roman"/>
          <w:sz w:val="28"/>
          <w:szCs w:val="28"/>
          <w:rtl w:val="0"/>
        </w:rPr>
        <w:t xml:space="preserve">does not fully account for how he composed it. Even </w:t>
      </w:r>
      <w:r w:rsidDel="00000000" w:rsidR="00000000" w:rsidRPr="00000000">
        <w:rPr>
          <w:rFonts w:ascii="Times New Roman" w:cs="Times New Roman" w:eastAsia="Times New Roman" w:hAnsi="Times New Roman"/>
          <w:i w:val="1"/>
          <w:sz w:val="28"/>
          <w:szCs w:val="28"/>
          <w:rtl w:val="0"/>
        </w:rPr>
        <w:t xml:space="preserve">Shulhan Arukh</w:t>
      </w:r>
      <w:r w:rsidDel="00000000" w:rsidR="00000000" w:rsidRPr="00000000">
        <w:rPr>
          <w:rFonts w:ascii="Times New Roman" w:cs="Times New Roman" w:eastAsia="Times New Roman" w:hAnsi="Times New Roman"/>
          <w:sz w:val="28"/>
          <w:szCs w:val="28"/>
          <w:rtl w:val="0"/>
        </w:rPr>
        <w:t xml:space="preserve">’s early readers recognized the lawbook’s clear indebtedness to the language of </w:t>
      </w:r>
      <w:r w:rsidDel="00000000" w:rsidR="00000000" w:rsidRPr="00000000">
        <w:rPr>
          <w:rFonts w:ascii="Times New Roman" w:cs="Times New Roman" w:eastAsia="Times New Roman" w:hAnsi="Times New Roman"/>
          <w:i w:val="1"/>
          <w:sz w:val="28"/>
          <w:szCs w:val="28"/>
          <w:rtl w:val="0"/>
        </w:rPr>
        <w:t xml:space="preserve">Arba‘ah Turim </w:t>
      </w:r>
      <w:r w:rsidDel="00000000" w:rsidR="00000000" w:rsidRPr="00000000">
        <w:rPr>
          <w:rFonts w:ascii="Times New Roman" w:cs="Times New Roman" w:eastAsia="Times New Roman" w:hAnsi="Times New Roman"/>
          <w:sz w:val="28"/>
          <w:szCs w:val="28"/>
          <w:rtl w:val="0"/>
        </w:rPr>
        <w:t xml:space="preserve">(especially) as well as that of Maimonides’s </w:t>
      </w:r>
      <w:r w:rsidDel="00000000" w:rsidR="00000000" w:rsidRPr="00000000">
        <w:rPr>
          <w:rFonts w:ascii="Times New Roman" w:cs="Times New Roman" w:eastAsia="Times New Roman" w:hAnsi="Times New Roman"/>
          <w:i w:val="1"/>
          <w:sz w:val="28"/>
          <w:szCs w:val="28"/>
          <w:rtl w:val="0"/>
        </w:rPr>
        <w:t xml:space="preserve">Mishneh Torah </w:t>
      </w:r>
      <w:r w:rsidDel="00000000" w:rsidR="00000000" w:rsidRPr="00000000">
        <w:rPr>
          <w:rFonts w:ascii="Times New Roman" w:cs="Times New Roman" w:eastAsia="Times New Roman" w:hAnsi="Times New Roman"/>
          <w:sz w:val="28"/>
          <w:szCs w:val="28"/>
          <w:rtl w:val="0"/>
        </w:rPr>
        <w:t xml:space="preserve">(twelfth century). Source-criticism reveals that at times, Karo introduces novel ideas into sequences of language he takes from these predecessors, especially </w:t>
      </w:r>
      <w:r w:rsidDel="00000000" w:rsidR="00000000" w:rsidRPr="00000000">
        <w:rPr>
          <w:rFonts w:ascii="Times New Roman" w:cs="Times New Roman" w:eastAsia="Times New Roman" w:hAnsi="Times New Roman"/>
          <w:i w:val="1"/>
          <w:sz w:val="28"/>
          <w:szCs w:val="28"/>
          <w:rtl w:val="0"/>
        </w:rPr>
        <w:t xml:space="preserve">Arba‘ah Turim. </w:t>
      </w:r>
      <w:r w:rsidDel="00000000" w:rsidR="00000000" w:rsidRPr="00000000">
        <w:rPr>
          <w:rFonts w:ascii="Times New Roman" w:cs="Times New Roman" w:eastAsia="Times New Roman" w:hAnsi="Times New Roman"/>
          <w:sz w:val="28"/>
          <w:szCs w:val="28"/>
          <w:rtl w:val="0"/>
        </w:rPr>
        <w:t xml:space="preserve">Karo’s literary interventions may be based on legal sources </w:t>
      </w:r>
      <w:r w:rsidDel="00000000" w:rsidR="00000000" w:rsidRPr="00000000">
        <w:rPr>
          <w:rFonts w:ascii="Times New Roman" w:cs="Times New Roman" w:eastAsia="Times New Roman" w:hAnsi="Times New Roman"/>
          <w:i w:val="1"/>
          <w:sz w:val="28"/>
          <w:szCs w:val="28"/>
          <w:rtl w:val="0"/>
        </w:rPr>
        <w:t xml:space="preserve">Arba‘ah Turim </w:t>
      </w:r>
      <w:r w:rsidDel="00000000" w:rsidR="00000000" w:rsidRPr="00000000">
        <w:rPr>
          <w:rFonts w:ascii="Times New Roman" w:cs="Times New Roman" w:eastAsia="Times New Roman" w:hAnsi="Times New Roman"/>
          <w:sz w:val="28"/>
          <w:szCs w:val="28"/>
          <w:rtl w:val="0"/>
        </w:rPr>
        <w:t xml:space="preserve">neglected or was unaware of, or they may be his own original formulations. Ongoing research demonstrates to date that there are demonstrable thematic patterns to two sets of these interventions, one of which is the subject of this presentation: Karo’s literary interventions touching on the land of Israel. Identifications of other literary interventions and their themes is a desideratum. Broader study of these thematic patterns beyond the “four walls” of Karo’s lawbooks may further illuminate his thought, public roles, and Safedian context. </w:t>
      </w:r>
    </w:p>
    <w:p w:rsidR="00000000" w:rsidDel="00000000" w:rsidP="00000000" w:rsidRDefault="00000000" w:rsidRPr="00000000" w14:paraId="0000000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1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1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 </w:t>
      </w:r>
      <w:r w:rsidDel="00000000" w:rsidR="00000000" w:rsidRPr="00000000">
        <w:rPr>
          <w:rFonts w:ascii="Times New Roman" w:cs="Times New Roman" w:eastAsia="Times New Roman" w:hAnsi="Times New Roman"/>
          <w:sz w:val="28"/>
          <w:szCs w:val="28"/>
          <w:rtl w:val="0"/>
        </w:rPr>
        <w:t xml:space="preserve">151.11</w:t>
      </w:r>
    </w:p>
    <w:p w:rsidR="00000000" w:rsidDel="00000000" w:rsidP="00000000" w:rsidRDefault="00000000" w:rsidRPr="00000000" w14:paraId="0000001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If at the time the synagogue was built, [the community] made a condition [allowing them] to use it [as well for a non-sacred purpose], it is permitted to use it [thusly] when it is in ruins. But a condition is ineffective when [the synagogue] is habitable. And even [when the synagogue is] in ruins, a condition is ineffective [to allow] for a disgraceful use, such as planting and public accountings. </w:t>
      </w:r>
      <w:r w:rsidDel="00000000" w:rsidR="00000000" w:rsidRPr="00000000">
        <w:rPr>
          <w:rFonts w:ascii="Times New Roman" w:cs="Times New Roman" w:eastAsia="Times New Roman" w:hAnsi="Times New Roman"/>
          <w:b w:val="1"/>
          <w:sz w:val="28"/>
          <w:szCs w:val="28"/>
          <w:rtl w:val="0"/>
        </w:rPr>
        <w:t xml:space="preserve">These [principles] apply to synagogues outside the land [of Israel], but no condition at all is effective as to synagogues in the land of Israel. </w:t>
      </w:r>
    </w:p>
    <w:p w:rsidR="00000000" w:rsidDel="00000000" w:rsidP="00000000" w:rsidRDefault="00000000" w:rsidRPr="00000000" w14:paraId="0000001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 </w:t>
      </w:r>
      <w:r w:rsidDel="00000000" w:rsidR="00000000" w:rsidRPr="00000000">
        <w:rPr>
          <w:rFonts w:ascii="Times New Roman" w:cs="Times New Roman" w:eastAsia="Times New Roman" w:hAnsi="Times New Roman"/>
          <w:sz w:val="28"/>
          <w:szCs w:val="28"/>
          <w:rtl w:val="0"/>
        </w:rPr>
        <w:t xml:space="preserve">151</w:t>
      </w:r>
    </w:p>
    <w:p w:rsidR="00000000" w:rsidDel="00000000" w:rsidP="00000000" w:rsidRDefault="00000000" w:rsidRPr="00000000" w14:paraId="0000001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if at the time [the synagogue] was built [the community] made a condition [allowing them] to use it [as well for a non-sacred purpose], it is permitted to use it [thusly] when it is in ruins. But a condition is ineffective when [the synagogue] is habitable. And even when it is in ruins, a condition is ineffective [to allow] for a disgraceful use, such as planting and public accountings.</w:t>
      </w:r>
    </w:p>
    <w:p w:rsidR="00000000" w:rsidDel="00000000" w:rsidP="00000000" w:rsidRDefault="00000000" w:rsidRPr="00000000" w14:paraId="0000002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 </w:t>
      </w:r>
      <w:r w:rsidDel="00000000" w:rsidR="00000000" w:rsidRPr="00000000">
        <w:rPr>
          <w:rFonts w:ascii="Times New Roman" w:cs="Times New Roman" w:eastAsia="Times New Roman" w:hAnsi="Times New Roman"/>
          <w:sz w:val="28"/>
          <w:szCs w:val="28"/>
          <w:rtl w:val="0"/>
        </w:rPr>
        <w:t xml:space="preserve">151</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Tosafists wrote</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that this [principle] “[synagogues] are made on condition” is only effective for those [synagogues] in Babylonia, for at the time of the redeemer’s coming (may it be speedily in our days), their sanctity will be canceled. But a condition is ineffective for those [synagogues] in the land of Israel, the sanctity of which endures forever.</w:t>
      </w:r>
    </w:p>
    <w:p w:rsidR="00000000" w:rsidDel="00000000" w:rsidP="00000000" w:rsidRDefault="00000000" w:rsidRPr="00000000" w14:paraId="0000002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2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151.11</w:t>
      </w:r>
    </w:p>
    <w:p w:rsidR="00000000" w:rsidDel="00000000" w:rsidP="00000000" w:rsidRDefault="00000000" w:rsidRPr="00000000" w14:paraId="0000002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בהכ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נ</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להשתמש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להשתמש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בחרבנו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ביישובו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ואפילו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בחרבנו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לתשמיש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מגונה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כגון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זריעה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וחשבונות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בד</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בבתי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כנסיות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שבחוצה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אבל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בבתי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כנסיות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שבא</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מהני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תנאי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151</w:t>
      </w:r>
    </w:p>
    <w:p w:rsidR="00000000" w:rsidDel="00000000" w:rsidP="00000000" w:rsidRDefault="00000000" w:rsidRPr="00000000" w14:paraId="0000003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להשתמש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להשתמש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בחורבתו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בישובו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ואפילו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בחורבנו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לתשמיש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מגונה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כגון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זריעה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וחשבונות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תנאה</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151</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וכתבו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התוספות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כנסיות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עשויין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לאותם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שבבבל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גואל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במהרה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בימינו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תפקע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קדושתם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לאותם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תנאי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קדושתן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לעולם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קיימת</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3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43">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 </w:t>
      </w:r>
      <w:r w:rsidDel="00000000" w:rsidR="00000000" w:rsidRPr="00000000">
        <w:rPr>
          <w:rFonts w:ascii="Times New Roman" w:cs="Times New Roman" w:eastAsia="Times New Roman" w:hAnsi="Times New Roman"/>
          <w:sz w:val="28"/>
          <w:szCs w:val="28"/>
          <w:rtl w:val="0"/>
        </w:rPr>
        <w:t xml:space="preserve">248.4</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It is forbidden [for Jewish travelers] to depart three days prior to the Sabbath (i.e., Wednesday–Friday) as part of a desert caravan [led by non-Jews]. Everyone [involved] knows that [the Jewish travelers] will need to desecrate the Sabbath because, on account of the danger [to life entailed by a desert journey], they will not be able to delay [their journey and remain] by themselves in the desert on the Sabbath. They are permitted to depart on Sunday, Monday, and Tuesday, and if thereafter a [situation of] danger emerges and [the traveler] must desecrate the Sabbath on account of [the obligation of] saving life, this is permitted and there [legally] is no [Sabbath] desecration. </w:t>
      </w:r>
      <w:r w:rsidDel="00000000" w:rsidR="00000000" w:rsidRPr="00000000">
        <w:rPr>
          <w:rFonts w:ascii="Times New Roman" w:cs="Times New Roman" w:eastAsia="Times New Roman" w:hAnsi="Times New Roman"/>
          <w:b w:val="1"/>
          <w:sz w:val="28"/>
          <w:szCs w:val="28"/>
          <w:rtl w:val="0"/>
        </w:rPr>
        <w:t xml:space="preserve">And the one who ascends to the land of Israel, if he chances upon a caravan even on Friday, since this is a matter of [divine] commandment, he may depart. . . .</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 </w:t>
      </w:r>
      <w:r w:rsidDel="00000000" w:rsidR="00000000" w:rsidRPr="00000000">
        <w:rPr>
          <w:rFonts w:ascii="Times New Roman" w:cs="Times New Roman" w:eastAsia="Times New Roman" w:hAnsi="Times New Roman"/>
          <w:sz w:val="28"/>
          <w:szCs w:val="28"/>
          <w:rtl w:val="0"/>
        </w:rPr>
        <w:t xml:space="preserve">248</w:t>
      </w:r>
    </w:p>
    <w:p w:rsidR="00000000" w:rsidDel="00000000" w:rsidP="00000000" w:rsidRDefault="00000000" w:rsidRPr="00000000" w14:paraId="0000004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does not set sail on a ship within three days of the Sabbath. This [rule] applies to a discretionary matter, but [setting sail] is permitted as to a matter of [divine] commandment. . . And on the subject of “matter of [divine] commandment,” Rabbenu Tam</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interpreted [that to mean] that wherever a person goes, be it for commerce, or to visit his friend—it is all considered to be a matter of [divine] commandment. Only traveling for the sake of traveling is considered to be a discretionary matter.</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 </w:t>
      </w:r>
      <w:r w:rsidDel="00000000" w:rsidR="00000000" w:rsidRPr="00000000">
        <w:rPr>
          <w:rFonts w:ascii="Times New Roman" w:cs="Times New Roman" w:eastAsia="Times New Roman" w:hAnsi="Times New Roman"/>
          <w:sz w:val="28"/>
          <w:szCs w:val="28"/>
          <w:rtl w:val="0"/>
        </w:rPr>
        <w:t xml:space="preserve">248</w:t>
      </w:r>
    </w:p>
    <w:p w:rsidR="00000000" w:rsidDel="00000000" w:rsidP="00000000" w:rsidRDefault="00000000" w:rsidRPr="00000000" w14:paraId="0000004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thus did the Rivash</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 write in a responsum (chapter 101) that this which our rabbi (=the Tur) wrote in the name of Rabbenu Tam is an extreme leniency. And he wrote that, nevertheless, ascending to the land of Israel is certainly a matter of [divine]  commandment. . . .</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5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 </w:t>
      </w:r>
      <w:r w:rsidDel="00000000" w:rsidR="00000000" w:rsidRPr="00000000">
        <w:rPr>
          <w:rFonts w:ascii="Times New Roman" w:cs="Times New Roman" w:eastAsia="Times New Roman" w:hAnsi="Times New Roman"/>
          <w:sz w:val="28"/>
          <w:szCs w:val="28"/>
          <w:rtl w:val="0"/>
        </w:rPr>
        <w:t xml:space="preserve">248.4</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right"/>
        <w:rPr>
          <w:rFonts w:ascii="Times New Roman" w:cs="Times New Roman" w:eastAsia="Times New Roman" w:hAnsi="Times New Roman"/>
          <w:b w:val="1"/>
          <w:sz w:val="28"/>
          <w:szCs w:val="28"/>
        </w:rPr>
      </w:pP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היוצאים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בשיירא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יודעים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צריכים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לחלל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הסכנה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יוכלו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לעכב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לבדם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אסורים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לצאת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ראשון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ובשלישי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לצאת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יארע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סכנה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ויצטרך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לחלל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פיקוח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נפש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כאן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חילול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והעולה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נזדמנה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שיירא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אפילו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בערב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כיון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דדבר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מצוה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יכול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לפרוש</w:t>
      </w:r>
      <w:r w:rsidDel="00000000" w:rsidR="00000000" w:rsidRPr="00000000">
        <w:rPr>
          <w:rFonts w:ascii="Times New Roman" w:cs="Times New Roman" w:eastAsia="Times New Roman" w:hAnsi="Times New Roman"/>
          <w:b w:val="1"/>
          <w:sz w:val="28"/>
          <w:szCs w:val="28"/>
          <w:rtl w:val="0"/>
        </w:rPr>
        <w:t xml:space="preserve">. . . . </w:t>
      </w:r>
    </w:p>
    <w:p w:rsidR="00000000" w:rsidDel="00000000" w:rsidP="00000000" w:rsidRDefault="00000000" w:rsidRPr="00000000" w14:paraId="0000005B">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248</w:t>
      </w:r>
    </w:p>
    <w:p w:rsidR="00000000" w:rsidDel="00000000" w:rsidP="00000000" w:rsidRDefault="00000000" w:rsidRPr="00000000" w14:paraId="0000005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מפליגין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בספינה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 . </w:t>
      </w:r>
      <w:r w:rsidDel="00000000" w:rsidR="00000000" w:rsidRPr="00000000">
        <w:rPr>
          <w:rFonts w:ascii="Times New Roman" w:cs="Times New Roman" w:eastAsia="Times New Roman" w:hAnsi="Times New Roman"/>
          <w:sz w:val="28"/>
          <w:szCs w:val="28"/>
          <w:rtl w:val="1"/>
        </w:rPr>
        <w:t xml:space="preserve">ולענין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כגון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לסחורה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לראות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חבירו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חשיב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חשובה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כשהולך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לטייל</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248</w:t>
      </w:r>
    </w:p>
    <w:p w:rsidR="00000000" w:rsidDel="00000000" w:rsidP="00000000" w:rsidRDefault="00000000" w:rsidRPr="00000000" w14:paraId="0000006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1"/>
        </w:rPr>
        <w:t xml:space="preserve">וכן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הריב</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בתשובה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יתירה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שלעלות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שפיר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מצוה</w:t>
      </w:r>
      <w:r w:rsidDel="00000000" w:rsidR="00000000" w:rsidRPr="00000000">
        <w:rPr>
          <w:rFonts w:ascii="Times New Roman" w:cs="Times New Roman" w:eastAsia="Times New Roman" w:hAnsi="Times New Roman"/>
          <w:sz w:val="28"/>
          <w:szCs w:val="28"/>
          <w:rtl w:val="0"/>
        </w:rPr>
        <w:t xml:space="preserve">. . . </w:t>
      </w:r>
      <w:r w:rsidDel="00000000" w:rsidR="00000000" w:rsidRPr="00000000">
        <w:br w:type="page"/>
      </w: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6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6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 </w:t>
      </w:r>
      <w:r w:rsidDel="00000000" w:rsidR="00000000" w:rsidRPr="00000000">
        <w:rPr>
          <w:rFonts w:ascii="Times New Roman" w:cs="Times New Roman" w:eastAsia="Times New Roman" w:hAnsi="Times New Roman"/>
          <w:sz w:val="28"/>
          <w:szCs w:val="28"/>
          <w:rtl w:val="0"/>
        </w:rPr>
        <w:t xml:space="preserve">269</w:t>
      </w:r>
    </w:p>
    <w:p w:rsidR="00000000" w:rsidDel="00000000" w:rsidP="00000000" w:rsidRDefault="00000000" w:rsidRPr="00000000" w14:paraId="0000006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They are accustomed to sanctify [the Sabbath] in the synagogue.</w:t>
      </w:r>
      <w:r w:rsidDel="00000000" w:rsidR="00000000" w:rsidRPr="00000000">
        <w:rPr>
          <w:rFonts w:ascii="Times New Roman" w:cs="Times New Roman" w:eastAsia="Times New Roman" w:hAnsi="Times New Roman"/>
          <w:sz w:val="28"/>
          <w:szCs w:val="28"/>
          <w:vertAlign w:val="superscript"/>
        </w:rPr>
        <w:footnoteReference w:customMarkFollows="0" w:id="3"/>
      </w:r>
      <w:r w:rsidDel="00000000" w:rsidR="00000000" w:rsidRPr="00000000">
        <w:rPr>
          <w:rFonts w:ascii="Times New Roman" w:cs="Times New Roman" w:eastAsia="Times New Roman" w:hAnsi="Times New Roman"/>
          <w:sz w:val="28"/>
          <w:szCs w:val="28"/>
          <w:rtl w:val="0"/>
        </w:rPr>
        <w:t xml:space="preserve"> The one who sanctifies should not taste of the sanctification wine, but should give it to a child, for the sanctification should only be [recited] in the place of the [Friday evening Sabbath] meal. And originally, [the practice of reciting the sanctification in the synagogue] was only instituted on account of guests who ate and drank in the synagogue, to fulfill for them their obligation [to sanctify the Sabbath prior to eating the Friday night meal]. And now, the reason[ing] of those places that have been accustomed to recite the sanctification in the synagogue is that the enactment is not nullified even though guests do not eat in the synagogue. </w:t>
      </w:r>
      <w:r w:rsidDel="00000000" w:rsidR="00000000" w:rsidRPr="00000000">
        <w:rPr>
          <w:rFonts w:ascii="Times New Roman" w:cs="Times New Roman" w:eastAsia="Times New Roman" w:hAnsi="Times New Roman"/>
          <w:b w:val="1"/>
          <w:sz w:val="28"/>
          <w:szCs w:val="28"/>
          <w:rtl w:val="0"/>
        </w:rPr>
        <w:t xml:space="preserve">But it is better to institute the practice of not sanctifying in the synagogue, which is the practice of the land of Israel.</w:t>
      </w:r>
    </w:p>
    <w:p w:rsidR="00000000" w:rsidDel="00000000" w:rsidP="00000000" w:rsidRDefault="00000000" w:rsidRPr="00000000" w14:paraId="0000006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269</w:t>
      </w:r>
    </w:p>
    <w:p w:rsidR="00000000" w:rsidDel="00000000" w:rsidP="00000000" w:rsidRDefault="00000000" w:rsidRPr="00000000" w14:paraId="0000007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And they are accustomed in all places that the prayer leader sanctifies [the Sabbath on Friday nights] in the synagogue. And I am astonished: How has this practice spread?. . . for they only instituted [the recitation of the Friday night sanctification in the synagogue] on account of guests. And since there are no [longer any] guests [who eat meals in the  synagogue], it is appropriate not to sanctify [the Sabbath there]. And had I the power I would nullify [this practice].</w:t>
      </w: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7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7A">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269</w:t>
      </w:r>
    </w:p>
    <w:p w:rsidR="00000000" w:rsidDel="00000000" w:rsidP="00000000" w:rsidRDefault="00000000" w:rsidRPr="00000000" w14:paraId="0000007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נוהגין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בבהכ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נ</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לטעום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מיין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הקידוש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מטעימו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לקטן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סעודה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ומעיקרא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נתקן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בשביל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אורחים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דאכלי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ושתי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כנישתא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להוציאם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ועכשיו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אכלי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אורחים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כנישתא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בטלה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התקנה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טעם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המקומות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שנהגו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בבהכ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נ</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אבל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יותר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טוב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להנהיג</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לקדש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בבהכ</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נ</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וכן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מנהג</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269</w:t>
      </w:r>
    </w:p>
    <w:p w:rsidR="00000000" w:rsidDel="00000000" w:rsidP="00000000" w:rsidRDefault="00000000" w:rsidRPr="00000000" w14:paraId="0000008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1"/>
        </w:rPr>
        <w:t xml:space="preserve">ונוהגין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המקומות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שש</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בבה</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היאך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נתפשט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המנהג</w:t>
      </w:r>
      <w:r w:rsidDel="00000000" w:rsidR="00000000" w:rsidRPr="00000000">
        <w:rPr>
          <w:rFonts w:ascii="Times New Roman" w:cs="Times New Roman" w:eastAsia="Times New Roman" w:hAnsi="Times New Roman"/>
          <w:sz w:val="28"/>
          <w:szCs w:val="28"/>
          <w:rtl w:val="1"/>
        </w:rPr>
        <w:t xml:space="preserve">. .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תקנו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אורחין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וכיון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דליכא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אורחין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איישר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חילי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אבטליניה</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8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 </w:t>
      </w:r>
      <w:r w:rsidDel="00000000" w:rsidR="00000000" w:rsidRPr="00000000">
        <w:rPr>
          <w:rFonts w:ascii="Times New Roman" w:cs="Times New Roman" w:eastAsia="Times New Roman" w:hAnsi="Times New Roman"/>
          <w:sz w:val="28"/>
          <w:szCs w:val="28"/>
          <w:rtl w:val="0"/>
        </w:rPr>
        <w:t xml:space="preserve">306.11</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permitted to buy a house in the land of Israel from a non-Jew on the Sabbath, and [the non-Jew] signs and brings [the document] to the [non-Jewish] courts.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306</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written in the </w:t>
      </w:r>
      <w:r w:rsidDel="00000000" w:rsidR="00000000" w:rsidRPr="00000000">
        <w:rPr>
          <w:rFonts w:ascii="Times New Roman" w:cs="Times New Roman" w:eastAsia="Times New Roman" w:hAnsi="Times New Roman"/>
          <w:i w:val="1"/>
          <w:sz w:val="28"/>
          <w:szCs w:val="28"/>
          <w:rtl w:val="0"/>
        </w:rPr>
        <w:t xml:space="preserve">hagahot Asheri</w:t>
      </w:r>
      <w:r w:rsidDel="00000000" w:rsidR="00000000" w:rsidRPr="00000000">
        <w:rPr>
          <w:rFonts w:ascii="Times New Roman" w:cs="Times New Roman" w:eastAsia="Times New Roman" w:hAnsi="Times New Roman"/>
          <w:sz w:val="28"/>
          <w:szCs w:val="28"/>
          <w:vertAlign w:val="superscript"/>
        </w:rPr>
        <w:footnoteReference w:customMarkFollows="0" w:id="4"/>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 chapter 2 of [Babylonian Talmud tractate] Mo‘ed Katan (paragraph 18) in the name of </w:t>
      </w:r>
      <w:r w:rsidDel="00000000" w:rsidR="00000000" w:rsidRPr="00000000">
        <w:rPr>
          <w:rFonts w:ascii="Times New Roman" w:cs="Times New Roman" w:eastAsia="Times New Roman" w:hAnsi="Times New Roman"/>
          <w:i w:val="1"/>
          <w:sz w:val="28"/>
          <w:szCs w:val="28"/>
          <w:rtl w:val="0"/>
        </w:rPr>
        <w:t xml:space="preserve">Or Zaru‘a</w:t>
      </w:r>
      <w:r w:rsidDel="00000000" w:rsidR="00000000" w:rsidRPr="00000000">
        <w:rPr>
          <w:rFonts w:ascii="Times New Roman" w:cs="Times New Roman" w:eastAsia="Times New Roman" w:hAnsi="Times New Roman"/>
          <w:sz w:val="28"/>
          <w:szCs w:val="28"/>
          <w:vertAlign w:val="superscript"/>
        </w:rPr>
        <w:footnoteReference w:customMarkFollows="0" w:id="5"/>
      </w:r>
      <w:r w:rsidDel="00000000" w:rsidR="00000000" w:rsidRPr="00000000">
        <w:rPr>
          <w:rFonts w:ascii="Times New Roman" w:cs="Times New Roman" w:eastAsia="Times New Roman" w:hAnsi="Times New Roman"/>
          <w:sz w:val="28"/>
          <w:szCs w:val="28"/>
          <w:rtl w:val="0"/>
        </w:rPr>
        <w:t xml:space="preserve">: “It is permitted to buy houses from a non-Jew on the Sabbath. How does one do it? [The Jew] shows [the non-Jew] wallets of </w:t>
      </w:r>
      <w:r w:rsidDel="00000000" w:rsidR="00000000" w:rsidRPr="00000000">
        <w:rPr>
          <w:rFonts w:ascii="Times New Roman" w:cs="Times New Roman" w:eastAsia="Times New Roman" w:hAnsi="Times New Roman"/>
          <w:i w:val="1"/>
          <w:sz w:val="28"/>
          <w:szCs w:val="28"/>
          <w:rtl w:val="0"/>
        </w:rPr>
        <w:t xml:space="preserve">dinarin </w:t>
      </w:r>
      <w:r w:rsidDel="00000000" w:rsidR="00000000" w:rsidRPr="00000000">
        <w:rPr>
          <w:rFonts w:ascii="Times New Roman" w:cs="Times New Roman" w:eastAsia="Times New Roman" w:hAnsi="Times New Roman"/>
          <w:sz w:val="28"/>
          <w:szCs w:val="28"/>
          <w:rtl w:val="0"/>
        </w:rPr>
        <w:t xml:space="preserve">(monies) and the non-Jew signs and brings [the document] to the courts.” End quote. </w:t>
      </w:r>
      <w:r w:rsidDel="00000000" w:rsidR="00000000" w:rsidRPr="00000000">
        <w:rPr>
          <w:rFonts w:ascii="Times New Roman" w:cs="Times New Roman" w:eastAsia="Times New Roman" w:hAnsi="Times New Roman"/>
          <w:b w:val="1"/>
          <w:sz w:val="28"/>
          <w:szCs w:val="28"/>
          <w:rtl w:val="0"/>
        </w:rPr>
        <w:t xml:space="preserve">And it appears that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Or Zaru‘a</w:t>
      </w:r>
      <w:r w:rsidDel="00000000" w:rsidR="00000000" w:rsidRPr="00000000">
        <w:rPr>
          <w:rFonts w:ascii="Times New Roman" w:cs="Times New Roman" w:eastAsia="Times New Roman" w:hAnsi="Times New Roman"/>
          <w:b w:val="1"/>
          <w:sz w:val="28"/>
          <w:szCs w:val="28"/>
          <w:rtl w:val="0"/>
        </w:rPr>
        <w:t xml:space="preserve">] is dealing with buying a house in the land of land of Israel</w:t>
      </w:r>
      <w:r w:rsidDel="00000000" w:rsidR="00000000" w:rsidRPr="00000000">
        <w:rPr>
          <w:rFonts w:ascii="Times New Roman" w:cs="Times New Roman" w:eastAsia="Times New Roman" w:hAnsi="Times New Roman"/>
          <w:sz w:val="28"/>
          <w:szCs w:val="28"/>
          <w:rtl w:val="0"/>
        </w:rPr>
        <w:t xml:space="preserve">, and as we say in the first chapter of [Babylonian Talmud tractate] Gittin (8b) and at the end of the chapter [the name of  which is] “is greater” (Babylonian Talmud tractate Bava Kamma chapter 7) (BK 80b).</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Hagahot Asheri</w:t>
      </w:r>
      <w:r w:rsidDel="00000000" w:rsidR="00000000" w:rsidRPr="00000000">
        <w:rPr>
          <w:rFonts w:ascii="Times New Roman" w:cs="Times New Roman" w:eastAsia="Times New Roman" w:hAnsi="Times New Roman"/>
          <w:sz w:val="28"/>
          <w:szCs w:val="28"/>
          <w:rtl w:val="0"/>
        </w:rPr>
        <w:t xml:space="preserve">, Mo‘ed Katan 2.18</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It is permitted to buy houses from non-Jews on the Sabbath</w:t>
      </w:r>
      <w:r w:rsidDel="00000000" w:rsidR="00000000" w:rsidRPr="00000000">
        <w:rPr>
          <w:rFonts w:ascii="Times New Roman" w:cs="Times New Roman" w:eastAsia="Times New Roman" w:hAnsi="Times New Roman"/>
          <w:sz w:val="28"/>
          <w:szCs w:val="28"/>
          <w:rtl w:val="0"/>
        </w:rPr>
        <w:t xml:space="preserve">. How does he do it? [The Jew]  shows [the non-Jew] a wallet of </w:t>
      </w:r>
      <w:r w:rsidDel="00000000" w:rsidR="00000000" w:rsidRPr="00000000">
        <w:rPr>
          <w:rFonts w:ascii="Times New Roman" w:cs="Times New Roman" w:eastAsia="Times New Roman" w:hAnsi="Times New Roman"/>
          <w:i w:val="1"/>
          <w:sz w:val="28"/>
          <w:szCs w:val="28"/>
          <w:rtl w:val="0"/>
        </w:rPr>
        <w:t xml:space="preserve">dinarim </w:t>
      </w:r>
      <w:r w:rsidDel="00000000" w:rsidR="00000000" w:rsidRPr="00000000">
        <w:rPr>
          <w:rFonts w:ascii="Times New Roman" w:cs="Times New Roman" w:eastAsia="Times New Roman" w:hAnsi="Times New Roman"/>
          <w:sz w:val="28"/>
          <w:szCs w:val="28"/>
          <w:rtl w:val="0"/>
        </w:rPr>
        <w:t xml:space="preserve">(coins) and the non-Jew signs and brings [the document] to the courts. From </w:t>
      </w:r>
      <w:r w:rsidDel="00000000" w:rsidR="00000000" w:rsidRPr="00000000">
        <w:rPr>
          <w:rFonts w:ascii="Times New Roman" w:cs="Times New Roman" w:eastAsia="Times New Roman" w:hAnsi="Times New Roman"/>
          <w:i w:val="1"/>
          <w:sz w:val="28"/>
          <w:szCs w:val="28"/>
          <w:rtl w:val="0"/>
        </w:rPr>
        <w:t xml:space="preserve">a’’z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Or Zaru‘a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Or Zar‘ua </w:t>
      </w:r>
      <w:r w:rsidDel="00000000" w:rsidR="00000000" w:rsidRPr="00000000">
        <w:rPr>
          <w:rFonts w:ascii="Times New Roman" w:cs="Times New Roman" w:eastAsia="Times New Roman" w:hAnsi="Times New Roman"/>
          <w:sz w:val="28"/>
          <w:szCs w:val="28"/>
          <w:rtl w:val="0"/>
        </w:rPr>
        <w:t xml:space="preserve">2.85</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there is another proof, for we say in the first chapter of [Babylonian Talmud tractate] Gittin (8b) that the one who buys a field [in Syria is like one who buys a field] in the outskirts of Jerusalem. [The Jew] tells the idolater, and he writes a bill of sale for him even on the Sabbath. For even though telling an idolater [on the Sabbath to perform a labor for a Jew] is a [violation of Sabbath] “rest,”</w:t>
      </w:r>
      <w:r w:rsidDel="00000000" w:rsidR="00000000" w:rsidRPr="00000000">
        <w:rPr>
          <w:rFonts w:ascii="Times New Roman" w:cs="Times New Roman" w:eastAsia="Times New Roman" w:hAnsi="Times New Roman"/>
          <w:sz w:val="28"/>
          <w:szCs w:val="28"/>
          <w:vertAlign w:val="superscript"/>
        </w:rPr>
        <w:footnoteReference w:customMarkFollows="0" w:id="6"/>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rabbis did not issue a decree [prohibiting this] on account of [encouraging] settlement of the land of Israel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9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306.11</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right"/>
        <w:rPr>
          <w:rFonts w:ascii="Times New Roman" w:cs="Times New Roman" w:eastAsia="Times New Roman" w:hAnsi="Times New Roman"/>
          <w:sz w:val="28"/>
          <w:szCs w:val="28"/>
        </w:rPr>
      </w:pP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וחותם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ומעלה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בערכאות</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306</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כתוב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בהגהות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אשירי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דמועד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קטן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זרוע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כיצד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עושה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כיסים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דינרין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והגוי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ומעלה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לערכאות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ונראה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דבקונה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מיירי</w:t>
      </w: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וכדאמרינן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דגיטין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מרובה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Hagahot Asheri</w:t>
      </w:r>
      <w:r w:rsidDel="00000000" w:rsidR="00000000" w:rsidRPr="00000000">
        <w:rPr>
          <w:rFonts w:ascii="Times New Roman" w:cs="Times New Roman" w:eastAsia="Times New Roman" w:hAnsi="Times New Roman"/>
          <w:sz w:val="28"/>
          <w:szCs w:val="28"/>
          <w:rtl w:val="0"/>
        </w:rPr>
        <w:t xml:space="preserve">, Mo‘ed Katan 2.18</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1"/>
        </w:rPr>
        <w:t xml:space="preserve">מותר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לקנות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בתים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הנכרי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בשבת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כיצד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עושה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כיס</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דינרים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והנכרי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ומעלה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לערכאות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Or Zar‘ua </w:t>
      </w:r>
      <w:r w:rsidDel="00000000" w:rsidR="00000000" w:rsidRPr="00000000">
        <w:rPr>
          <w:rFonts w:ascii="Times New Roman" w:cs="Times New Roman" w:eastAsia="Times New Roman" w:hAnsi="Times New Roman"/>
          <w:sz w:val="28"/>
          <w:szCs w:val="28"/>
          <w:rtl w:val="0"/>
        </w:rPr>
        <w:t xml:space="preserve">2.85</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1"/>
        </w:rPr>
        <w:t xml:space="preserve">ועוד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דגיטין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דהקונה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שדה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בסוריא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כקונה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בפרוורי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ירושלים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לעכו</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וכותב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דאמירה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לעכו</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משום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ישוב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ג</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רבנן</w:t>
      </w:r>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B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B5">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566.4</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accustomed to increase [the number of] penitential prayers in the blessing “Forgive us.”</w:t>
      </w:r>
      <w:r w:rsidDel="00000000" w:rsidR="00000000" w:rsidRPr="00000000">
        <w:rPr>
          <w:rFonts w:ascii="Times New Roman" w:cs="Times New Roman" w:eastAsia="Times New Roman" w:hAnsi="Times New Roman"/>
          <w:sz w:val="28"/>
          <w:szCs w:val="28"/>
          <w:vertAlign w:val="superscript"/>
        </w:rPr>
        <w:footnoteReference w:customMarkFollows="0" w:id="7"/>
      </w:r>
      <w:r w:rsidDel="00000000" w:rsidR="00000000" w:rsidRPr="00000000">
        <w:rPr>
          <w:rFonts w:ascii="Times New Roman" w:cs="Times New Roman" w:eastAsia="Times New Roman" w:hAnsi="Times New Roman"/>
          <w:sz w:val="28"/>
          <w:szCs w:val="28"/>
          <w:rtl w:val="0"/>
        </w:rPr>
        <w:t xml:space="preserve"> And there are those who are not accustomed to recite penitential prayers until after the conclusion of the eighteen blessings,</w:t>
      </w:r>
      <w:r w:rsidDel="00000000" w:rsidR="00000000" w:rsidRPr="00000000">
        <w:rPr>
          <w:rFonts w:ascii="Times New Roman" w:cs="Times New Roman" w:eastAsia="Times New Roman" w:hAnsi="Times New Roman"/>
          <w:sz w:val="28"/>
          <w:szCs w:val="28"/>
          <w:vertAlign w:val="superscript"/>
        </w:rPr>
        <w:footnoteReference w:customMarkFollows="0" w:id="8"/>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and thus did the ancients (rabbis) institute in the land of Israel, which is the correct practice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566</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they are accustomed to increase [the number of] penitential prayers in the blessing “Forgive us.” And the Ri</w:t>
      </w:r>
      <w:r w:rsidDel="00000000" w:rsidR="00000000" w:rsidRPr="00000000">
        <w:rPr>
          <w:rFonts w:ascii="Times New Roman" w:cs="Times New Roman" w:eastAsia="Times New Roman" w:hAnsi="Times New Roman"/>
          <w:sz w:val="28"/>
          <w:szCs w:val="28"/>
          <w:vertAlign w:val="superscript"/>
        </w:rPr>
        <w:footnoteReference w:customMarkFollows="0" w:id="9"/>
      </w:r>
      <w:r w:rsidDel="00000000" w:rsidR="00000000" w:rsidRPr="00000000">
        <w:rPr>
          <w:rFonts w:ascii="Times New Roman" w:cs="Times New Roman" w:eastAsia="Times New Roman" w:hAnsi="Times New Roman"/>
          <w:sz w:val="28"/>
          <w:szCs w:val="28"/>
          <w:rtl w:val="0"/>
        </w:rPr>
        <w:t xml:space="preserve"> explained that they rely on that which we say</w:t>
      </w:r>
      <w:r w:rsidDel="00000000" w:rsidR="00000000" w:rsidRPr="00000000">
        <w:rPr>
          <w:rFonts w:ascii="Times New Roman" w:cs="Times New Roman" w:eastAsia="Times New Roman" w:hAnsi="Times New Roman"/>
          <w:sz w:val="28"/>
          <w:szCs w:val="28"/>
          <w:vertAlign w:val="superscript"/>
        </w:rPr>
        <w:footnoteReference w:customMarkFollows="0" w:id="10"/>
      </w:r>
      <w:r w:rsidDel="00000000" w:rsidR="00000000" w:rsidRPr="00000000">
        <w:rPr>
          <w:rFonts w:ascii="Times New Roman" w:cs="Times New Roman" w:eastAsia="Times New Roman" w:hAnsi="Times New Roman"/>
          <w:sz w:val="28"/>
          <w:szCs w:val="28"/>
          <w:rtl w:val="0"/>
        </w:rPr>
        <w:t xml:space="preserve"> “And if he [wishes] to [add petitions] at the end of each [petitionary] blessing [of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reflecting that blessing, he may do so.</w:t>
      </w:r>
      <w:r w:rsidDel="00000000" w:rsidR="00000000" w:rsidRPr="00000000">
        <w:rPr>
          <w:rFonts w:ascii="Times New Roman" w:cs="Times New Roman" w:eastAsia="Times New Roman" w:hAnsi="Times New Roman"/>
          <w:sz w:val="28"/>
          <w:szCs w:val="28"/>
          <w:vertAlign w:val="superscript"/>
        </w:rPr>
        <w:footnoteReference w:customMarkFollows="0" w:id="11"/>
      </w:r>
      <w:r w:rsidDel="00000000" w:rsidR="00000000" w:rsidRPr="00000000">
        <w:rPr>
          <w:rFonts w:ascii="Times New Roman" w:cs="Times New Roman" w:eastAsia="Times New Roman" w:hAnsi="Times New Roman"/>
          <w:sz w:val="28"/>
          <w:szCs w:val="28"/>
          <w:rtl w:val="0"/>
        </w:rPr>
        <w:t xml:space="preserve"> But he must begin [with a petition] reflecting that blessing, and afterwards he may lengthen [it] with words of appeasement [of God] and pleas as he wishes, whether in private or public. And that which Rabbi Yehoshua ben Levi said,</w:t>
      </w:r>
      <w:r w:rsidDel="00000000" w:rsidR="00000000" w:rsidRPr="00000000">
        <w:rPr>
          <w:rFonts w:ascii="Times New Roman" w:cs="Times New Roman" w:eastAsia="Times New Roman" w:hAnsi="Times New Roman"/>
          <w:sz w:val="28"/>
          <w:szCs w:val="28"/>
          <w:vertAlign w:val="superscript"/>
        </w:rPr>
        <w:footnoteReference w:customMarkFollows="0" w:id="12"/>
      </w:r>
      <w:r w:rsidDel="00000000" w:rsidR="00000000" w:rsidRPr="00000000">
        <w:rPr>
          <w:rFonts w:ascii="Times New Roman" w:cs="Times New Roman" w:eastAsia="Times New Roman" w:hAnsi="Times New Roman"/>
          <w:sz w:val="28"/>
          <w:szCs w:val="28"/>
          <w:rtl w:val="0"/>
        </w:rPr>
        <w:t xml:space="preserve"> that one can say [petitions] after his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prayer even like the order of the Yom Kippur [prayer service],</w:t>
      </w:r>
      <w:r w:rsidDel="00000000" w:rsidR="00000000" w:rsidRPr="00000000">
        <w:rPr>
          <w:rFonts w:ascii="Times New Roman" w:cs="Times New Roman" w:eastAsia="Times New Roman" w:hAnsi="Times New Roman"/>
          <w:sz w:val="28"/>
          <w:szCs w:val="28"/>
          <w:vertAlign w:val="superscript"/>
        </w:rPr>
        <w:footnoteReference w:customMarkFollows="0" w:id="13"/>
      </w:r>
      <w:r w:rsidDel="00000000" w:rsidR="00000000" w:rsidRPr="00000000">
        <w:rPr>
          <w:rFonts w:ascii="Times New Roman" w:cs="Times New Roman" w:eastAsia="Times New Roman" w:hAnsi="Times New Roman"/>
          <w:sz w:val="28"/>
          <w:szCs w:val="28"/>
          <w:rtl w:val="0"/>
        </w:rPr>
        <w:t xml:space="preserve"> does not exclude [adding personal petitions] at the end of each blessing if he began [with a petition] reflecting that blessing. But rather, after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prayer, he can begin saying [petitions] however he wishes—which is not the case in the middle of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prayer. And there are places in which they are accustomed to recite petitions after the conclusion of the eighteen blessings. And thus Rav Amram</w:t>
      </w:r>
      <w:r w:rsidDel="00000000" w:rsidR="00000000" w:rsidRPr="00000000">
        <w:rPr>
          <w:rFonts w:ascii="Times New Roman" w:cs="Times New Roman" w:eastAsia="Times New Roman" w:hAnsi="Times New Roman"/>
          <w:sz w:val="28"/>
          <w:szCs w:val="28"/>
          <w:vertAlign w:val="superscript"/>
        </w:rPr>
        <w:footnoteReference w:customMarkFollows="0" w:id="14"/>
      </w:r>
      <w:r w:rsidDel="00000000" w:rsidR="00000000" w:rsidRPr="00000000">
        <w:rPr>
          <w:rFonts w:ascii="Times New Roman" w:cs="Times New Roman" w:eastAsia="Times New Roman" w:hAnsi="Times New Roman"/>
          <w:sz w:val="28"/>
          <w:szCs w:val="28"/>
          <w:rtl w:val="0"/>
        </w:rPr>
        <w:t xml:space="preserve"> wrote, that one may recite petitions in “Forgive us.” And thus did Rav Natronai</w:t>
      </w:r>
      <w:r w:rsidDel="00000000" w:rsidR="00000000" w:rsidRPr="00000000">
        <w:rPr>
          <w:rFonts w:ascii="Times New Roman" w:cs="Times New Roman" w:eastAsia="Times New Roman" w:hAnsi="Times New Roman"/>
          <w:sz w:val="28"/>
          <w:szCs w:val="28"/>
          <w:vertAlign w:val="superscript"/>
        </w:rPr>
        <w:footnoteReference w:customMarkFollows="0" w:id="15"/>
      </w:r>
      <w:r w:rsidDel="00000000" w:rsidR="00000000" w:rsidRPr="00000000">
        <w:rPr>
          <w:rFonts w:ascii="Times New Roman" w:cs="Times New Roman" w:eastAsia="Times New Roman" w:hAnsi="Times New Roman"/>
          <w:sz w:val="28"/>
          <w:szCs w:val="28"/>
          <w:rtl w:val="0"/>
        </w:rPr>
        <w:t xml:space="preserve"> say: “It is the practice of the two academies</w:t>
      </w:r>
      <w:r w:rsidDel="00000000" w:rsidR="00000000" w:rsidRPr="00000000">
        <w:rPr>
          <w:rFonts w:ascii="Times New Roman" w:cs="Times New Roman" w:eastAsia="Times New Roman" w:hAnsi="Times New Roman"/>
          <w:sz w:val="28"/>
          <w:szCs w:val="28"/>
          <w:vertAlign w:val="superscript"/>
        </w:rPr>
        <w:footnoteReference w:customMarkFollows="0" w:id="16"/>
      </w:r>
      <w:r w:rsidDel="00000000" w:rsidR="00000000" w:rsidRPr="00000000">
        <w:rPr>
          <w:rFonts w:ascii="Times New Roman" w:cs="Times New Roman" w:eastAsia="Times New Roman" w:hAnsi="Times New Roman"/>
          <w:sz w:val="28"/>
          <w:szCs w:val="28"/>
          <w:rtl w:val="0"/>
        </w:rPr>
        <w:t xml:space="preserve"> that in the morning of a public fast they  recite seven petitionary prayers and three in the afternoon. And if there is sufficient time [in the afternoon], they recite five.” And thus did Rav Sar Shalom</w:t>
      </w:r>
      <w:r w:rsidDel="00000000" w:rsidR="00000000" w:rsidRPr="00000000">
        <w:rPr>
          <w:rFonts w:ascii="Times New Roman" w:cs="Times New Roman" w:eastAsia="Times New Roman" w:hAnsi="Times New Roman"/>
          <w:sz w:val="28"/>
          <w:szCs w:val="28"/>
          <w:vertAlign w:val="superscript"/>
        </w:rPr>
        <w:footnoteReference w:customMarkFollows="0" w:id="17"/>
      </w:r>
      <w:r w:rsidDel="00000000" w:rsidR="00000000" w:rsidRPr="00000000">
        <w:rPr>
          <w:rFonts w:ascii="Times New Roman" w:cs="Times New Roman" w:eastAsia="Times New Roman" w:hAnsi="Times New Roman"/>
          <w:sz w:val="28"/>
          <w:szCs w:val="28"/>
          <w:rtl w:val="0"/>
        </w:rPr>
        <w:t xml:space="preserve"> write: “It is not our practice on a public fast day to recite petitionary prayers after the eighteen blessings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but rather in ‘Forgive us.’”</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566</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they are accustomed to increase [the number of] petitionary prayers in the blessing “Forgive us.” And the Ri explained that they rely on that which we say: “And if he [wishes] to [add petitions] at the end of each [petitionary] blessing [of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reflecting that blessing, he may do so,” etc. And the Tosafists wrote in the first chapter of [Babylonian Talmud tractate] Avodah Zarah (8a, s.v. “</w:t>
      </w:r>
      <w:r w:rsidDel="00000000" w:rsidR="00000000" w:rsidRPr="00000000">
        <w:rPr>
          <w:rFonts w:ascii="Times New Roman" w:cs="Times New Roman" w:eastAsia="Times New Roman" w:hAnsi="Times New Roman"/>
          <w:i w:val="1"/>
          <w:sz w:val="28"/>
          <w:szCs w:val="28"/>
          <w:rtl w:val="0"/>
        </w:rPr>
        <w:t xml:space="preserve">im ba</w:t>
      </w:r>
      <w:r w:rsidDel="00000000" w:rsidR="00000000" w:rsidRPr="00000000">
        <w:rPr>
          <w:rFonts w:ascii="Times New Roman" w:cs="Times New Roman" w:eastAsia="Times New Roman" w:hAnsi="Times New Roman"/>
          <w:sz w:val="28"/>
          <w:szCs w:val="28"/>
          <w:rtl w:val="0"/>
        </w:rPr>
        <w:t xml:space="preserve">”) that Rabbi Yehoshua ben Levi’s statement that one can say [petitions] after his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prayer even like the order of the Yom Kippur [prayer service] means what it says, but that [he may] not add petitionary prayers in the middle of his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prayer. And [continue the Tosafists], one can say that our practice now on fast days to lengthen [the </w:t>
      </w:r>
      <w:r w:rsidDel="00000000" w:rsidR="00000000" w:rsidRPr="00000000">
        <w:rPr>
          <w:rFonts w:ascii="Times New Roman" w:cs="Times New Roman" w:eastAsia="Times New Roman" w:hAnsi="Times New Roman"/>
          <w:i w:val="1"/>
          <w:sz w:val="28"/>
          <w:szCs w:val="28"/>
          <w:rtl w:val="0"/>
        </w:rPr>
        <w:t xml:space="preserve">Amidah </w:t>
      </w:r>
      <w:r w:rsidDel="00000000" w:rsidR="00000000" w:rsidRPr="00000000">
        <w:rPr>
          <w:rFonts w:ascii="Times New Roman" w:cs="Times New Roman" w:eastAsia="Times New Roman" w:hAnsi="Times New Roman"/>
          <w:sz w:val="28"/>
          <w:szCs w:val="28"/>
          <w:rtl w:val="0"/>
        </w:rPr>
        <w:t xml:space="preserve">prayer] with [scriptural] verses of mercy and petitionary prayers in the blessing “Forgive us” is due a community’s being different (i.e., a community is permitted to take liturgical liberties that an individual may not). End quote. And it appears that [the Tosafists’] reasoning is that they understand that which we say: “‘And if he wishes to [add petitions] at the end of each [petitionary] blessing [of the </w:t>
      </w:r>
      <w:r w:rsidDel="00000000" w:rsidR="00000000" w:rsidRPr="00000000">
        <w:rPr>
          <w:rFonts w:ascii="Times New Roman" w:cs="Times New Roman" w:eastAsia="Times New Roman" w:hAnsi="Times New Roman"/>
          <w:i w:val="1"/>
          <w:sz w:val="28"/>
          <w:szCs w:val="28"/>
          <w:rtl w:val="0"/>
        </w:rPr>
        <w:t xml:space="preserve">Amidah</w:t>
      </w:r>
      <w:r w:rsidDel="00000000" w:rsidR="00000000" w:rsidRPr="00000000">
        <w:rPr>
          <w:rFonts w:ascii="Times New Roman" w:cs="Times New Roman" w:eastAsia="Times New Roman" w:hAnsi="Times New Roman"/>
          <w:sz w:val="28"/>
          <w:szCs w:val="28"/>
          <w:rtl w:val="0"/>
        </w:rPr>
        <w:t xml:space="preserve">] reflecting that blessing, he may do so’ means [adding] a few things, but not to go on at length to the extent that we do.</w:t>
      </w:r>
    </w:p>
    <w:p w:rsidR="00000000" w:rsidDel="00000000" w:rsidP="00000000" w:rsidRDefault="00000000" w:rsidRPr="00000000" w14:paraId="000000C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C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C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566.4</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נוהגים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להרבות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בברכת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נוהגים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וכן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הנהיגו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הקדמונים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המנהג</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הנכון</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566</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1"/>
        </w:rPr>
        <w:t xml:space="preserve">ונוהגין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להרבות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בברכת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ופר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שסומכין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שיתחיל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ואח</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יכול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להאריך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בדברי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ריצוי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ותחנונים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רצונו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יחיד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יהושע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שיכול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תפילתו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כסדר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למעט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התחיל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התפלה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יכול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להתחיל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היאך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שירצה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בתוך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התפלה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מקומות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שנוהגין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עמרם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שיכולין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נטרונאי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מנהג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ישיבות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בתענית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צבור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בשחרית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ובמנחה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פנאי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בתענית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צבור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מנהגינו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566</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right"/>
        <w:rPr>
          <w:rFonts w:ascii="Times New Roman" w:cs="Times New Roman" w:eastAsia="Times New Roman" w:hAnsi="Times New Roman"/>
          <w:sz w:val="28"/>
          <w:szCs w:val="28"/>
        </w:rPr>
      </w:pP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ונוהגים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להרבות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בברכת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ופירש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שסומכין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והתוספות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דעבודה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יהושע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תפילתו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כסדר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הכפורים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משמע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באמצע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תפילתו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שנוהגים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בתעניות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להאריך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בפסוקי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דרחמי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ובסליחות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בברכת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איכא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למימר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דציבור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ונראה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שטעמם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דמשמע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דאמרינן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קצת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להאריך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מאריכים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E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E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576.11</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similarly, over rain. How so? Were the rains to be overwhelming to the point of causing anguish, these [affected people] may pray about them (for the rains to stop), for there is no greater anguish than this, that houses collapse and [people’s] homes turn out to be their graves. </w:t>
      </w:r>
      <w:r w:rsidDel="00000000" w:rsidR="00000000" w:rsidRPr="00000000">
        <w:rPr>
          <w:rFonts w:ascii="Times New Roman" w:cs="Times New Roman" w:eastAsia="Times New Roman" w:hAnsi="Times New Roman"/>
          <w:b w:val="1"/>
          <w:sz w:val="28"/>
          <w:szCs w:val="28"/>
          <w:rtl w:val="0"/>
        </w:rPr>
        <w:t xml:space="preserve">And in the land of Israel</w:t>
      </w:r>
      <w:r w:rsidDel="00000000" w:rsidR="00000000" w:rsidRPr="00000000">
        <w:rPr>
          <w:rFonts w:ascii="Times New Roman" w:cs="Times New Roman" w:eastAsia="Times New Roman" w:hAnsi="Times New Roman"/>
          <w:sz w:val="28"/>
          <w:szCs w:val="28"/>
          <w:rtl w:val="0"/>
        </w:rPr>
        <w:t xml:space="preserve"> one does not pray [for  the cessation] of excessive rains, </w:t>
      </w:r>
      <w:r w:rsidDel="00000000" w:rsidR="00000000" w:rsidRPr="00000000">
        <w:rPr>
          <w:rFonts w:ascii="Times New Roman" w:cs="Times New Roman" w:eastAsia="Times New Roman" w:hAnsi="Times New Roman"/>
          <w:b w:val="1"/>
          <w:sz w:val="28"/>
          <w:szCs w:val="28"/>
          <w:rtl w:val="0"/>
        </w:rPr>
        <w:t xml:space="preserve">for it is a hilly land, their houses are built of stone, and excessive rain is a goodness for them. And one does not fast to cause a goodness to pass away. But now in Safed there are house collapses on account of rain, and one prays about them (for a cessation of the excessive rain)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577</w:t>
      </w:r>
    </w:p>
    <w:p w:rsidR="00000000" w:rsidDel="00000000" w:rsidP="00000000" w:rsidRDefault="00000000" w:rsidRPr="00000000" w14:paraId="000000E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prays concerning any trouble, that it not come upon them, except for excessive rain, since one does not pray for [the cessation of] an excess of goodness. And this applies to a hilly land that requires much rain. But a sunken land for which excessive rain is a hardship and in which, moreover, it causes house collapses, one prays [for the rains to stop] since there is no greater anguish.</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0F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0F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576.11</w:t>
      </w:r>
    </w:p>
    <w:p w:rsidR="00000000" w:rsidDel="00000000" w:rsidP="00000000" w:rsidRDefault="00000000" w:rsidRPr="00000000" w14:paraId="000000F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המטר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כיצד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שיצרו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מתפללים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יתירה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מזו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שהבתים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נופלים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ונמצא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קבריהם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מתפללין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מפני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שהיא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ובתיהם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בנוים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באבנים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ורוב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הגשמים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טובה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ואין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מתענים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להעביר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הטובה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ועכשיו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בצפת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מצוים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מפולת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בתים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מפני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הגשמים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ומתפללים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עליהם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577</w:t>
      </w:r>
    </w:p>
    <w:p w:rsidR="00000000" w:rsidDel="00000000" w:rsidP="00000000" w:rsidRDefault="00000000" w:rsidRPr="00000000" w14:paraId="000000F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מתפללין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מתפללין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ריבוי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הטובה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מ</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שצריכה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שמפילין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גדולה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מזו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ומתפללין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0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0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Yor’eh De‘ah</w:t>
      </w:r>
      <w:r w:rsidDel="00000000" w:rsidR="00000000" w:rsidRPr="00000000">
        <w:rPr>
          <w:rFonts w:ascii="Times New Roman" w:cs="Times New Roman" w:eastAsia="Times New Roman" w:hAnsi="Times New Roman"/>
          <w:sz w:val="28"/>
          <w:szCs w:val="28"/>
          <w:rtl w:val="0"/>
        </w:rPr>
        <w:t xml:space="preserve"> 251.3 (excerpt)</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poor of one’s house take precedence over the poor of one’s town, and the poor of one’s town take precedence over the poor of another town. </w:t>
      </w:r>
      <w:r w:rsidDel="00000000" w:rsidR="00000000" w:rsidRPr="00000000">
        <w:rPr>
          <w:rFonts w:ascii="Times New Roman" w:cs="Times New Roman" w:eastAsia="Times New Roman" w:hAnsi="Times New Roman"/>
          <w:b w:val="1"/>
          <w:sz w:val="28"/>
          <w:szCs w:val="28"/>
          <w:rtl w:val="0"/>
        </w:rPr>
        <w:t xml:space="preserve">And the inhabitants of the land of Israel take precedence over the inhabitants of outside the land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Yor’eh De‘ah</w:t>
      </w:r>
      <w:r w:rsidDel="00000000" w:rsidR="00000000" w:rsidRPr="00000000">
        <w:rPr>
          <w:rFonts w:ascii="Times New Roman" w:cs="Times New Roman" w:eastAsia="Times New Roman" w:hAnsi="Times New Roman"/>
          <w:sz w:val="28"/>
          <w:szCs w:val="28"/>
          <w:rtl w:val="0"/>
        </w:rPr>
        <w:t xml:space="preserve"> 251</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poor of one’s house take precedence over the poor of one’s town, and the poor of one’s town take precedence over the poor of another town.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Yor’eh De‘ah </w:t>
      </w:r>
      <w:r w:rsidDel="00000000" w:rsidR="00000000" w:rsidRPr="00000000">
        <w:rPr>
          <w:rFonts w:ascii="Times New Roman" w:cs="Times New Roman" w:eastAsia="Times New Roman" w:hAnsi="Times New Roman"/>
          <w:sz w:val="28"/>
          <w:szCs w:val="28"/>
          <w:rtl w:val="0"/>
        </w:rPr>
        <w:t xml:space="preserve">251</w:t>
      </w:r>
    </w:p>
    <w:p w:rsidR="00000000" w:rsidDel="00000000" w:rsidP="00000000" w:rsidRDefault="00000000" w:rsidRPr="00000000" w14:paraId="000001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taught in the Sifrei</w:t>
      </w:r>
      <w:r w:rsidDel="00000000" w:rsidR="00000000" w:rsidRPr="00000000">
        <w:rPr>
          <w:rFonts w:ascii="Times New Roman" w:cs="Times New Roman" w:eastAsia="Times New Roman" w:hAnsi="Times New Roman"/>
          <w:sz w:val="28"/>
          <w:szCs w:val="28"/>
          <w:vertAlign w:val="superscript"/>
        </w:rPr>
        <w:footnoteReference w:customMarkFollows="0" w:id="18"/>
      </w:r>
      <w:r w:rsidDel="00000000" w:rsidR="00000000" w:rsidRPr="00000000">
        <w:rPr>
          <w:rFonts w:ascii="Times New Roman" w:cs="Times New Roman" w:eastAsia="Times New Roman" w:hAnsi="Times New Roman"/>
          <w:sz w:val="28"/>
          <w:szCs w:val="28"/>
          <w:rtl w:val="0"/>
        </w:rPr>
        <w:t xml:space="preserve"> (see </w:t>
      </w:r>
      <w:r w:rsidDel="00000000" w:rsidR="00000000" w:rsidRPr="00000000">
        <w:rPr>
          <w:rFonts w:ascii="Times New Roman" w:cs="Times New Roman" w:eastAsia="Times New Roman" w:hAnsi="Times New Roman"/>
          <w:i w:val="1"/>
          <w:sz w:val="28"/>
          <w:szCs w:val="28"/>
          <w:rtl w:val="0"/>
        </w:rPr>
        <w:t xml:space="preserve">piska </w:t>
      </w:r>
      <w:r w:rsidDel="00000000" w:rsidR="00000000" w:rsidRPr="00000000">
        <w:rPr>
          <w:rFonts w:ascii="Times New Roman" w:cs="Times New Roman" w:eastAsia="Times New Roman" w:hAnsi="Times New Roman"/>
          <w:sz w:val="28"/>
          <w:szCs w:val="28"/>
          <w:rtl w:val="0"/>
        </w:rPr>
        <w:t xml:space="preserve">63): </w:t>
      </w:r>
      <w:r w:rsidDel="00000000" w:rsidR="00000000" w:rsidRPr="00000000">
        <w:rPr>
          <w:rFonts w:ascii="Times New Roman" w:cs="Times New Roman" w:eastAsia="Times New Roman" w:hAnsi="Times New Roman"/>
          <w:i w:val="1"/>
          <w:sz w:val="28"/>
          <w:szCs w:val="28"/>
          <w:rtl w:val="0"/>
        </w:rPr>
        <w:t xml:space="preserve">your brother </w:t>
      </w:r>
      <w:r w:rsidDel="00000000" w:rsidR="00000000" w:rsidRPr="00000000">
        <w:rPr>
          <w:rFonts w:ascii="Times New Roman" w:cs="Times New Roman" w:eastAsia="Times New Roman" w:hAnsi="Times New Roman"/>
          <w:sz w:val="28"/>
          <w:szCs w:val="28"/>
          <w:rtl w:val="0"/>
        </w:rPr>
        <w:t xml:space="preserve">(Deuteronomy 15:7)—this is your brother from your father. </w:t>
      </w:r>
      <w:r w:rsidDel="00000000" w:rsidR="00000000" w:rsidRPr="00000000">
        <w:rPr>
          <w:rFonts w:ascii="Times New Roman" w:cs="Times New Roman" w:eastAsia="Times New Roman" w:hAnsi="Times New Roman"/>
          <w:i w:val="1"/>
          <w:sz w:val="28"/>
          <w:szCs w:val="28"/>
          <w:rtl w:val="0"/>
        </w:rPr>
        <w:t xml:space="preserve">One of your brothers </w:t>
      </w:r>
      <w:r w:rsidDel="00000000" w:rsidR="00000000" w:rsidRPr="00000000">
        <w:rPr>
          <w:rFonts w:ascii="Times New Roman" w:cs="Times New Roman" w:eastAsia="Times New Roman" w:hAnsi="Times New Roman"/>
          <w:sz w:val="28"/>
          <w:szCs w:val="28"/>
          <w:rtl w:val="0"/>
        </w:rPr>
        <w:t xml:space="preserve">[this is your brother from your mother]. This teaches that your brother from your father takes precedence over your brother from your mother. </w:t>
      </w:r>
      <w:r w:rsidDel="00000000" w:rsidR="00000000" w:rsidRPr="00000000">
        <w:rPr>
          <w:rFonts w:ascii="Times New Roman" w:cs="Times New Roman" w:eastAsia="Times New Roman" w:hAnsi="Times New Roman"/>
          <w:i w:val="1"/>
          <w:sz w:val="28"/>
          <w:szCs w:val="28"/>
          <w:rtl w:val="0"/>
        </w:rPr>
        <w:t xml:space="preserve">In one of your gates</w:t>
      </w:r>
      <w:r w:rsidDel="00000000" w:rsidR="00000000" w:rsidRPr="00000000">
        <w:rPr>
          <w:rFonts w:ascii="Times New Roman" w:cs="Times New Roman" w:eastAsia="Times New Roman" w:hAnsi="Times New Roman"/>
          <w:sz w:val="28"/>
          <w:szCs w:val="28"/>
          <w:rtl w:val="0"/>
        </w:rPr>
        <w:t xml:space="preserve">—the people of your town take precedence over the people of another town. </w:t>
      </w:r>
      <w:r w:rsidDel="00000000" w:rsidR="00000000" w:rsidRPr="00000000">
        <w:rPr>
          <w:rFonts w:ascii="Times New Roman" w:cs="Times New Roman" w:eastAsia="Times New Roman" w:hAnsi="Times New Roman"/>
          <w:i w:val="1"/>
          <w:sz w:val="28"/>
          <w:szCs w:val="28"/>
          <w:rtl w:val="0"/>
        </w:rPr>
        <w:t xml:space="preserve">In your land</w:t>
      </w:r>
      <w:r w:rsidDel="00000000" w:rsidR="00000000" w:rsidRPr="00000000">
        <w:rPr>
          <w:rFonts w:ascii="Times New Roman" w:cs="Times New Roman" w:eastAsia="Times New Roman" w:hAnsi="Times New Roman"/>
          <w:sz w:val="28"/>
          <w:szCs w:val="28"/>
          <w:rtl w:val="0"/>
        </w:rPr>
        <w:t xml:space="preserve">—the inhabitants of the land of Israel take precedence over the inhabitants of outside the land. And the inhabitants of outside the land, from where [do we derive that they should be given charity]? Scripture says, </w:t>
      </w:r>
      <w:r w:rsidDel="00000000" w:rsidR="00000000" w:rsidRPr="00000000">
        <w:rPr>
          <w:rFonts w:ascii="Times New Roman" w:cs="Times New Roman" w:eastAsia="Times New Roman" w:hAnsi="Times New Roman"/>
          <w:i w:val="1"/>
          <w:sz w:val="28"/>
          <w:szCs w:val="28"/>
          <w:rtl w:val="0"/>
        </w:rPr>
        <w:t xml:space="preserve">which the Lord your God gives you</w:t>
      </w:r>
      <w:r w:rsidDel="00000000" w:rsidR="00000000" w:rsidRPr="00000000">
        <w:rPr>
          <w:rFonts w:ascii="Times New Roman" w:cs="Times New Roman" w:eastAsia="Times New Roman" w:hAnsi="Times New Roman"/>
          <w:sz w:val="28"/>
          <w:szCs w:val="28"/>
          <w:rtl w:val="0"/>
        </w:rPr>
        <w:t xml:space="preserve">—this comes to include every place [where Jews live]. End quote. And the SeMaG</w:t>
      </w:r>
      <w:r w:rsidDel="00000000" w:rsidR="00000000" w:rsidRPr="00000000">
        <w:rPr>
          <w:rFonts w:ascii="Times New Roman" w:cs="Times New Roman" w:eastAsia="Times New Roman" w:hAnsi="Times New Roman"/>
          <w:sz w:val="28"/>
          <w:szCs w:val="28"/>
          <w:vertAlign w:val="superscript"/>
        </w:rPr>
        <w:footnoteReference w:customMarkFollows="0" w:id="19"/>
      </w:r>
      <w:r w:rsidDel="00000000" w:rsidR="00000000" w:rsidRPr="00000000">
        <w:rPr>
          <w:rFonts w:ascii="Times New Roman" w:cs="Times New Roman" w:eastAsia="Times New Roman" w:hAnsi="Times New Roman"/>
          <w:sz w:val="28"/>
          <w:szCs w:val="28"/>
          <w:rtl w:val="0"/>
        </w:rPr>
        <w:t xml:space="preserve"> wrote this [tannaitic] passage [into his lawbook] (there 207a), as did the Mordecai</w:t>
      </w:r>
      <w:r w:rsidDel="00000000" w:rsidR="00000000" w:rsidRPr="00000000">
        <w:rPr>
          <w:rFonts w:ascii="Times New Roman" w:cs="Times New Roman" w:eastAsia="Times New Roman" w:hAnsi="Times New Roman"/>
          <w:sz w:val="28"/>
          <w:szCs w:val="28"/>
          <w:vertAlign w:val="superscript"/>
        </w:rPr>
        <w:footnoteReference w:customMarkFollows="0" w:id="20"/>
      </w:r>
      <w:r w:rsidDel="00000000" w:rsidR="00000000" w:rsidRPr="00000000">
        <w:rPr>
          <w:rFonts w:ascii="Times New Roman" w:cs="Times New Roman" w:eastAsia="Times New Roman" w:hAnsi="Times New Roman"/>
          <w:sz w:val="28"/>
          <w:szCs w:val="28"/>
          <w:rtl w:val="0"/>
        </w:rPr>
        <w:t xml:space="preserve"> [in his legal notes] to the first chapter of (Babylonian Talmud tractate) Bava Batra (paragraph 503).</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1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1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Yor’eh De‘ah</w:t>
      </w:r>
      <w:r w:rsidDel="00000000" w:rsidR="00000000" w:rsidRPr="00000000">
        <w:rPr>
          <w:rFonts w:ascii="Times New Roman" w:cs="Times New Roman" w:eastAsia="Times New Roman" w:hAnsi="Times New Roman"/>
          <w:sz w:val="28"/>
          <w:szCs w:val="28"/>
          <w:rtl w:val="0"/>
        </w:rPr>
        <w:t xml:space="preserve"> 251.3 (excerpt)</w:t>
      </w:r>
    </w:p>
    <w:p w:rsidR="00000000" w:rsidDel="00000000" w:rsidP="00000000" w:rsidRDefault="00000000" w:rsidRPr="00000000" w14:paraId="0000011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קודמין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קודמין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ויושבי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קודמין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ליושבי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חוצה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לארץ</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Yor’eh De‘ah</w:t>
      </w:r>
      <w:r w:rsidDel="00000000" w:rsidR="00000000" w:rsidRPr="00000000">
        <w:rPr>
          <w:rFonts w:ascii="Times New Roman" w:cs="Times New Roman" w:eastAsia="Times New Roman" w:hAnsi="Times New Roman"/>
          <w:sz w:val="28"/>
          <w:szCs w:val="28"/>
          <w:rtl w:val="0"/>
        </w:rPr>
        <w:t xml:space="preserve"> 251</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קודמין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קודמין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לעניי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אחרת</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Beit Yosef to Tur Yor’eh De‘ah</w:t>
      </w:r>
      <w:r w:rsidDel="00000000" w:rsidR="00000000" w:rsidRPr="00000000">
        <w:rPr>
          <w:rFonts w:ascii="Times New Roman" w:cs="Times New Roman" w:eastAsia="Times New Roman" w:hAnsi="Times New Roman"/>
          <w:rtl w:val="0"/>
        </w:rPr>
        <w:t xml:space="preserve"> 251</w:t>
      </w:r>
    </w:p>
    <w:p w:rsidR="00000000" w:rsidDel="00000000" w:rsidP="00000000" w:rsidRDefault="00000000" w:rsidRPr="00000000" w14:paraId="000001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jc w:val="right"/>
        <w:rPr>
          <w:rFonts w:ascii="Times New Roman" w:cs="Times New Roman" w:eastAsia="Times New Roman" w:hAnsi="Times New Roman"/>
          <w:sz w:val="28"/>
          <w:szCs w:val="28"/>
        </w:rPr>
      </w:pP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תניא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בספרי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פסקא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מאביך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מאמך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מלמד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מאביך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לאחיך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מאמך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שעריך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אנשי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לאנשי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בארצך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יושבי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קודמים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ליושבי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ויושבי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מנלן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תלמוד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אלהיך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וכתבוה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סמ</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רז</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ברייתא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והמרדכי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תקג</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2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2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3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Yo’reh De‘ah</w:t>
      </w:r>
      <w:r w:rsidDel="00000000" w:rsidR="00000000" w:rsidRPr="00000000">
        <w:rPr>
          <w:rFonts w:ascii="Times New Roman" w:cs="Times New Roman" w:eastAsia="Times New Roman" w:hAnsi="Times New Roman"/>
          <w:sz w:val="28"/>
          <w:szCs w:val="28"/>
          <w:rtl w:val="0"/>
        </w:rPr>
        <w:t xml:space="preserve"> 310.3</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non-expert who looked over a firstborn animal which was then slaughtered [erroneously] on his say-so, [the animal] is buried and [the non-expert] compensates [the owner] from his own resources. How much should he pay [as compensation]? If he is in the land of Israel, he should pay half the value of a large animal and a quarter of the value of a small animal. And outside the land, [he should pay] half the value of either a large or small animal. </w:t>
      </w:r>
      <w:r w:rsidDel="00000000" w:rsidR="00000000" w:rsidRPr="00000000">
        <w:rPr>
          <w:rFonts w:ascii="Times New Roman" w:cs="Times New Roman" w:eastAsia="Times New Roman" w:hAnsi="Times New Roman"/>
          <w:b w:val="1"/>
          <w:sz w:val="28"/>
          <w:szCs w:val="28"/>
          <w:rtl w:val="0"/>
        </w:rPr>
        <w:t xml:space="preserve">And today, in which most fields even in the land of Israel are not [in the possession] of Jews, it is permitted to raise small cattle even in the land of Israel. Therefore, even in the land of Israel he pays half [the animal’s] value [as compensation]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Yo’reh De‘ah</w:t>
      </w:r>
      <w:r w:rsidDel="00000000" w:rsidR="00000000" w:rsidRPr="00000000">
        <w:rPr>
          <w:rFonts w:ascii="Times New Roman" w:cs="Times New Roman" w:eastAsia="Times New Roman" w:hAnsi="Times New Roman"/>
          <w:sz w:val="28"/>
          <w:szCs w:val="28"/>
          <w:rtl w:val="0"/>
        </w:rPr>
        <w:t xml:space="preserve"> 310</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non-expert who looked over a firstborn animal which was then slaughtered [erroneously] on his say-so, [the animal] is buried and [the non-expert] compensates [the owner]. And how much should he pay [as compensation]? If he is in the land of Israel, he should pay half the value of a large animal and a quarter of the value of a small animal. And outside the land, [he should pay] half the value of either a large or small animal.</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3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4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Yo’reh De‘ah</w:t>
      </w:r>
      <w:r w:rsidDel="00000000" w:rsidR="00000000" w:rsidRPr="00000000">
        <w:rPr>
          <w:rFonts w:ascii="Times New Roman" w:cs="Times New Roman" w:eastAsia="Times New Roman" w:hAnsi="Times New Roman"/>
          <w:sz w:val="28"/>
          <w:szCs w:val="28"/>
          <w:rtl w:val="0"/>
        </w:rPr>
        <w:t xml:space="preserve"> 310.3</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מומחה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הבכור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ונשחט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יקבר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מביתו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חצי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ובחוץ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חצי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והאידנא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שאף</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שדות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מותר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לגדל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בהמה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דקה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אפילו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הילכך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אף</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בדקה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משלם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חצי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דמים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Yo’reh De‘ah</w:t>
      </w:r>
      <w:r w:rsidDel="00000000" w:rsidR="00000000" w:rsidRPr="00000000">
        <w:rPr>
          <w:rFonts w:ascii="Times New Roman" w:cs="Times New Roman" w:eastAsia="Times New Roman" w:hAnsi="Times New Roman"/>
          <w:sz w:val="28"/>
          <w:szCs w:val="28"/>
          <w:rtl w:val="0"/>
        </w:rPr>
        <w:t xml:space="preserve"> 310</w:t>
      </w:r>
    </w:p>
    <w:p w:rsidR="00000000" w:rsidDel="00000000" w:rsidP="00000000" w:rsidRDefault="00000000" w:rsidRPr="00000000" w14:paraId="0000014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מומחה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ורואה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בכור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ונשחט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יקבר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חצי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ובח</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חצי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דמיו</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5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5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Even Haezer</w:t>
      </w:r>
      <w:r w:rsidDel="00000000" w:rsidR="00000000" w:rsidRPr="00000000">
        <w:rPr>
          <w:rFonts w:ascii="Times New Roman" w:cs="Times New Roman" w:eastAsia="Times New Roman" w:hAnsi="Times New Roman"/>
          <w:sz w:val="28"/>
          <w:szCs w:val="28"/>
          <w:rtl w:val="0"/>
        </w:rPr>
        <w:t xml:space="preserve"> 45.2</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Today, the entire kingdom of the land of Israel, Egypt, and Turkey are not accustomed to be concerned about nuptial gifts</w:t>
      </w:r>
      <w:r w:rsidDel="00000000" w:rsidR="00000000" w:rsidRPr="00000000">
        <w:rPr>
          <w:rFonts w:ascii="Times New Roman" w:cs="Times New Roman" w:eastAsia="Times New Roman" w:hAnsi="Times New Roman"/>
          <w:sz w:val="28"/>
          <w:szCs w:val="28"/>
          <w:rtl w:val="0"/>
        </w:rPr>
        <w:t xml:space="preserve">, except in Constantinople, where they are concerned about them.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Even Haezer</w:t>
      </w:r>
      <w:r w:rsidDel="00000000" w:rsidR="00000000" w:rsidRPr="00000000">
        <w:rPr>
          <w:rFonts w:ascii="Times New Roman" w:cs="Times New Roman" w:eastAsia="Times New Roman" w:hAnsi="Times New Roman"/>
          <w:sz w:val="28"/>
          <w:szCs w:val="28"/>
          <w:rtl w:val="0"/>
        </w:rPr>
        <w:t xml:space="preserve"> 45</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is concerned about nuptial gifts. And Rashi</w:t>
      </w:r>
      <w:r w:rsidDel="00000000" w:rsidR="00000000" w:rsidRPr="00000000">
        <w:rPr>
          <w:rFonts w:ascii="Times New Roman" w:cs="Times New Roman" w:eastAsia="Times New Roman" w:hAnsi="Times New Roman"/>
          <w:sz w:val="28"/>
          <w:szCs w:val="28"/>
          <w:vertAlign w:val="superscript"/>
        </w:rPr>
        <w:footnoteReference w:customMarkFollows="0" w:id="21"/>
      </w:r>
      <w:r w:rsidDel="00000000" w:rsidR="00000000" w:rsidRPr="00000000">
        <w:rPr>
          <w:rFonts w:ascii="Times New Roman" w:cs="Times New Roman" w:eastAsia="Times New Roman" w:hAnsi="Times New Roman"/>
          <w:sz w:val="28"/>
          <w:szCs w:val="28"/>
          <w:rtl w:val="0"/>
        </w:rPr>
        <w:t xml:space="preserve"> explained that if [the prospective groom] settled marriage terms with [the prospective bride] initially and sent her nuptial gifts afterwards with witnesses, we are concerned that perhaps he sent them to her for the sake of [legal] betrothal, and she will require a bill of divorce [to terminate the relationship]. Therefore, if most of the town are accustomed to betroth and send nuptial gifts afterwards, we are concerned that they sent [the gifts] for the sake of [legal] betrothal. But if most of the town are accustomed to send [nuptial gifts] first and [legally] betroth afterwards, we are not concerned. . . and according to Rashi’s explanation, we are concerned, therefore it is good to be wary. . . to be stringent. And thus was the conclusion of my lord, my father, the Rosh, z’’l.</w:t>
      </w:r>
      <w:r w:rsidDel="00000000" w:rsidR="00000000" w:rsidRPr="00000000">
        <w:rPr>
          <w:rFonts w:ascii="Times New Roman" w:cs="Times New Roman" w:eastAsia="Times New Roman" w:hAnsi="Times New Roman"/>
          <w:sz w:val="28"/>
          <w:szCs w:val="28"/>
          <w:vertAlign w:val="superscript"/>
        </w:rPr>
        <w:footnoteReference w:customMarkFollows="0" w:id="22"/>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5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5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6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Even Haezer</w:t>
      </w:r>
      <w:r w:rsidDel="00000000" w:rsidR="00000000" w:rsidRPr="00000000">
        <w:rPr>
          <w:rFonts w:ascii="Times New Roman" w:cs="Times New Roman" w:eastAsia="Times New Roman" w:hAnsi="Times New Roman"/>
          <w:sz w:val="28"/>
          <w:szCs w:val="28"/>
          <w:rtl w:val="0"/>
        </w:rPr>
        <w:t xml:space="preserve"> 45.2</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1"/>
        </w:rPr>
        <w:t xml:space="preserve">האידנא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נהגו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בכל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מלכות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ומצרים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ותוגרמא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לחוש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לסבלונות</w:t>
      </w: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זולתי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בקוסטנטינה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שחוששין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Even Haezer</w:t>
      </w:r>
      <w:r w:rsidDel="00000000" w:rsidR="00000000" w:rsidRPr="00000000">
        <w:rPr>
          <w:rFonts w:ascii="Times New Roman" w:cs="Times New Roman" w:eastAsia="Times New Roman" w:hAnsi="Times New Roman"/>
          <w:sz w:val="28"/>
          <w:szCs w:val="28"/>
          <w:rtl w:val="0"/>
        </w:rPr>
        <w:t xml:space="preserve"> 45</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חוששין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לסבלונות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ופירש</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שדכה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תחילה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ואח</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סבלונות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בעדים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חוששין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שלחם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קדושין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וצריכה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לפיכך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העיר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רגילים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ואח</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שולחים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סבלונות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חוששין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קידושין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שלחם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העיר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רגילים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לשלוח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תחילה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ואח</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מקדשין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חוששין</w:t>
      </w:r>
      <w:r w:rsidDel="00000000" w:rsidR="00000000" w:rsidRPr="00000000">
        <w:rPr>
          <w:rFonts w:ascii="Times New Roman" w:cs="Times New Roman" w:eastAsia="Times New Roman" w:hAnsi="Times New Roman"/>
          <w:sz w:val="28"/>
          <w:szCs w:val="28"/>
          <w:rtl w:val="1"/>
        </w:rPr>
        <w:t xml:space="preserve"> . . . </w:t>
      </w:r>
      <w:r w:rsidDel="00000000" w:rsidR="00000000" w:rsidRPr="00000000">
        <w:rPr>
          <w:rFonts w:ascii="Times New Roman" w:cs="Times New Roman" w:eastAsia="Times New Roman" w:hAnsi="Times New Roman"/>
          <w:sz w:val="28"/>
          <w:szCs w:val="28"/>
          <w:rtl w:val="1"/>
        </w:rPr>
        <w:t xml:space="preserve">ולפירש</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חוששין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הלכך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לחוש</w:t>
      </w:r>
      <w:r w:rsidDel="00000000" w:rsidR="00000000" w:rsidRPr="00000000">
        <w:rPr>
          <w:rFonts w:ascii="Times New Roman" w:cs="Times New Roman" w:eastAsia="Times New Roman" w:hAnsi="Times New Roman"/>
          <w:sz w:val="28"/>
          <w:szCs w:val="28"/>
          <w:rtl w:val="1"/>
        </w:rPr>
        <w:t xml:space="preserve"> . . . </w:t>
      </w:r>
      <w:r w:rsidDel="00000000" w:rsidR="00000000" w:rsidRPr="00000000">
        <w:rPr>
          <w:rFonts w:ascii="Times New Roman" w:cs="Times New Roman" w:eastAsia="Times New Roman" w:hAnsi="Times New Roman"/>
          <w:sz w:val="28"/>
          <w:szCs w:val="28"/>
          <w:rtl w:val="1"/>
        </w:rPr>
        <w:t xml:space="preserve">להחמיר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מסקנת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7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72">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7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Even Haezer</w:t>
      </w:r>
      <w:r w:rsidDel="00000000" w:rsidR="00000000" w:rsidRPr="00000000">
        <w:rPr>
          <w:rFonts w:ascii="Times New Roman" w:cs="Times New Roman" w:eastAsia="Times New Roman" w:hAnsi="Times New Roman"/>
          <w:sz w:val="28"/>
          <w:szCs w:val="28"/>
          <w:rtl w:val="0"/>
        </w:rPr>
        <w:t xml:space="preserve"> 142.1</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An agent who brought a bill of divorce from one place to another outside the land [of Israel], or from the land of Israel to outside the land, or from outside the land to  the land of Israel: if the  agent was present at the time of the writing and signing of the bill of divorce, he states before two [valid witnesses], “It was written before me and before me it was signed.” Afterwards, he gives it to [the wife] in their presence and she is divorced by it. And [this is so] even if his witnesses are unknown to us . . . . and if the husband protests, we do not pay attention to him. . . . And similarly, an agent who brings a bill of divorce within the land of Israel and says, albeit unnecessarily, “It was written before me and before me it was signed,” we do not pay attention to the husband should he protest. . . . And why did [the sages] require saying “Before me it was written, and before me it was signed” outside the land [of Israel]? In order that the woman not need to uphold the [validity of the bill of divorce] were the husband to object, because witnesses are not [necessarily] available to uphold [a bill of divorce’s] validity from one place to another outside the land. </w:t>
      </w:r>
      <w:r w:rsidDel="00000000" w:rsidR="00000000" w:rsidRPr="00000000">
        <w:rPr>
          <w:rFonts w:ascii="Times New Roman" w:cs="Times New Roman" w:eastAsia="Times New Roman" w:hAnsi="Times New Roman"/>
          <w:b w:val="1"/>
          <w:sz w:val="28"/>
          <w:szCs w:val="28"/>
          <w:rtl w:val="0"/>
        </w:rPr>
        <w:t xml:space="preserve">And it appears to me that today, even in the land of Israel, [the agent] must say: “Before me it was written, before me it was signed.”</w:t>
      </w:r>
    </w:p>
    <w:p w:rsidR="00000000" w:rsidDel="00000000" w:rsidP="00000000" w:rsidRDefault="00000000" w:rsidRPr="00000000" w14:paraId="000001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Even Haezer</w:t>
      </w:r>
      <w:r w:rsidDel="00000000" w:rsidR="00000000" w:rsidRPr="00000000">
        <w:rPr>
          <w:rFonts w:ascii="Times New Roman" w:cs="Times New Roman" w:eastAsia="Times New Roman" w:hAnsi="Times New Roman"/>
          <w:sz w:val="28"/>
          <w:szCs w:val="28"/>
          <w:rtl w:val="0"/>
        </w:rPr>
        <w:t xml:space="preserve"> 142</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who brings a bill of divorce from a province of the sea and the husband made him an agent to bring it to his wife, [the agent] must stand by [the bill’s] writing and signing and say: “Before me it was written and before me it was signed.” But [an agent] from the land of Israel need not [say this]. And the reason is that witnesses are not available to uphold [the validity of the bill of divorce] outside the land and if she [re]marries through it today or tomorrow the husband may come and protest and she will be unable to find witnesses to uphold it. Therefore [the sages] instituted that she not be divorced by it until the agent says “Before me it was written and before me it was signed,” and they believe him, and then are not troubled by the husband’s protest. But in the land of Israel, where she can  uphold it, she may [re]marry through it even though [the agent] did not say “Before me it  was written and before me it was signed”. . . . but also in the land of Israel, if [the agent] says “Before  me it was written and before me it was signed,” this [declaration] helps to push off the husband’s protest, even though it is unnecessary.</w:t>
      </w:r>
    </w:p>
    <w:p w:rsidR="00000000" w:rsidDel="00000000" w:rsidP="00000000" w:rsidRDefault="00000000" w:rsidRPr="00000000" w14:paraId="0000017C">
      <w:pPr>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7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8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8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Even Haezer</w:t>
      </w:r>
      <w:r w:rsidDel="00000000" w:rsidR="00000000" w:rsidRPr="00000000">
        <w:rPr>
          <w:rFonts w:ascii="Times New Roman" w:cs="Times New Roman" w:eastAsia="Times New Roman" w:hAnsi="Times New Roman"/>
          <w:sz w:val="28"/>
          <w:szCs w:val="28"/>
          <w:rtl w:val="0"/>
        </w:rPr>
        <w:t xml:space="preserve"> 142.1</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שליח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שהביא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השליח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עומד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כתיבת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וחתימתו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ז</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ותתגרש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ידועים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אצלנו</w:t>
      </w:r>
      <w:r w:rsidDel="00000000" w:rsidR="00000000" w:rsidRPr="00000000">
        <w:rPr>
          <w:rFonts w:ascii="Times New Roman" w:cs="Times New Roman" w:eastAsia="Times New Roman" w:hAnsi="Times New Roman"/>
          <w:sz w:val="28"/>
          <w:szCs w:val="28"/>
          <w:rtl w:val="1"/>
        </w:rPr>
        <w:t xml:space="preserve">. . .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ועמד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וערער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משגיחין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 . .</w:t>
      </w:r>
      <w:r w:rsidDel="00000000" w:rsidR="00000000" w:rsidRPr="00000000">
        <w:rPr>
          <w:rFonts w:ascii="Times New Roman" w:cs="Times New Roman" w:eastAsia="Times New Roman" w:hAnsi="Times New Roman"/>
          <w:sz w:val="28"/>
          <w:szCs w:val="28"/>
          <w:rtl w:val="1"/>
        </w:rPr>
        <w:t xml:space="preserve">וכן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שהביא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ויערער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משגיחין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 . . </w:t>
      </w:r>
      <w:r w:rsidDel="00000000" w:rsidR="00000000" w:rsidRPr="00000000">
        <w:rPr>
          <w:rFonts w:ascii="Times New Roman" w:cs="Times New Roman" w:eastAsia="Times New Roman" w:hAnsi="Times New Roman"/>
          <w:sz w:val="28"/>
          <w:szCs w:val="28"/>
          <w:rtl w:val="1"/>
        </w:rPr>
        <w:t xml:space="preserve">ומפני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הצריכו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כדי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לקיימו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ויערער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מצויים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לקיימו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ונ</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דהאידנא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אפילו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צריך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לומר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בפני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נכתב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ובפני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נחתם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Even Haezer </w:t>
      </w:r>
      <w:r w:rsidDel="00000000" w:rsidR="00000000" w:rsidRPr="00000000">
        <w:rPr>
          <w:rFonts w:ascii="Times New Roman" w:cs="Times New Roman" w:eastAsia="Times New Roman" w:hAnsi="Times New Roman"/>
          <w:sz w:val="28"/>
          <w:szCs w:val="28"/>
          <w:rtl w:val="0"/>
        </w:rPr>
        <w:t xml:space="preserve">142</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המביא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עשאו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להוליכו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לאשתו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שיעמוד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כתיבתו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וחתימתו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וטעמא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דבחוצה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מצויין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לקיימו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תינשא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מחר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ויערער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תוכל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למצוא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לקיימו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תקנו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תתגרש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השליח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והאמינוהו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ואז</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לערערו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שתוכל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לקיימו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תינשא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 . </w:t>
      </w:r>
      <w:r w:rsidDel="00000000" w:rsidR="00000000" w:rsidRPr="00000000">
        <w:rPr>
          <w:rFonts w:ascii="Times New Roman" w:cs="Times New Roman" w:eastAsia="Times New Roman" w:hAnsi="Times New Roman"/>
          <w:sz w:val="28"/>
          <w:szCs w:val="28"/>
          <w:rtl w:val="1"/>
        </w:rPr>
        <w:t xml:space="preserve">ובא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מועיל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לדחות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ערעורו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צריך</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9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92">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9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Hoshen Mishpat </w:t>
      </w:r>
      <w:r w:rsidDel="00000000" w:rsidR="00000000" w:rsidRPr="00000000">
        <w:rPr>
          <w:rFonts w:ascii="Times New Roman" w:cs="Times New Roman" w:eastAsia="Times New Roman" w:hAnsi="Times New Roman"/>
          <w:sz w:val="28"/>
          <w:szCs w:val="28"/>
          <w:rtl w:val="0"/>
        </w:rPr>
        <w:t xml:space="preserve">30.2</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witnesses in monetary cases do not require intense cross-examination, their testimony is invalid if they contradict each other in [their responses to] inquiries and investigations. But if they contradict each other [in their responses to] examinations, their testimony stands. How? If one [witness] says: “[X] borrowed from [Y] in Nisan,” and the second says: “No, it was in Iyar,” or </w:t>
      </w:r>
      <w:r w:rsidDel="00000000" w:rsidR="00000000" w:rsidRPr="00000000">
        <w:rPr>
          <w:rFonts w:ascii="Times New Roman" w:cs="Times New Roman" w:eastAsia="Times New Roman" w:hAnsi="Times New Roman"/>
          <w:b w:val="1"/>
          <w:sz w:val="28"/>
          <w:szCs w:val="28"/>
          <w:rtl w:val="0"/>
        </w:rPr>
        <w:t xml:space="preserve">one says: “[X  borrowed from Y] in Jerusalem,” and the second says: “No, in Lod,”</w:t>
      </w:r>
      <w:r w:rsidDel="00000000" w:rsidR="00000000" w:rsidRPr="00000000">
        <w:rPr>
          <w:rFonts w:ascii="Times New Roman" w:cs="Times New Roman" w:eastAsia="Times New Roman" w:hAnsi="Times New Roman"/>
          <w:sz w:val="28"/>
          <w:szCs w:val="28"/>
          <w:rtl w:val="0"/>
        </w:rPr>
        <w:t xml:space="preserve"> their testimony is invalid.</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Hoshen Mishpat</w:t>
      </w:r>
      <w:r w:rsidDel="00000000" w:rsidR="00000000" w:rsidRPr="00000000">
        <w:rPr>
          <w:rFonts w:ascii="Times New Roman" w:cs="Times New Roman" w:eastAsia="Times New Roman" w:hAnsi="Times New Roman"/>
          <w:sz w:val="28"/>
          <w:szCs w:val="28"/>
          <w:rtl w:val="0"/>
        </w:rPr>
        <w:t xml:space="preserve"> 30</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even though there is no need of intense cross-examination, if [the witnesses in a monetary case] contradicted each other in [their responses to] inquiries and investigations, their testimony is invalid:</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if they contradicted each other in [their responses to] examinations, their testimony stands. How? If one [witness] says: “[X borrowed from Y] in Nisan,” and the second says, “No, he borrowed from him in Iyar,” or if one said, “[X borrowed from Y] in such-and-such a  place,” and the second said: “No, it was in such-and-such a place,” their testimony is invalid.</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A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A2">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A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Hoshen Mishpat</w:t>
      </w:r>
      <w:r w:rsidDel="00000000" w:rsidR="00000000" w:rsidRPr="00000000">
        <w:rPr>
          <w:rFonts w:ascii="Times New Roman" w:cs="Times New Roman" w:eastAsia="Times New Roman" w:hAnsi="Times New Roman"/>
          <w:sz w:val="28"/>
          <w:szCs w:val="28"/>
          <w:rtl w:val="0"/>
        </w:rPr>
        <w:t xml:space="preserve"> 30.2</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אעפ</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עידי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דיני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ממונות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דרישה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וחקירה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הכחישו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בדרישות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בחקירות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בטלה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הכחישו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בבדיקות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קיימת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כיצד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בניסן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באייר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האחד</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בירושלים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בלוד</w:t>
      </w: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בטלה</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Hoshen Mishpat</w:t>
      </w:r>
      <w:r w:rsidDel="00000000" w:rsidR="00000000" w:rsidRPr="00000000">
        <w:rPr>
          <w:rFonts w:ascii="Times New Roman" w:cs="Times New Roman" w:eastAsia="Times New Roman" w:hAnsi="Times New Roman"/>
          <w:sz w:val="28"/>
          <w:szCs w:val="28"/>
          <w:rtl w:val="0"/>
        </w:rPr>
        <w:t xml:space="preserve"> 30</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ואע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דרישה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וחקירה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הכחישו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בדרישות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וחקירות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בטילה</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הכחישו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בבדיקות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קיימת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כיצד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בניסן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הימנו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באייר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הימנו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פלוני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פלוני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עדותן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בטלה</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B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B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B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Shulhan Arukh Hoshen Mishpat</w:t>
      </w:r>
      <w:r w:rsidDel="00000000" w:rsidR="00000000" w:rsidRPr="00000000">
        <w:rPr>
          <w:rFonts w:ascii="Times New Roman" w:cs="Times New Roman" w:eastAsia="Times New Roman" w:hAnsi="Times New Roman"/>
          <w:sz w:val="28"/>
          <w:szCs w:val="28"/>
          <w:rtl w:val="0"/>
        </w:rPr>
        <w:t xml:space="preserve"> 409.1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does not raise small cattle in the land of Israel, because their way is to graze in others’ fields and their [resulting] damage is common. But one may raise [them] in Syria and in the deserts of the land of Israel. </w:t>
      </w:r>
      <w:r w:rsidDel="00000000" w:rsidR="00000000" w:rsidRPr="00000000">
        <w:rPr>
          <w:rFonts w:ascii="Times New Roman" w:cs="Times New Roman" w:eastAsia="Times New Roman" w:hAnsi="Times New Roman"/>
          <w:b w:val="1"/>
          <w:sz w:val="28"/>
          <w:szCs w:val="28"/>
          <w:rtl w:val="0"/>
        </w:rPr>
        <w:t xml:space="preserve">And today, when it is uncommon for Jews to have fields in the land of Israel, it seems that [raising small cattle in the land of Israel] is permitted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Hoshen Mishpat</w:t>
      </w:r>
      <w:r w:rsidDel="00000000" w:rsidR="00000000" w:rsidRPr="00000000">
        <w:rPr>
          <w:rFonts w:ascii="Times New Roman" w:cs="Times New Roman" w:eastAsia="Times New Roman" w:hAnsi="Times New Roman"/>
          <w:sz w:val="28"/>
          <w:szCs w:val="28"/>
          <w:rtl w:val="0"/>
        </w:rPr>
        <w:t xml:space="preserve"> 409</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sages instituted that people should not raise [small cattle] is a place of fields and vineyards but rather in forests, because the way of small cattle is to graze in others’ fields and their [resulting] damage is common. It is even forbidden [to raise small cattle] in the house, and even if [the beast] is not his. And [the sages] were strict about this in order to prevent damage, for a person is forbidden to cause damage to his fellow. Nevertheless, the essential enactment was for the land of Israel, except that the </w:t>
      </w:r>
      <w:r w:rsidDel="00000000" w:rsidR="00000000" w:rsidRPr="00000000">
        <w:rPr>
          <w:rFonts w:ascii="Times New Roman" w:cs="Times New Roman" w:eastAsia="Times New Roman" w:hAnsi="Times New Roman"/>
          <w:i w:val="1"/>
          <w:sz w:val="28"/>
          <w:szCs w:val="28"/>
          <w:rtl w:val="0"/>
        </w:rPr>
        <w:t xml:space="preserve">gemara </w:t>
      </w:r>
      <w:r w:rsidDel="00000000" w:rsidR="00000000" w:rsidRPr="00000000">
        <w:rPr>
          <w:rFonts w:ascii="Times New Roman" w:cs="Times New Roman" w:eastAsia="Times New Roman" w:hAnsi="Times New Roman"/>
          <w:sz w:val="28"/>
          <w:szCs w:val="28"/>
          <w:rtl w:val="0"/>
        </w:rPr>
        <w:t xml:space="preserve">says that Babylonia is considered to be the land of Israel for this purpose. And there are those who say that we are drawn after Babylonia as to all of our practices, and [thus] for us, too, [raising small cattle] should be forbidden. But it  seems that we are not drawn after Babylonia as to this. The reason that [raising small cattle] was forbidden in Babylonia was because most of the fields were [in the possession] of Jews. And since now this reason is inapplicable, [raising small cattle] is permitted.</w:t>
      </w:r>
    </w:p>
    <w:p w:rsidR="00000000" w:rsidDel="00000000" w:rsidP="00000000" w:rsidRDefault="00000000" w:rsidRPr="00000000" w14:paraId="000001C0">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C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C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C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Shulhan Arukh Hoshen Mishpa</w:t>
      </w:r>
      <w:r w:rsidDel="00000000" w:rsidR="00000000" w:rsidRPr="00000000">
        <w:rPr>
          <w:rFonts w:ascii="Times New Roman" w:cs="Times New Roman" w:eastAsia="Times New Roman" w:hAnsi="Times New Roman"/>
          <w:sz w:val="28"/>
          <w:szCs w:val="28"/>
          <w:rtl w:val="0"/>
        </w:rPr>
        <w:t xml:space="preserve">t 409.1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מגדלים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בהמה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שדרכם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לרעות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בשדות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והיזקם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מגדלים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בסוריא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ובמדברות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והאידנא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מצוי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שיהיו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שדות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נראה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דשרי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Hoshen Mishpat </w:t>
      </w:r>
      <w:r w:rsidDel="00000000" w:rsidR="00000000" w:rsidRPr="00000000">
        <w:rPr>
          <w:rFonts w:ascii="Times New Roman" w:cs="Times New Roman" w:eastAsia="Times New Roman" w:hAnsi="Times New Roman"/>
          <w:sz w:val="28"/>
          <w:szCs w:val="28"/>
          <w:rtl w:val="0"/>
        </w:rPr>
        <w:t xml:space="preserve">409</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מפני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שהבהמה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לרעות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בשדות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אחרות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והיזקה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תקנו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חכמים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יגדלנה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במקום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שדות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וכרמים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ביערים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ואפילו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אסור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ואפילו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והחמירו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כדי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להרחיק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מההיזק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שאסור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שיזיק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חבירו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ומיהו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עיקר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תקנה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נתקנה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דקאמר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בגמרא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מנהגי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דילן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גרירינן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ולדידן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אסור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ונראה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דבהא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גרירינן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דטעמא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דאסור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שדות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וכיון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דהשתא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ליתא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טעמא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D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D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D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601</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On the second day [of Rosh Hashanah]  . . .</w:t>
      </w:r>
      <w:r w:rsidDel="00000000" w:rsidR="00000000" w:rsidRPr="00000000">
        <w:rPr>
          <w:rFonts w:ascii="Times New Roman" w:cs="Times New Roman" w:eastAsia="Times New Roman" w:hAnsi="Times New Roman"/>
          <w:sz w:val="28"/>
          <w:szCs w:val="28"/>
          <w:vertAlign w:val="superscript"/>
        </w:rPr>
        <w:footnoteReference w:customMarkFollows="0" w:id="23"/>
      </w:r>
      <w:r w:rsidDel="00000000" w:rsidR="00000000" w:rsidRPr="00000000">
        <w:rPr>
          <w:rFonts w:ascii="Times New Roman" w:cs="Times New Roman" w:eastAsia="Times New Roman" w:hAnsi="Times New Roman"/>
          <w:sz w:val="28"/>
          <w:szCs w:val="28"/>
          <w:rtl w:val="0"/>
        </w:rPr>
        <w:t xml:space="preserve"> and we read from “And God tested Abraham” (Genesis 22:1) until the end of the portion, and the [reader that] concludes</w:t>
      </w:r>
      <w:r w:rsidDel="00000000" w:rsidR="00000000" w:rsidRPr="00000000">
        <w:rPr>
          <w:rFonts w:ascii="Times New Roman" w:cs="Times New Roman" w:eastAsia="Times New Roman" w:hAnsi="Times New Roman"/>
          <w:sz w:val="28"/>
          <w:szCs w:val="28"/>
          <w:vertAlign w:val="superscript"/>
        </w:rPr>
        <w:footnoteReference w:customMarkFollows="0" w:id="24"/>
      </w:r>
      <w:r w:rsidDel="00000000" w:rsidR="00000000" w:rsidRPr="00000000">
        <w:rPr>
          <w:rFonts w:ascii="Times New Roman" w:cs="Times New Roman" w:eastAsia="Times New Roman" w:hAnsi="Times New Roman"/>
          <w:sz w:val="28"/>
          <w:szCs w:val="28"/>
          <w:rtl w:val="0"/>
        </w:rPr>
        <w:t xml:space="preserve"> reads in the same manner as on the previous day, concluding with Jeremiah (Jeremiah  31:1), “Thus says the Lord, found favor in the desert” through “Is Ephraim not a dear child to me” (Jeremiah 31:20). And on the evening after Rosh Hashanah, we divide</w:t>
      </w:r>
      <w:r w:rsidDel="00000000" w:rsidR="00000000" w:rsidRPr="00000000">
        <w:rPr>
          <w:rFonts w:ascii="Times New Roman" w:cs="Times New Roman" w:eastAsia="Times New Roman" w:hAnsi="Times New Roman"/>
          <w:sz w:val="28"/>
          <w:szCs w:val="28"/>
          <w:vertAlign w:val="superscript"/>
        </w:rPr>
        <w:footnoteReference w:customMarkFollows="0" w:id="25"/>
      </w:r>
      <w:r w:rsidDel="00000000" w:rsidR="00000000" w:rsidRPr="00000000">
        <w:rPr>
          <w:rFonts w:ascii="Times New Roman" w:cs="Times New Roman" w:eastAsia="Times New Roman" w:hAnsi="Times New Roman"/>
          <w:sz w:val="28"/>
          <w:szCs w:val="28"/>
          <w:rtl w:val="0"/>
        </w:rPr>
        <w:t xml:space="preserve"> as on the evening after the Sabbath, except that we bless neither over the spices nor the flame.</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Even in the land of Israel we observe Rosh Hashanah for two days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Hayyim</w:t>
      </w:r>
      <w:r w:rsidDel="00000000" w:rsidR="00000000" w:rsidRPr="00000000">
        <w:rPr>
          <w:rFonts w:ascii="Times New Roman" w:cs="Times New Roman" w:eastAsia="Times New Roman" w:hAnsi="Times New Roman"/>
          <w:sz w:val="28"/>
          <w:szCs w:val="28"/>
          <w:rtl w:val="0"/>
        </w:rPr>
        <w:t xml:space="preserve"> 601 </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second [day of Rosh Hashanah] we pray and sound [the horn] as on the first [day]. And we read in </w:t>
      </w:r>
      <w:r w:rsidDel="00000000" w:rsidR="00000000" w:rsidRPr="00000000">
        <w:rPr>
          <w:rFonts w:ascii="Times New Roman" w:cs="Times New Roman" w:eastAsia="Times New Roman" w:hAnsi="Times New Roman"/>
          <w:i w:val="1"/>
          <w:sz w:val="28"/>
          <w:szCs w:val="28"/>
          <w:rtl w:val="0"/>
        </w:rPr>
        <w:t xml:space="preserve">parashat Vayera</w:t>
      </w:r>
      <w:r w:rsidDel="00000000" w:rsidR="00000000" w:rsidRPr="00000000">
        <w:rPr>
          <w:rFonts w:ascii="Times New Roman" w:cs="Times New Roman" w:eastAsia="Times New Roman" w:hAnsi="Times New Roman"/>
          <w:sz w:val="28"/>
          <w:szCs w:val="28"/>
          <w:vertAlign w:val="superscript"/>
        </w:rPr>
        <w:footnoteReference w:customMarkFollows="0" w:id="26"/>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from “And God tested Abraham” (Genesis 22:1) until the end of the portion.</w:t>
      </w:r>
      <w:r w:rsidDel="00000000" w:rsidR="00000000" w:rsidRPr="00000000">
        <w:rPr>
          <w:rFonts w:ascii="Times New Roman" w:cs="Times New Roman" w:eastAsia="Times New Roman" w:hAnsi="Times New Roman"/>
          <w:sz w:val="28"/>
          <w:szCs w:val="28"/>
          <w:vertAlign w:val="superscript"/>
        </w:rPr>
        <w:footnoteReference w:customMarkFollows="0" w:id="27"/>
      </w:r>
      <w:r w:rsidDel="00000000" w:rsidR="00000000" w:rsidRPr="00000000">
        <w:rPr>
          <w:rFonts w:ascii="Times New Roman" w:cs="Times New Roman" w:eastAsia="Times New Roman" w:hAnsi="Times New Roman"/>
          <w:sz w:val="28"/>
          <w:szCs w:val="28"/>
          <w:rtl w:val="0"/>
        </w:rPr>
        <w:t xml:space="preserve"> And the [reader that] concludes reads in the same manner as on the previous day, and concludes with Jeremiah, “Thus says the Lord, found favor  in the desert” through “Is Ephraim not a dear child to me.” And on the evening after Rosh Hashanah, we divide as on the evening after the Sabbath, except that we bless neither over the spices nor the flame.</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601</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Rif</w:t>
      </w:r>
      <w:r w:rsidDel="00000000" w:rsidR="00000000" w:rsidRPr="00000000">
        <w:rPr>
          <w:rFonts w:ascii="Times New Roman" w:cs="Times New Roman" w:eastAsia="Times New Roman" w:hAnsi="Times New Roman"/>
          <w:sz w:val="28"/>
          <w:szCs w:val="28"/>
          <w:vertAlign w:val="superscript"/>
        </w:rPr>
        <w:footnoteReference w:customMarkFollows="0" w:id="28"/>
      </w:r>
      <w:r w:rsidDel="00000000" w:rsidR="00000000" w:rsidRPr="00000000">
        <w:rPr>
          <w:rFonts w:ascii="Times New Roman" w:cs="Times New Roman" w:eastAsia="Times New Roman" w:hAnsi="Times New Roman"/>
          <w:sz w:val="28"/>
          <w:szCs w:val="28"/>
          <w:rtl w:val="0"/>
        </w:rPr>
        <w:t xml:space="preserve"> wrote (Betzah 3b): “And we learn from this that the people of the land of Israel must observe two days of Rosh Hashanah.” And the Rosh</w:t>
      </w:r>
      <w:r w:rsidDel="00000000" w:rsidR="00000000" w:rsidRPr="00000000">
        <w:rPr>
          <w:rFonts w:ascii="Times New Roman" w:cs="Times New Roman" w:eastAsia="Times New Roman" w:hAnsi="Times New Roman"/>
          <w:sz w:val="28"/>
          <w:szCs w:val="28"/>
          <w:vertAlign w:val="superscript"/>
        </w:rPr>
        <w:footnoteReference w:customMarkFollows="0" w:id="29"/>
      </w:r>
      <w:r w:rsidDel="00000000" w:rsidR="00000000" w:rsidRPr="00000000">
        <w:rPr>
          <w:rFonts w:ascii="Times New Roman" w:cs="Times New Roman" w:eastAsia="Times New Roman" w:hAnsi="Times New Roman"/>
          <w:sz w:val="28"/>
          <w:szCs w:val="28"/>
          <w:rtl w:val="0"/>
        </w:rPr>
        <w:t xml:space="preserve"> wrote (Betzah chapter 1, paragraph 4) that [the Rif’s] student Rabbenu Ephraim</w:t>
      </w:r>
      <w:r w:rsidDel="00000000" w:rsidR="00000000" w:rsidRPr="00000000">
        <w:rPr>
          <w:rFonts w:ascii="Times New Roman" w:cs="Times New Roman" w:eastAsia="Times New Roman" w:hAnsi="Times New Roman"/>
          <w:sz w:val="28"/>
          <w:szCs w:val="28"/>
          <w:vertAlign w:val="superscript"/>
        </w:rPr>
        <w:footnoteReference w:customMarkFollows="0" w:id="30"/>
      </w:r>
      <w:r w:rsidDel="00000000" w:rsidR="00000000" w:rsidRPr="00000000">
        <w:rPr>
          <w:rFonts w:ascii="Times New Roman" w:cs="Times New Roman" w:eastAsia="Times New Roman" w:hAnsi="Times New Roman"/>
          <w:sz w:val="28"/>
          <w:szCs w:val="28"/>
          <w:rtl w:val="0"/>
        </w:rPr>
        <w:t xml:space="preserve"> disagreed with [the Rif] and wrote that this (i.e., the two-day observance in the land of Israel) applies at a time when they would sanctify [the new moon each month] by sight. But now, when we rely on the secret of intercalation (i.e., there is now a set calendar and the date of each new month is known in advance), the entire land of Israel has gone back to being a “house of meeting” (</w:t>
      </w:r>
      <w:r w:rsidDel="00000000" w:rsidR="00000000" w:rsidRPr="00000000">
        <w:rPr>
          <w:rFonts w:ascii="Times New Roman" w:cs="Times New Roman" w:eastAsia="Times New Roman" w:hAnsi="Times New Roman"/>
          <w:i w:val="1"/>
          <w:sz w:val="28"/>
          <w:szCs w:val="28"/>
          <w:rtl w:val="0"/>
        </w:rPr>
        <w:t xml:space="preserve">beit ha-va‘ad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Pr>
        <w:footnoteReference w:customMarkFollows="0" w:id="31"/>
      </w:r>
      <w:r w:rsidDel="00000000" w:rsidR="00000000" w:rsidRPr="00000000">
        <w:rPr>
          <w:rFonts w:ascii="Times New Roman" w:cs="Times New Roman" w:eastAsia="Times New Roman" w:hAnsi="Times New Roman"/>
          <w:sz w:val="28"/>
          <w:szCs w:val="28"/>
          <w:rtl w:val="0"/>
        </w:rPr>
        <w:t xml:space="preserve"> who have no doubt about the sanctity of the day, and they should only observe [Rosh Hashanah] one day:</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Ba‘al Hama’or</w:t>
      </w:r>
      <w:r w:rsidDel="00000000" w:rsidR="00000000" w:rsidRPr="00000000">
        <w:rPr>
          <w:rFonts w:ascii="Times New Roman" w:cs="Times New Roman" w:eastAsia="Times New Roman" w:hAnsi="Times New Roman"/>
          <w:sz w:val="28"/>
          <w:szCs w:val="28"/>
          <w:vertAlign w:val="superscript"/>
        </w:rPr>
        <w:footnoteReference w:customMarkFollows="0" w:id="32"/>
      </w:r>
      <w:r w:rsidDel="00000000" w:rsidR="00000000" w:rsidRPr="00000000">
        <w:rPr>
          <w:rFonts w:ascii="Times New Roman" w:cs="Times New Roman" w:eastAsia="Times New Roman" w:hAnsi="Times New Roman"/>
          <w:sz w:val="28"/>
          <w:szCs w:val="28"/>
          <w:rtl w:val="0"/>
        </w:rPr>
        <w:t xml:space="preserve"> wrote (there) in accordance with Rabbenu Ephraim’s words. And he wrote further that so were they accustomed in the land of Israel during all the generations prior to us [to observe Rosh Hoshanah for one day]—until now, when “new ones who came [there] but lately”</w:t>
      </w:r>
      <w:r w:rsidDel="00000000" w:rsidR="00000000" w:rsidRPr="00000000">
        <w:rPr>
          <w:rFonts w:ascii="Times New Roman" w:cs="Times New Roman" w:eastAsia="Times New Roman" w:hAnsi="Times New Roman"/>
          <w:sz w:val="28"/>
          <w:szCs w:val="28"/>
          <w:vertAlign w:val="superscript"/>
        </w:rPr>
        <w:footnoteReference w:customMarkFollows="0" w:id="33"/>
      </w:r>
      <w:r w:rsidDel="00000000" w:rsidR="00000000" w:rsidRPr="00000000">
        <w:rPr>
          <w:rFonts w:ascii="Times New Roman" w:cs="Times New Roman" w:eastAsia="Times New Roman" w:hAnsi="Times New Roman"/>
          <w:sz w:val="28"/>
          <w:szCs w:val="28"/>
          <w:rtl w:val="0"/>
        </w:rPr>
        <w:t xml:space="preserve"> [from among] the sages of Provence instituted the practice of observing two festival days on Rosh Hashanah following the </w:t>
      </w:r>
      <w:r w:rsidDel="00000000" w:rsidR="00000000" w:rsidRPr="00000000">
        <w:rPr>
          <w:rFonts w:ascii="Times New Roman" w:cs="Times New Roman" w:eastAsia="Times New Roman" w:hAnsi="Times New Roman"/>
          <w:i w:val="1"/>
          <w:sz w:val="28"/>
          <w:szCs w:val="28"/>
          <w:rtl w:val="0"/>
        </w:rPr>
        <w:t xml:space="preserve">Halakhot</w:t>
      </w:r>
      <w:r w:rsidDel="00000000" w:rsidR="00000000" w:rsidRPr="00000000">
        <w:rPr>
          <w:rFonts w:ascii="Times New Roman" w:cs="Times New Roman" w:eastAsia="Times New Roman" w:hAnsi="Times New Roman"/>
          <w:sz w:val="28"/>
          <w:szCs w:val="28"/>
          <w:rtl w:val="0"/>
        </w:rPr>
        <w:t xml:space="preserve"> (“Laws”) of the Rif. And [Ba‘al Hama’or] brought a proof that originally, they only observed one day. . . . </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Maimonides</w:t>
      </w:r>
      <w:r w:rsidDel="00000000" w:rsidR="00000000" w:rsidRPr="00000000">
        <w:rPr>
          <w:rFonts w:ascii="Times New Roman" w:cs="Times New Roman" w:eastAsia="Times New Roman" w:hAnsi="Times New Roman"/>
          <w:sz w:val="28"/>
          <w:szCs w:val="28"/>
          <w:vertAlign w:val="superscript"/>
        </w:rPr>
        <w:footnoteReference w:customMarkFollows="0" w:id="34"/>
      </w:r>
      <w:r w:rsidDel="00000000" w:rsidR="00000000" w:rsidRPr="00000000">
        <w:rPr>
          <w:rFonts w:ascii="Times New Roman" w:cs="Times New Roman" w:eastAsia="Times New Roman" w:hAnsi="Times New Roman"/>
          <w:sz w:val="28"/>
          <w:szCs w:val="28"/>
          <w:rtl w:val="0"/>
        </w:rPr>
        <w:t xml:space="preserve"> wrote in chapter 5 of the Laws of the Sanctification of the Month (paragraph 8) and in chapter 1 of the Laws of Festivals (paragraph 21) in accordance with the Rif’s words. And the Rav Hamagid</w:t>
      </w:r>
      <w:r w:rsidDel="00000000" w:rsidR="00000000" w:rsidRPr="00000000">
        <w:rPr>
          <w:rFonts w:ascii="Times New Roman" w:cs="Times New Roman" w:eastAsia="Times New Roman" w:hAnsi="Times New Roman"/>
          <w:sz w:val="28"/>
          <w:szCs w:val="28"/>
          <w:vertAlign w:val="superscript"/>
        </w:rPr>
        <w:footnoteReference w:customMarkFollows="0" w:id="35"/>
      </w:r>
      <w:r w:rsidDel="00000000" w:rsidR="00000000" w:rsidRPr="00000000">
        <w:rPr>
          <w:rFonts w:ascii="Times New Roman" w:cs="Times New Roman" w:eastAsia="Times New Roman" w:hAnsi="Times New Roman"/>
          <w:sz w:val="28"/>
          <w:szCs w:val="28"/>
          <w:rtl w:val="0"/>
        </w:rPr>
        <w:t xml:space="preserve"> wrote (there) that there are those who disagree [and who hold that Rosh Hashanah must be observed for only one day in the land of Israel]. But the words of the </w:t>
      </w:r>
      <w:r w:rsidDel="00000000" w:rsidR="00000000" w:rsidRPr="00000000">
        <w:rPr>
          <w:rFonts w:ascii="Times New Roman" w:cs="Times New Roman" w:eastAsia="Times New Roman" w:hAnsi="Times New Roman"/>
          <w:i w:val="1"/>
          <w:sz w:val="28"/>
          <w:szCs w:val="28"/>
          <w:rtl w:val="0"/>
        </w:rPr>
        <w:t xml:space="preserve">Halakhot </w:t>
      </w:r>
      <w:r w:rsidDel="00000000" w:rsidR="00000000" w:rsidRPr="00000000">
        <w:rPr>
          <w:rFonts w:ascii="Times New Roman" w:cs="Times New Roman" w:eastAsia="Times New Roman" w:hAnsi="Times New Roman"/>
          <w:sz w:val="28"/>
          <w:szCs w:val="28"/>
          <w:rtl w:val="0"/>
        </w:rPr>
        <w:t xml:space="preserve">(the Rif) and of our rabbi (Maimonides) are the principal [ones], </w:t>
      </w:r>
      <w:r w:rsidDel="00000000" w:rsidR="00000000" w:rsidRPr="00000000">
        <w:rPr>
          <w:rFonts w:ascii="Times New Roman" w:cs="Times New Roman" w:eastAsia="Times New Roman" w:hAnsi="Times New Roman"/>
          <w:b w:val="1"/>
          <w:sz w:val="28"/>
          <w:szCs w:val="28"/>
          <w:rtl w:val="0"/>
        </w:rPr>
        <w:t xml:space="preserve">and so are we accustomed today to observe two days of Rosh Hashanah even in the land of Israel</w:t>
      </w:r>
      <w:r w:rsidDel="00000000" w:rsidR="00000000" w:rsidRPr="00000000">
        <w:rPr>
          <w:rFonts w:ascii="Times New Roman" w:cs="Times New Roman" w:eastAsia="Times New Roman" w:hAnsi="Times New Roman"/>
          <w:sz w:val="28"/>
          <w:szCs w:val="28"/>
          <w:rtl w:val="0"/>
        </w:rPr>
        <w:t xml:space="preserve">. His (Rav Hamagid) language [ends] here:</w:t>
      </w:r>
    </w:p>
    <w:p w:rsidR="00000000" w:rsidDel="00000000" w:rsidP="00000000" w:rsidRDefault="00000000" w:rsidRPr="00000000" w14:paraId="000001E7">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1E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1E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1ED">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Shulhan Arukh Orach Hayyim</w:t>
      </w:r>
      <w:r w:rsidDel="00000000" w:rsidR="00000000" w:rsidRPr="00000000">
        <w:rPr>
          <w:rFonts w:ascii="Times New Roman" w:cs="Times New Roman" w:eastAsia="Times New Roman" w:hAnsi="Times New Roman"/>
          <w:sz w:val="28"/>
          <w:szCs w:val="28"/>
          <w:rtl w:val="0"/>
        </w:rPr>
        <w:t xml:space="preserve"> 601</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וקורים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מוהאלהים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אברהם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סידרא</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1"/>
        </w:rPr>
        <w:t xml:space="preserve">ומפטיר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קורא</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אתמול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ומפטיר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בירמיה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ירמיה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יקיר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ובמוצאי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מבדילין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במוצאי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שבת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מברכין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האש</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אף</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עושים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ימים</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Tur Orach Hayyi</w:t>
      </w:r>
      <w:r w:rsidDel="00000000" w:rsidR="00000000" w:rsidRPr="00000000">
        <w:rPr>
          <w:rFonts w:ascii="Times New Roman" w:cs="Times New Roman" w:eastAsia="Times New Roman" w:hAnsi="Times New Roman"/>
          <w:sz w:val="28"/>
          <w:szCs w:val="28"/>
          <w:rtl w:val="0"/>
        </w:rPr>
        <w:t xml:space="preserve">m 601 </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בשני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מתפללין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ותוקעין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בראשון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וקורין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בפרשת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והאלהים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נסה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אברהם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סדרא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ומפטיר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אתמול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ומפטיר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בירמיה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יקיר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ובמוצאי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מבדילין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מברכין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הבשמים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האש</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Beit Yosef to Tur Orach Hayyim</w:t>
      </w:r>
      <w:r w:rsidDel="00000000" w:rsidR="00000000" w:rsidRPr="00000000">
        <w:rPr>
          <w:rFonts w:ascii="Times New Roman" w:cs="Times New Roman" w:eastAsia="Times New Roman" w:hAnsi="Times New Roman"/>
          <w:sz w:val="28"/>
          <w:szCs w:val="28"/>
          <w:rtl w:val="0"/>
        </w:rPr>
        <w:t xml:space="preserve"> 601</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1"/>
        </w:rPr>
        <w:t xml:space="preserve">וכתב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ושמעינן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מינה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צריכין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למיעבד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טובים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הרא</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תלמידו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נחלק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דהני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מילי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בזמן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מקדשין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הראיה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עכשיו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סומכים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העיבור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חזר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להיות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ספק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בקדושת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לשמור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המאור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כדברי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אפרים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נהגו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בארץ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ישראל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הדורות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לפנינו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חדשים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מקרוב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מחכמי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פרובינצ</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והנהיגום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טובים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בראש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הלכות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והביא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עושים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מתחלה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אחד</w:t>
      </w:r>
      <w:r w:rsidDel="00000000" w:rsidR="00000000" w:rsidRPr="00000000">
        <w:rPr>
          <w:rFonts w:ascii="Times New Roman" w:cs="Times New Roman" w:eastAsia="Times New Roman" w:hAnsi="Times New Roman"/>
          <w:sz w:val="28"/>
          <w:szCs w:val="28"/>
          <w:rtl w:val="1"/>
        </w:rPr>
        <w:t xml:space="preserve"> . . . </w:t>
      </w:r>
      <w:r w:rsidDel="00000000" w:rsidR="00000000" w:rsidRPr="00000000">
        <w:rPr>
          <w:rFonts w:ascii="Times New Roman" w:cs="Times New Roman" w:eastAsia="Times New Roman" w:hAnsi="Times New Roman"/>
          <w:sz w:val="28"/>
          <w:szCs w:val="28"/>
          <w:rtl w:val="1"/>
        </w:rPr>
        <w:t xml:space="preserve">והרמב</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מהלכות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קידוש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החדש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מהלכות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טוב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כדברי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הרי</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וכתב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המגיד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חולקין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ודברי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ההלכות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עיקר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וכן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נוהגין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אף</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לעשות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ימים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השנה</w:t>
      </w:r>
      <w:r w:rsidDel="00000000" w:rsidR="00000000" w:rsidRPr="00000000">
        <w:rPr>
          <w:rtl w:val="0"/>
        </w:rPr>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עכ</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Volume 21: The Land of Israel</w:t>
      </w: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August 19 and Tuesday August 20, 2024</w:t>
      </w:r>
    </w:p>
    <w:p w:rsidR="00000000" w:rsidDel="00000000" w:rsidP="00000000" w:rsidRDefault="00000000" w:rsidRPr="00000000" w14:paraId="0000020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Representation of the Land of Israel in Joseph Karo’s </w:t>
      </w:r>
      <w:r w:rsidDel="00000000" w:rsidR="00000000" w:rsidRPr="00000000">
        <w:rPr>
          <w:rFonts w:ascii="Times New Roman" w:cs="Times New Roman" w:eastAsia="Times New Roman" w:hAnsi="Times New Roman"/>
          <w:b w:val="1"/>
          <w:i w:val="1"/>
          <w:sz w:val="28"/>
          <w:szCs w:val="28"/>
          <w:rtl w:val="0"/>
        </w:rPr>
        <w:t xml:space="preserve">Shulhan ‘Arukh</w:t>
      </w:r>
      <w:r w:rsidDel="00000000" w:rsidR="00000000" w:rsidRPr="00000000">
        <w:rPr>
          <w:rtl w:val="0"/>
        </w:rPr>
      </w:r>
    </w:p>
    <w:p w:rsidR="00000000" w:rsidDel="00000000" w:rsidP="00000000" w:rsidRDefault="00000000" w:rsidRPr="00000000" w14:paraId="0000020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Alyssa M. Gray, Hebrew Union College-Jewish Institute of Religion</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Altshuler, Mor. “Rabbi Joseph Karo and Sixteenth-Century Messianic Maimonideanism.” </w:t>
      </w:r>
      <w:r w:rsidDel="00000000" w:rsidR="00000000" w:rsidRPr="00000000">
        <w:rPr>
          <w:rFonts w:ascii="Times New Roman" w:cs="Times New Roman" w:eastAsia="Times New Roman" w:hAnsi="Times New Roman"/>
          <w:i w:val="1"/>
          <w:rtl w:val="0"/>
        </w:rPr>
        <w:t xml:space="preserve">The Cultures of Maimonideanism: New Approaches to the History of Jewish Thought. </w:t>
      </w:r>
      <w:r w:rsidDel="00000000" w:rsidR="00000000" w:rsidRPr="00000000">
        <w:rPr>
          <w:rFonts w:ascii="Times New Roman" w:cs="Times New Roman" w:eastAsia="Times New Roman" w:hAnsi="Times New Roman"/>
          <w:rtl w:val="0"/>
        </w:rPr>
        <w:t xml:space="preserve">Ed. James T. Robinson. Leiden, 2009. 191–210.</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Altshuler, Mor. </w:t>
      </w:r>
      <w:r w:rsidDel="00000000" w:rsidR="00000000" w:rsidRPr="00000000">
        <w:rPr>
          <w:rFonts w:ascii="Times New Roman" w:cs="Times New Roman" w:eastAsia="Times New Roman" w:hAnsi="Times New Roman"/>
          <w:i w:val="1"/>
          <w:rtl w:val="0"/>
        </w:rPr>
        <w:t xml:space="preserve">The Life of Rabbi Yosef Karo. </w:t>
      </w:r>
      <w:r w:rsidDel="00000000" w:rsidR="00000000" w:rsidRPr="00000000">
        <w:rPr>
          <w:rFonts w:ascii="Times New Roman" w:cs="Times New Roman" w:eastAsia="Times New Roman" w:hAnsi="Times New Roman"/>
          <w:rtl w:val="0"/>
        </w:rPr>
        <w:t xml:space="preserve">Tel Aviv, 2016 (Hebrew).</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Beinart, Haim (ed.) </w:t>
      </w:r>
      <w:r w:rsidDel="00000000" w:rsidR="00000000" w:rsidRPr="00000000">
        <w:rPr>
          <w:rFonts w:ascii="Times New Roman" w:cs="Times New Roman" w:eastAsia="Times New Roman" w:hAnsi="Times New Roman"/>
          <w:i w:val="1"/>
          <w:rtl w:val="0"/>
        </w:rPr>
        <w:t xml:space="preserve">Moreshet Sepharad: The Sephardi Legacy. </w:t>
      </w:r>
      <w:r w:rsidDel="00000000" w:rsidR="00000000" w:rsidRPr="00000000">
        <w:rPr>
          <w:rFonts w:ascii="Times New Roman" w:cs="Times New Roman" w:eastAsia="Times New Roman" w:hAnsi="Times New Roman"/>
          <w:rtl w:val="0"/>
        </w:rPr>
        <w:t xml:space="preserve">2 volumes. Jerusalem, 1992.</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Benayahu, Meir. </w:t>
      </w:r>
      <w:r w:rsidDel="00000000" w:rsidR="00000000" w:rsidRPr="00000000">
        <w:rPr>
          <w:rFonts w:ascii="Times New Roman" w:cs="Times New Roman" w:eastAsia="Times New Roman" w:hAnsi="Times New Roman"/>
          <w:i w:val="1"/>
          <w:rtl w:val="0"/>
        </w:rPr>
        <w:t xml:space="preserve">Yosef Behiri</w:t>
      </w:r>
      <w:r w:rsidDel="00000000" w:rsidR="00000000" w:rsidRPr="00000000">
        <w:rPr>
          <w:rFonts w:ascii="Times New Roman" w:cs="Times New Roman" w:eastAsia="Times New Roman" w:hAnsi="Times New Roman"/>
          <w:rtl w:val="0"/>
        </w:rPr>
        <w:t xml:space="preserve">. Jerusalem, 1991.</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Davis, Joseph. “The Reception of the </w:t>
      </w:r>
      <w:r w:rsidDel="00000000" w:rsidR="00000000" w:rsidRPr="00000000">
        <w:rPr>
          <w:rFonts w:ascii="Times New Roman" w:cs="Times New Roman" w:eastAsia="Times New Roman" w:hAnsi="Times New Roman"/>
          <w:i w:val="1"/>
          <w:rtl w:val="0"/>
        </w:rPr>
        <w:t xml:space="preserve">Shulhan ‘Arukh</w:t>
      </w:r>
      <w:r w:rsidDel="00000000" w:rsidR="00000000" w:rsidRPr="00000000">
        <w:rPr>
          <w:rFonts w:ascii="Times New Roman" w:cs="Times New Roman" w:eastAsia="Times New Roman" w:hAnsi="Times New Roman"/>
          <w:rtl w:val="0"/>
        </w:rPr>
        <w:t xml:space="preserve"> and the Formation of Ashkenazic Jewish Identity.” </w:t>
      </w:r>
      <w:r w:rsidDel="00000000" w:rsidR="00000000" w:rsidRPr="00000000">
        <w:rPr>
          <w:rFonts w:ascii="Times New Roman" w:cs="Times New Roman" w:eastAsia="Times New Roman" w:hAnsi="Times New Roman"/>
          <w:i w:val="1"/>
          <w:rtl w:val="0"/>
        </w:rPr>
        <w:t xml:space="preserve">AJS Review </w:t>
      </w:r>
      <w:r w:rsidDel="00000000" w:rsidR="00000000" w:rsidRPr="00000000">
        <w:rPr>
          <w:rFonts w:ascii="Times New Roman" w:cs="Times New Roman" w:eastAsia="Times New Roman" w:hAnsi="Times New Roman"/>
          <w:rtl w:val="0"/>
        </w:rPr>
        <w:t xml:space="preserve">26, 2 (2002): 251–276.</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Elon, Menachem. </w:t>
      </w:r>
      <w:r w:rsidDel="00000000" w:rsidR="00000000" w:rsidRPr="00000000">
        <w:rPr>
          <w:rFonts w:ascii="Times New Roman" w:cs="Times New Roman" w:eastAsia="Times New Roman" w:hAnsi="Times New Roman"/>
          <w:i w:val="1"/>
          <w:rtl w:val="0"/>
        </w:rPr>
        <w:t xml:space="preserve">Jewish Law: History, Sources, Principles. </w:t>
      </w:r>
      <w:r w:rsidDel="00000000" w:rsidR="00000000" w:rsidRPr="00000000">
        <w:rPr>
          <w:rFonts w:ascii="Times New Roman" w:cs="Times New Roman" w:eastAsia="Times New Roman" w:hAnsi="Times New Roman"/>
          <w:rtl w:val="0"/>
        </w:rPr>
        <w:t xml:space="preserve">Trans. Bernard Auerbach and Melvin J. Sykes. 4 volumes. Philadelphia and Jerusalem, 1994.</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 Edward. </w:t>
      </w:r>
      <w:r w:rsidDel="00000000" w:rsidR="00000000" w:rsidRPr="00000000">
        <w:rPr>
          <w:rFonts w:ascii="Times New Roman" w:cs="Times New Roman" w:eastAsia="Times New Roman" w:hAnsi="Times New Roman"/>
          <w:i w:val="1"/>
          <w:rtl w:val="0"/>
        </w:rPr>
        <w:t xml:space="preserve">The Codification of Jewish Law on the Cusp of Modernity. </w:t>
      </w:r>
      <w:r w:rsidDel="00000000" w:rsidR="00000000" w:rsidRPr="00000000">
        <w:rPr>
          <w:rFonts w:ascii="Times New Roman" w:cs="Times New Roman" w:eastAsia="Times New Roman" w:hAnsi="Times New Roman"/>
          <w:rtl w:val="0"/>
        </w:rPr>
        <w:t xml:space="preserve">Cambridge, 2022.</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  Alyssa M. “Poverty and Community in R. Joseph Karo’s </w:t>
      </w:r>
      <w:r w:rsidDel="00000000" w:rsidR="00000000" w:rsidRPr="00000000">
        <w:rPr>
          <w:rFonts w:ascii="Times New Roman" w:cs="Times New Roman" w:eastAsia="Times New Roman" w:hAnsi="Times New Roman"/>
          <w:i w:val="1"/>
          <w:rtl w:val="0"/>
        </w:rPr>
        <w:t xml:space="preserve">Shulhan Arukh</w:t>
      </w:r>
      <w:r w:rsidDel="00000000" w:rsidR="00000000" w:rsidRPr="00000000">
        <w:rPr>
          <w:rFonts w:ascii="Times New Roman" w:cs="Times New Roman" w:eastAsia="Times New Roman" w:hAnsi="Times New Roman"/>
          <w:rtl w:val="0"/>
        </w:rPr>
        <w:t xml:space="preserve">: ‘Law and Literature’ and Halakhic History.” </w:t>
      </w:r>
      <w:r w:rsidDel="00000000" w:rsidR="00000000" w:rsidRPr="00000000">
        <w:rPr>
          <w:rFonts w:ascii="Times New Roman" w:cs="Times New Roman" w:eastAsia="Times New Roman" w:hAnsi="Times New Roman"/>
          <w:i w:val="1"/>
          <w:rtl w:val="0"/>
        </w:rPr>
        <w:t xml:space="preserve">Diné Israel </w:t>
      </w:r>
      <w:r w:rsidDel="00000000" w:rsidR="00000000" w:rsidRPr="00000000">
        <w:rPr>
          <w:rFonts w:ascii="Times New Roman" w:cs="Times New Roman" w:eastAsia="Times New Roman" w:hAnsi="Times New Roman"/>
          <w:rtl w:val="0"/>
        </w:rPr>
        <w:t xml:space="preserve">29 (2013): 57*–89*.</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Idel Moshe, Ben-Naeh, Yaron, and Pelei, Haggai (eds.) </w:t>
      </w:r>
      <w:r w:rsidDel="00000000" w:rsidR="00000000" w:rsidRPr="00000000">
        <w:rPr>
          <w:rFonts w:ascii="Times New Roman" w:cs="Times New Roman" w:eastAsia="Times New Roman" w:hAnsi="Times New Roman"/>
          <w:i w:val="1"/>
          <w:rtl w:val="0"/>
        </w:rPr>
        <w:t xml:space="preserve">Rabbi Joseph Karo: History, Halakhah, Kabbalah. </w:t>
      </w:r>
      <w:r w:rsidDel="00000000" w:rsidR="00000000" w:rsidRPr="00000000">
        <w:rPr>
          <w:rFonts w:ascii="Times New Roman" w:cs="Times New Roman" w:eastAsia="Times New Roman" w:hAnsi="Times New Roman"/>
          <w:rtl w:val="0"/>
        </w:rPr>
        <w:t xml:space="preserve">Jerusalem, 2021 (Hebrew).</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Kelman, Tirzah. “I Shall Create Halakhic Ruling. . . For That Is the Objective”: The Dimension of Halakhic Ruling in Joseph Karo’s </w:t>
      </w:r>
      <w:r w:rsidDel="00000000" w:rsidR="00000000" w:rsidRPr="00000000">
        <w:rPr>
          <w:rFonts w:ascii="Times New Roman" w:cs="Times New Roman" w:eastAsia="Times New Roman" w:hAnsi="Times New Roman"/>
          <w:i w:val="1"/>
          <w:rtl w:val="0"/>
        </w:rPr>
        <w:t xml:space="preserve">Beit Yosef</w:t>
      </w:r>
      <w:r w:rsidDel="00000000" w:rsidR="00000000" w:rsidRPr="00000000">
        <w:rPr>
          <w:rFonts w:ascii="Times New Roman" w:cs="Times New Roman" w:eastAsia="Times New Roman" w:hAnsi="Times New Roman"/>
          <w:rtl w:val="0"/>
        </w:rPr>
        <w:t xml:space="preserve">. PhD diss. Ben-Gurion University, 2018 (Hebrew).</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Morsel-Eisenberg, Tamara. “Print and the Codification of Jewish Law.” </w:t>
      </w:r>
      <w:r w:rsidDel="00000000" w:rsidR="00000000" w:rsidRPr="00000000">
        <w:rPr>
          <w:rFonts w:ascii="Times New Roman" w:cs="Times New Roman" w:eastAsia="Times New Roman" w:hAnsi="Times New Roman"/>
          <w:i w:val="1"/>
          <w:rtl w:val="0"/>
        </w:rPr>
        <w:t xml:space="preserve">Routledge Encyclopedia of the Renaissance World. </w:t>
      </w:r>
      <w:hyperlink r:id="rId8">
        <w:r w:rsidDel="00000000" w:rsidR="00000000" w:rsidRPr="00000000">
          <w:rPr>
            <w:rFonts w:ascii="Times New Roman" w:cs="Times New Roman" w:eastAsia="Times New Roman" w:hAnsi="Times New Roman"/>
            <w:color w:val="467886"/>
            <w:u w:val="single"/>
            <w:rtl w:val="0"/>
          </w:rPr>
          <w:t xml:space="preserve">https://www.taylorfrancis.com/rrorw/?context=rrorw</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Raz-Krakozkin, Amnon. “From Safed to Venice: The </w:t>
      </w:r>
      <w:r w:rsidDel="00000000" w:rsidR="00000000" w:rsidRPr="00000000">
        <w:rPr>
          <w:rFonts w:ascii="Times New Roman" w:cs="Times New Roman" w:eastAsia="Times New Roman" w:hAnsi="Times New Roman"/>
          <w:i w:val="1"/>
          <w:rtl w:val="0"/>
        </w:rPr>
        <w:t xml:space="preserve">Shulhan ‘Arukh </w:t>
      </w:r>
      <w:r w:rsidDel="00000000" w:rsidR="00000000" w:rsidRPr="00000000">
        <w:rPr>
          <w:rFonts w:ascii="Times New Roman" w:cs="Times New Roman" w:eastAsia="Times New Roman" w:hAnsi="Times New Roman"/>
          <w:rtl w:val="0"/>
        </w:rPr>
        <w:t xml:space="preserve">and the Censor.” </w:t>
      </w:r>
      <w:r w:rsidDel="00000000" w:rsidR="00000000" w:rsidRPr="00000000">
        <w:rPr>
          <w:rFonts w:ascii="Times New Roman" w:cs="Times New Roman" w:eastAsia="Times New Roman" w:hAnsi="Times New Roman"/>
          <w:i w:val="1"/>
          <w:rtl w:val="0"/>
        </w:rPr>
        <w:t xml:space="preserve">Tradition, Heterodoxy and Religious Culture: Judaism and Christianity in the Early Modern Period. </w:t>
      </w:r>
      <w:r w:rsidDel="00000000" w:rsidR="00000000" w:rsidRPr="00000000">
        <w:rPr>
          <w:rFonts w:ascii="Times New Roman" w:cs="Times New Roman" w:eastAsia="Times New Roman" w:hAnsi="Times New Roman"/>
          <w:rtl w:val="0"/>
        </w:rPr>
        <w:t xml:space="preserve">Ed. Chanita Goodblatt and Howard Kreisel. Beer-Sheva, 2006. 91–115.</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Raz-Krokotzkin, Amnon. “Law and Censure: The Printing of the Shulkhan Arukh as the Commencement of Jewish Modernity.” </w:t>
      </w:r>
      <w:r w:rsidDel="00000000" w:rsidR="00000000" w:rsidRPr="00000000">
        <w:rPr>
          <w:rFonts w:ascii="Times New Roman" w:cs="Times New Roman" w:eastAsia="Times New Roman" w:hAnsi="Times New Roman"/>
          <w:i w:val="1"/>
          <w:rtl w:val="0"/>
        </w:rPr>
        <w:t xml:space="preserve">Tov Elem: Memory, Community and Gender in Medieval and Early Modern Jewish Societies; Essays in honor of Robert Bonfil. </w:t>
      </w:r>
      <w:r w:rsidDel="00000000" w:rsidR="00000000" w:rsidRPr="00000000">
        <w:rPr>
          <w:rFonts w:ascii="Times New Roman" w:cs="Times New Roman" w:eastAsia="Times New Roman" w:hAnsi="Times New Roman"/>
          <w:rtl w:val="0"/>
        </w:rPr>
        <w:t xml:space="preserve">Ed. Elisheva Baumgarten, Amnon Raz-Krakotzkin, Roni Weinstein. Jerusalem, 2011 (Hebrew).</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Twersky, Isadore. “The Shulhan ‘Aruk: Enduring Code of Jewish Law,” </w:t>
      </w:r>
      <w:r w:rsidDel="00000000" w:rsidR="00000000" w:rsidRPr="00000000">
        <w:rPr>
          <w:rFonts w:ascii="Times New Roman" w:cs="Times New Roman" w:eastAsia="Times New Roman" w:hAnsi="Times New Roman"/>
          <w:i w:val="1"/>
          <w:rtl w:val="0"/>
        </w:rPr>
        <w:t xml:space="preserve">Judaism </w:t>
      </w:r>
      <w:r w:rsidDel="00000000" w:rsidR="00000000" w:rsidRPr="00000000">
        <w:rPr>
          <w:rFonts w:ascii="Times New Roman" w:cs="Times New Roman" w:eastAsia="Times New Roman" w:hAnsi="Times New Roman"/>
          <w:rtl w:val="0"/>
        </w:rPr>
        <w:t xml:space="preserve">16, 2 (Spring 1967): 141–158. Repr. </w:t>
      </w:r>
      <w:r w:rsidDel="00000000" w:rsidR="00000000" w:rsidRPr="00000000">
        <w:rPr>
          <w:rFonts w:ascii="Times New Roman" w:cs="Times New Roman" w:eastAsia="Times New Roman" w:hAnsi="Times New Roman"/>
          <w:i w:val="1"/>
          <w:rtl w:val="0"/>
        </w:rPr>
        <w:t xml:space="preserve">The Jewish Expression</w:t>
      </w:r>
      <w:r w:rsidDel="00000000" w:rsidR="00000000" w:rsidRPr="00000000">
        <w:rPr>
          <w:rFonts w:ascii="Times New Roman" w:cs="Times New Roman" w:eastAsia="Times New Roman" w:hAnsi="Times New Roman"/>
          <w:rtl w:val="0"/>
        </w:rPr>
        <w:t xml:space="preserve">. Ed. Judah Goldin. New Haven, 1976. 322–343.</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Weinstein, Roni. “Jewish Modern Law and Legalism in a Global Age: The Case of Rabbi Joseph Karo.” </w:t>
      </w:r>
      <w:r w:rsidDel="00000000" w:rsidR="00000000" w:rsidRPr="00000000">
        <w:rPr>
          <w:rFonts w:ascii="Times New Roman" w:cs="Times New Roman" w:eastAsia="Times New Roman" w:hAnsi="Times New Roman"/>
          <w:i w:val="1"/>
          <w:rtl w:val="0"/>
        </w:rPr>
        <w:t xml:space="preserve">Modern Intellectual History </w:t>
      </w:r>
      <w:r w:rsidDel="00000000" w:rsidR="00000000" w:rsidRPr="00000000">
        <w:rPr>
          <w:rFonts w:ascii="Times New Roman" w:cs="Times New Roman" w:eastAsia="Times New Roman" w:hAnsi="Times New Roman"/>
          <w:rtl w:val="0"/>
        </w:rPr>
        <w:t xml:space="preserve">17, 2 (2020): 561–578.</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Weinstein, Roni. </w:t>
      </w:r>
      <w:r w:rsidDel="00000000" w:rsidR="00000000" w:rsidRPr="00000000">
        <w:rPr>
          <w:rFonts w:ascii="Times New Roman" w:cs="Times New Roman" w:eastAsia="Times New Roman" w:hAnsi="Times New Roman"/>
          <w:i w:val="1"/>
          <w:rtl w:val="0"/>
        </w:rPr>
        <w:t xml:space="preserve">Joseph Karo and Shaping of Modern Jewish Law: The Early Modern Ottoman and Global Settings. </w:t>
      </w:r>
      <w:r w:rsidDel="00000000" w:rsidR="00000000" w:rsidRPr="00000000">
        <w:rPr>
          <w:rFonts w:ascii="Times New Roman" w:cs="Times New Roman" w:eastAsia="Times New Roman" w:hAnsi="Times New Roman"/>
          <w:rtl w:val="0"/>
        </w:rPr>
        <w:t xml:space="preserve">London, 2022.</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Werblowsky, R.J. Zwi. </w:t>
      </w:r>
      <w:r w:rsidDel="00000000" w:rsidR="00000000" w:rsidRPr="00000000">
        <w:rPr>
          <w:rFonts w:ascii="Times New Roman" w:cs="Times New Roman" w:eastAsia="Times New Roman" w:hAnsi="Times New Roman"/>
          <w:i w:val="1"/>
          <w:rtl w:val="0"/>
        </w:rPr>
        <w:t xml:space="preserve">Joseph Karo: Lawyer and Mystic. </w:t>
      </w:r>
      <w:r w:rsidDel="00000000" w:rsidR="00000000" w:rsidRPr="00000000">
        <w:rPr>
          <w:rFonts w:ascii="Times New Roman" w:cs="Times New Roman" w:eastAsia="Times New Roman" w:hAnsi="Times New Roman"/>
          <w:rtl w:val="0"/>
        </w:rPr>
        <w:t xml:space="preserve">Philadelphia, 1977.</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3">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“Sanctify [the Sabbath]” refers to the recitation of a passage that begins with a blessing over wine and concludes with a blessing of God “who sanctifies the Sabbath.” This passage is known as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kiddush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(“sanctification”), the nominal form of the verb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l’kadesh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(“to sanctify”).</w:t>
      </w:r>
    </w:p>
  </w:footnote>
  <w:footnote w:id="7">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are nineteen blessings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Amidah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(“standing”) prayer, the central prayer of the three daily prayer services recited mornings, afternoons, and evenings on weekdays. The first three blessings praise God, the middle thirteen are petitions, and the final three offer thanks to God. The blessing “Forgive us” is the sixth of the nineteen (and thus the third of the petitionary blessings). It begins “Forgive us, our father for we have sinned” and ends “Blessed are you, Lord, gracious one who is abundantly forgiving.” The Shulhan Arukh paragraph deals with adding extra petitions to “Forgive us” on public fast days. </w:t>
      </w:r>
    </w:p>
  </w:footnote>
  <w:footnote w:id="8">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“Eighteen blessings” is another old name for the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Amidah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prayer, which originally (according to the Babylonian Talmud) consisted of eighteen blessings. Although the prayer came to be composed of nineteen blessings, this old name remains.</w:t>
      </w:r>
    </w:p>
  </w:footnote>
  <w:footnote w:id="23">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have omitted R. Moses Isserles’s (1530–1572) interpolated note: “and we pray as on the first day (Tur).” That language comes between “On the second day” and “and we read from.”</w:t>
      </w:r>
    </w:p>
  </w:footnote>
  <w:footnote w:id="24">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scrolls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Rosh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Hashanah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individuals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called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scroll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מפטיר</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maftir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called to a reading from the second scroll about the ancient sacrificial service for Rosh Hashanah. This second “reader that concludes” reads the same portion from the second Torah scroll read by the “reader that concludes” on the first day. This reader also reads a portion from the books of the prophets, which constitute the middle part of the Hebrew Bible, after the Pentateuch (“Torah”). That prophetic portion is called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haftarah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(“conclusion”), the nominal form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maftir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ootnote>
  <w:footnote w:id="25">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refers to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havdalah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(“division”) ritual performed at the conclusion of Sabbaths and festivals. Just as these holy days are begun with recitations of “sanctification” (see Text 3), so are they concluded with a ritual of “division,” which marks the transition from holy time back to ordinary time. </w:t>
      </w:r>
    </w:p>
  </w:footnote>
  <w:footnote w:id="0">
    <w:p w:rsidR="00000000" w:rsidDel="00000000" w:rsidP="00000000" w:rsidRDefault="00000000" w:rsidRPr="00000000" w14:paraId="00000222">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Tosafot to bMegillah 28b, s.v. “</w:t>
      </w:r>
      <w:r w:rsidDel="00000000" w:rsidR="00000000" w:rsidRPr="00000000">
        <w:rPr>
          <w:rFonts w:ascii="Times New Roman" w:cs="Times New Roman" w:eastAsia="Times New Roman" w:hAnsi="Times New Roman"/>
          <w:i w:val="1"/>
          <w:sz w:val="20"/>
          <w:szCs w:val="20"/>
          <w:rtl w:val="0"/>
        </w:rPr>
        <w:t xml:space="preserve">batei</w:t>
      </w:r>
      <w:r w:rsidDel="00000000" w:rsidR="00000000" w:rsidRPr="00000000">
        <w:rPr>
          <w:rFonts w:ascii="Times New Roman" w:cs="Times New Roman" w:eastAsia="Times New Roman" w:hAnsi="Times New Roman"/>
          <w:sz w:val="20"/>
          <w:szCs w:val="20"/>
          <w:rtl w:val="0"/>
        </w:rPr>
        <w:t xml:space="preserve">.” The Tosafists (Hebrew, “Tosafot”) were Franco-German scholars of the 12</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centuries who composed dialectical commentaries on the Babylonian Talmud with the aim (in part) of harmonizing real or perceived inconsistencies between passages. “Tosafot” means “additions.” The “additions” are to the widely-accepted commentary of the northern French scholar Rashi (1040–1105).</w:t>
      </w:r>
    </w:p>
  </w:footnote>
  <w:footnote w:id="1">
    <w:p w:rsidR="00000000" w:rsidDel="00000000" w:rsidP="00000000" w:rsidRDefault="00000000" w:rsidRPr="00000000" w14:paraId="00000224">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Rabbi Jacob ben Meir Tam of Ramerupt (1100–1171), a leading master of the dialectical Tosafist school of talmudic learning in northern France.</w:t>
      </w:r>
    </w:p>
  </w:footnote>
  <w:footnote w:id="2">
    <w:p w:rsidR="00000000" w:rsidDel="00000000" w:rsidP="00000000" w:rsidRDefault="00000000" w:rsidRPr="00000000" w14:paraId="00000225">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Rabbi Isaac bar Sheshet Perfet (1326–1408). A prolific writer of responsa and communal leader in Valencia and Barcelona, he eventually settled in Algiers. </w:t>
      </w:r>
    </w:p>
  </w:footnote>
  <w:footnote w:id="4">
    <w:p w:rsidR="00000000" w:rsidDel="00000000" w:rsidP="00000000" w:rsidRDefault="00000000" w:rsidRPr="00000000" w14:paraId="00000226">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Notes on the legal commentary of Rabbi Asher ben Yehiel (1250–1327) on the Babylonian Talmud, alleged to have been written by Rabbi Israel of Krems (14</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w:t>
      </w:r>
    </w:p>
  </w:footnote>
  <w:footnote w:id="5">
    <w:p w:rsidR="00000000" w:rsidDel="00000000" w:rsidP="00000000" w:rsidRDefault="00000000" w:rsidRPr="00000000" w14:paraId="00000227">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 13</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 lawbook written by Rabbi Isaac ben Moses of Vienna (ca. 1180–1270).</w:t>
      </w:r>
    </w:p>
  </w:footnote>
  <w:footnote w:id="6">
    <w:p w:rsidR="00000000" w:rsidDel="00000000" w:rsidP="00000000" w:rsidRDefault="00000000" w:rsidRPr="00000000" w14:paraId="00000228">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1"/>
        </w:rPr>
        <w:t xml:space="preserve">שבות</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shevut</w:t>
      </w:r>
      <w:r w:rsidDel="00000000" w:rsidR="00000000" w:rsidRPr="00000000">
        <w:rPr>
          <w:rFonts w:ascii="Times New Roman" w:cs="Times New Roman" w:eastAsia="Times New Roman" w:hAnsi="Times New Roman"/>
          <w:sz w:val="20"/>
          <w:szCs w:val="20"/>
          <w:rtl w:val="0"/>
        </w:rPr>
        <w:t xml:space="preserve">) is a category of activities that the talmudic rabbis prohibited on the Sabbath even though these activities (in this case, speech directing a non-Jew to perform labor on the Sabbath) are not technical Sabbath violations for a Jew. The prohibition is a rabbinic stringency to meant to provide an additional layer of protection to the sabbatical character of the Sabbath day.  </w:t>
      </w:r>
    </w:p>
  </w:footnote>
  <w:footnote w:id="9">
    <w:p w:rsidR="00000000" w:rsidDel="00000000" w:rsidP="00000000" w:rsidRDefault="00000000" w:rsidRPr="00000000" w14:paraId="00000229">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Rabbi Isaac ben Samuel of Dampierre (1115–1184). A leading master of the Tosafist school in northern France, and a nephew of Rabbi Jacob ben Meir Tam. </w:t>
      </w:r>
    </w:p>
  </w:footnote>
  <w:footnote w:id="10">
    <w:p w:rsidR="00000000" w:rsidDel="00000000" w:rsidP="00000000" w:rsidRDefault="00000000" w:rsidRPr="00000000" w14:paraId="0000022A">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bAvodah Zarah 8a.</w:t>
      </w:r>
    </w:p>
  </w:footnote>
  <w:footnote w:id="11">
    <w:p w:rsidR="00000000" w:rsidDel="00000000" w:rsidP="00000000" w:rsidRDefault="00000000" w:rsidRPr="00000000" w14:paraId="0000022B">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reference to bAvodah Zarah 8a ends here. </w:t>
      </w:r>
    </w:p>
  </w:footnote>
  <w:footnote w:id="12">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bAvodah Zarah 8a.</w:t>
      </w:r>
    </w:p>
  </w:footnote>
  <w:footnote w:id="13">
    <w:p w:rsidR="00000000" w:rsidDel="00000000" w:rsidP="00000000" w:rsidRDefault="00000000" w:rsidRPr="00000000" w14:paraId="0000022D">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Which is quite lengthy.</w:t>
      </w:r>
    </w:p>
  </w:footnote>
  <w:footnote w:id="14">
    <w:p w:rsidR="00000000" w:rsidDel="00000000" w:rsidP="00000000" w:rsidRDefault="00000000" w:rsidRPr="00000000" w14:paraId="0000022E">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Rav Amram ben Sheshna (ca. 810–875), for a time the “gaon” (“excellency,” academy head) of Sura in Iraq. He composed a lengthy responsum on liturgy that is widely considered to be an early attempt at composing a rabbinic Jewish prayer book (</w:t>
      </w:r>
      <w:r w:rsidDel="00000000" w:rsidR="00000000" w:rsidRPr="00000000">
        <w:rPr>
          <w:rFonts w:ascii="Times New Roman" w:cs="Times New Roman" w:eastAsia="Times New Roman" w:hAnsi="Times New Roman"/>
          <w:i w:val="1"/>
          <w:sz w:val="20"/>
          <w:szCs w:val="20"/>
          <w:rtl w:val="0"/>
        </w:rPr>
        <w:t xml:space="preserve">Seder Rav Amram Gaon</w:t>
      </w:r>
      <w:r w:rsidDel="00000000" w:rsidR="00000000" w:rsidRPr="00000000">
        <w:rPr>
          <w:rFonts w:ascii="Times New Roman" w:cs="Times New Roman" w:eastAsia="Times New Roman" w:hAnsi="Times New Roman"/>
          <w:sz w:val="20"/>
          <w:szCs w:val="20"/>
          <w:rtl w:val="0"/>
        </w:rPr>
        <w:t xml:space="preserve">).</w:t>
      </w:r>
    </w:p>
  </w:footnote>
  <w:footnote w:id="15">
    <w:p w:rsidR="00000000" w:rsidDel="00000000" w:rsidP="00000000" w:rsidRDefault="00000000" w:rsidRPr="00000000" w14:paraId="0000022F">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Rav Natronai bar Hilai (9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 CE) was a gaon of the Sura academy and an older contemporary of Rav Amram bar Sheshna. </w:t>
      </w:r>
    </w:p>
  </w:footnote>
  <w:footnote w:id="16">
    <w:p w:rsidR="00000000" w:rsidDel="00000000" w:rsidP="00000000" w:rsidRDefault="00000000" w:rsidRPr="00000000" w14:paraId="00000230">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Sura and Pumbedita in Iraq.</w:t>
      </w:r>
    </w:p>
  </w:footnote>
  <w:footnote w:id="17">
    <w:p w:rsidR="00000000" w:rsidDel="00000000" w:rsidP="00000000" w:rsidRDefault="00000000" w:rsidRPr="00000000" w14:paraId="00000231">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Rav Sar Shalom (9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 CE) was a gaon of Sura and predecessor of Rav Natronai bar Hilai.</w:t>
      </w:r>
    </w:p>
  </w:footnote>
  <w:footnote w:id="18">
    <w:p w:rsidR="00000000" w:rsidDel="00000000" w:rsidP="00000000" w:rsidRDefault="00000000" w:rsidRPr="00000000" w14:paraId="00000232">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reference is to Sifrei Deuteronomy, a 3rd–4</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 CE compilation of midrash to the biblical book of Deuteronomy. The passage is found in </w:t>
      </w:r>
      <w:r w:rsidDel="00000000" w:rsidR="00000000" w:rsidRPr="00000000">
        <w:rPr>
          <w:rFonts w:ascii="Times New Roman" w:cs="Times New Roman" w:eastAsia="Times New Roman" w:hAnsi="Times New Roman"/>
          <w:i w:val="1"/>
          <w:sz w:val="20"/>
          <w:szCs w:val="20"/>
          <w:rtl w:val="0"/>
        </w:rPr>
        <w:t xml:space="preserve">piska </w:t>
      </w:r>
      <w:r w:rsidDel="00000000" w:rsidR="00000000" w:rsidRPr="00000000">
        <w:rPr>
          <w:rFonts w:ascii="Times New Roman" w:cs="Times New Roman" w:eastAsia="Times New Roman" w:hAnsi="Times New Roman"/>
          <w:sz w:val="20"/>
          <w:szCs w:val="20"/>
          <w:rtl w:val="0"/>
        </w:rPr>
        <w:t xml:space="preserve">116 of the Finkelstein edition of Sifrei Deuteronomy (the standard scholarly edition). </w:t>
      </w:r>
    </w:p>
  </w:footnote>
  <w:footnote w:id="19">
    <w:p w:rsidR="00000000" w:rsidDel="00000000" w:rsidP="00000000" w:rsidRDefault="00000000" w:rsidRPr="00000000" w14:paraId="00000233">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Sefer Mitzvot Gadol </w:t>
      </w:r>
      <w:r w:rsidDel="00000000" w:rsidR="00000000" w:rsidRPr="00000000">
        <w:rPr>
          <w:rFonts w:ascii="Times New Roman" w:cs="Times New Roman" w:eastAsia="Times New Roman" w:hAnsi="Times New Roman"/>
          <w:sz w:val="20"/>
          <w:szCs w:val="20"/>
          <w:rtl w:val="0"/>
        </w:rPr>
        <w:t xml:space="preserve">(“Great Book of Commandments”), a lawbook organized around Maimonides’s (1138–1204) list of the 613 commandments of the Torah, was written by the northern French Tosafist Rabbi Moses of Coucy in the first half of the 13</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In his introduction to the Beit Yosef, Karo includes the SeMaG as one of the five “second-tier” scholars of importance in his legal decision-making.</w:t>
      </w:r>
    </w:p>
  </w:footnote>
  <w:footnote w:id="20">
    <w:p w:rsidR="00000000" w:rsidDel="00000000" w:rsidP="00000000" w:rsidRDefault="00000000" w:rsidRPr="00000000" w14:paraId="00000234">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Mordecai ben Hillel (d. ca. 1298) wrote legal notes to the Babylonian Talmud which are included in standard printed editions. He was a student of the famed Rabbi Meir ben Rabbi Barukh of Rothenburg (1215–1293). In  his introduction to the Beit Yosef, Karo includes the Mordecai as one of the five “second-tier” scholars of importance in his legal decision-making. </w:t>
      </w:r>
    </w:p>
  </w:footnote>
  <w:footnote w:id="21">
    <w:p w:rsidR="00000000" w:rsidDel="00000000" w:rsidP="00000000" w:rsidRDefault="00000000" w:rsidRPr="00000000" w14:paraId="00000235">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Rabbi Solomon ben Isaac of Troyes (1040–1105), author of the principal commentary on the Babylonian Talmud.</w:t>
      </w:r>
    </w:p>
  </w:footnote>
  <w:footnote w:id="22">
    <w:p w:rsidR="00000000" w:rsidDel="00000000" w:rsidP="00000000" w:rsidRDefault="00000000" w:rsidRPr="00000000" w14:paraId="00000236">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Rabbi Asher ben Yehiel (1250–1327).</w:t>
      </w:r>
    </w:p>
  </w:footnote>
  <w:footnote w:id="26">
    <w:p w:rsidR="00000000" w:rsidDel="00000000" w:rsidP="00000000" w:rsidRDefault="00000000" w:rsidRPr="00000000" w14:paraId="00000237">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is the weekly Torah portion ranging from Genesis 18:1 (which begins with the word “</w:t>
      </w:r>
      <w:r w:rsidDel="00000000" w:rsidR="00000000" w:rsidRPr="00000000">
        <w:rPr>
          <w:rFonts w:ascii="Times New Roman" w:cs="Times New Roman" w:eastAsia="Times New Roman" w:hAnsi="Times New Roman"/>
          <w:i w:val="1"/>
          <w:sz w:val="20"/>
          <w:szCs w:val="20"/>
          <w:rtl w:val="0"/>
        </w:rPr>
        <w:t xml:space="preserve">vayera</w:t>
      </w:r>
      <w:r w:rsidDel="00000000" w:rsidR="00000000" w:rsidRPr="00000000">
        <w:rPr>
          <w:rFonts w:ascii="Times New Roman" w:cs="Times New Roman" w:eastAsia="Times New Roman" w:hAnsi="Times New Roman"/>
          <w:sz w:val="20"/>
          <w:szCs w:val="20"/>
          <w:rtl w:val="0"/>
        </w:rPr>
        <w:t xml:space="preserve">,” “and he saw”) through Genesis 22:24. </w:t>
      </w:r>
    </w:p>
  </w:footnote>
  <w:footnote w:id="27">
    <w:p w:rsidR="00000000" w:rsidDel="00000000" w:rsidP="00000000" w:rsidRDefault="00000000" w:rsidRPr="00000000" w14:paraId="00000238">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Genesis 22:24.</w:t>
      </w:r>
    </w:p>
  </w:footnote>
  <w:footnote w:id="28">
    <w:p w:rsidR="00000000" w:rsidDel="00000000" w:rsidP="00000000" w:rsidRDefault="00000000" w:rsidRPr="00000000" w14:paraId="00000239">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Rabbi Isaac ben Jacob Alfasi (1013–1103), of Qalat Hamad and Kairouwan (north Africa), and later Lucena. Composer of an influential law code that Karo later relies on as one of his three “pillars of [legal] instruction” according to his introduction to the Beit Yosef.</w:t>
      </w:r>
    </w:p>
  </w:footnote>
  <w:footnote w:id="29">
    <w:p w:rsidR="00000000" w:rsidDel="00000000" w:rsidP="00000000" w:rsidRDefault="00000000" w:rsidRPr="00000000" w14:paraId="0000023A">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Rabbi Asher ben Yehiel (1250–1327). Refugee scholar from Germany who settled in Toledo in 1305. Father of Rabbi Jacob ben Asher (1269–1343), author of the Tur. Asher’s law code is one of Karo’s three “pillars of [legal] instruction.”</w:t>
      </w:r>
    </w:p>
  </w:footnote>
  <w:footnote w:id="30">
    <w:p w:rsidR="00000000" w:rsidDel="00000000" w:rsidP="00000000" w:rsidRDefault="00000000" w:rsidRPr="00000000" w14:paraId="0000023B">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“Rabbenu” (“our rabbi”) Ephraim of Qalat Hamad, a younger contemporary of Alfasi. </w:t>
      </w:r>
    </w:p>
  </w:footnote>
  <w:footnote w:id="31">
    <w:p w:rsidR="00000000" w:rsidDel="00000000" w:rsidP="00000000" w:rsidRDefault="00000000" w:rsidRPr="00000000" w14:paraId="0000023C">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is, a meeting place for scholars who, among other things, set the standard of religious practice for the Jewish people.</w:t>
      </w:r>
    </w:p>
  </w:footnote>
  <w:footnote w:id="32">
    <w:p w:rsidR="00000000" w:rsidDel="00000000" w:rsidP="00000000" w:rsidRDefault="00000000" w:rsidRPr="00000000" w14:paraId="0000023D">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Rabbi Zerachiah ha-Levi (ca. 1115–1186), of Girona and later Lunel. He wrote a talmudic commentary by this name, which is presented in printed editions as a commentary on Alfasi’s code.</w:t>
      </w:r>
    </w:p>
  </w:footnote>
  <w:footnote w:id="33">
    <w:p w:rsidR="00000000" w:rsidDel="00000000" w:rsidP="00000000" w:rsidRDefault="00000000" w:rsidRPr="00000000" w14:paraId="0000023E">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Deuteronomy 32:17 (trans. NJPS)</w:t>
      </w:r>
    </w:p>
  </w:footnote>
  <w:footnote w:id="34">
    <w:p w:rsidR="00000000" w:rsidDel="00000000" w:rsidP="00000000" w:rsidRDefault="00000000" w:rsidRPr="00000000" w14:paraId="0000023F">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1138–1204. Author of the law code </w:t>
      </w:r>
      <w:r w:rsidDel="00000000" w:rsidR="00000000" w:rsidRPr="00000000">
        <w:rPr>
          <w:rFonts w:ascii="Times New Roman" w:cs="Times New Roman" w:eastAsia="Times New Roman" w:hAnsi="Times New Roman"/>
          <w:i w:val="1"/>
          <w:sz w:val="20"/>
          <w:szCs w:val="20"/>
          <w:rtl w:val="0"/>
        </w:rPr>
        <w:t xml:space="preserve">Mishneh Torah</w:t>
      </w:r>
      <w:r w:rsidDel="00000000" w:rsidR="00000000" w:rsidRPr="00000000">
        <w:rPr>
          <w:rFonts w:ascii="Times New Roman" w:cs="Times New Roman" w:eastAsia="Times New Roman" w:hAnsi="Times New Roman"/>
          <w:sz w:val="20"/>
          <w:szCs w:val="20"/>
          <w:rtl w:val="0"/>
        </w:rPr>
        <w:t xml:space="preserve">, which Karo later relies on as one of his three “pillars of [legal] instruction.”</w:t>
      </w:r>
    </w:p>
  </w:footnote>
  <w:footnote w:id="35">
    <w:p w:rsidR="00000000" w:rsidDel="00000000" w:rsidP="00000000" w:rsidRDefault="00000000" w:rsidRPr="00000000" w14:paraId="00000240">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This is a commentary on Maimonides’s </w:t>
      </w:r>
      <w:r w:rsidDel="00000000" w:rsidR="00000000" w:rsidRPr="00000000">
        <w:rPr>
          <w:rFonts w:ascii="Times New Roman" w:cs="Times New Roman" w:eastAsia="Times New Roman" w:hAnsi="Times New Roman"/>
          <w:i w:val="1"/>
          <w:sz w:val="20"/>
          <w:szCs w:val="20"/>
          <w:rtl w:val="0"/>
        </w:rPr>
        <w:t xml:space="preserve">Mishneh Torah </w:t>
      </w:r>
      <w:r w:rsidDel="00000000" w:rsidR="00000000" w:rsidRPr="00000000">
        <w:rPr>
          <w:rFonts w:ascii="Times New Roman" w:cs="Times New Roman" w:eastAsia="Times New Roman" w:hAnsi="Times New Roman"/>
          <w:sz w:val="20"/>
          <w:szCs w:val="20"/>
          <w:rtl w:val="0"/>
        </w:rPr>
        <w:t xml:space="preserve">written by Vidal of Toulouse (late 14</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0796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0796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0796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0796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0796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0796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0796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0796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0796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0796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0796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0796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0796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0796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0796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0796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0796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0796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0796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0796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0796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0796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0796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0796D"/>
    <w:rPr>
      <w:i w:val="1"/>
      <w:iCs w:val="1"/>
      <w:color w:val="404040" w:themeColor="text1" w:themeTint="0000BF"/>
    </w:rPr>
  </w:style>
  <w:style w:type="paragraph" w:styleId="ListParagraph">
    <w:name w:val="List Paragraph"/>
    <w:basedOn w:val="Normal"/>
    <w:uiPriority w:val="34"/>
    <w:qFormat w:val="1"/>
    <w:rsid w:val="0000796D"/>
    <w:pPr>
      <w:ind w:left="720"/>
      <w:contextualSpacing w:val="1"/>
    </w:pPr>
  </w:style>
  <w:style w:type="character" w:styleId="IntenseEmphasis">
    <w:name w:val="Intense Emphasis"/>
    <w:basedOn w:val="DefaultParagraphFont"/>
    <w:uiPriority w:val="21"/>
    <w:qFormat w:val="1"/>
    <w:rsid w:val="0000796D"/>
    <w:rPr>
      <w:i w:val="1"/>
      <w:iCs w:val="1"/>
      <w:color w:val="0f4761" w:themeColor="accent1" w:themeShade="0000BF"/>
    </w:rPr>
  </w:style>
  <w:style w:type="paragraph" w:styleId="IntenseQuote">
    <w:name w:val="Intense Quote"/>
    <w:basedOn w:val="Normal"/>
    <w:next w:val="Normal"/>
    <w:link w:val="IntenseQuoteChar"/>
    <w:uiPriority w:val="30"/>
    <w:qFormat w:val="1"/>
    <w:rsid w:val="0000796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0796D"/>
    <w:rPr>
      <w:i w:val="1"/>
      <w:iCs w:val="1"/>
      <w:color w:val="0f4761" w:themeColor="accent1" w:themeShade="0000BF"/>
    </w:rPr>
  </w:style>
  <w:style w:type="character" w:styleId="IntenseReference">
    <w:name w:val="Intense Reference"/>
    <w:basedOn w:val="DefaultParagraphFont"/>
    <w:uiPriority w:val="32"/>
    <w:qFormat w:val="1"/>
    <w:rsid w:val="0000796D"/>
    <w:rPr>
      <w:b w:val="1"/>
      <w:bCs w:val="1"/>
      <w:smallCaps w:val="1"/>
      <w:color w:val="0f4761" w:themeColor="accent1" w:themeShade="0000BF"/>
      <w:spacing w:val="5"/>
    </w:rPr>
  </w:style>
  <w:style w:type="paragraph" w:styleId="FootnoteText">
    <w:name w:val="footnote text"/>
    <w:basedOn w:val="Normal"/>
    <w:link w:val="FootnoteTextChar"/>
    <w:uiPriority w:val="99"/>
    <w:semiHidden w:val="1"/>
    <w:unhideWhenUsed w:val="1"/>
    <w:rsid w:val="0078393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83935"/>
    <w:rPr>
      <w:sz w:val="20"/>
      <w:szCs w:val="20"/>
    </w:rPr>
  </w:style>
  <w:style w:type="character" w:styleId="FootnoteReference">
    <w:name w:val="footnote reference"/>
    <w:basedOn w:val="DefaultParagraphFont"/>
    <w:uiPriority w:val="99"/>
    <w:semiHidden w:val="1"/>
    <w:unhideWhenUsed w:val="1"/>
    <w:rsid w:val="00783935"/>
    <w:rPr>
      <w:vertAlign w:val="superscript"/>
    </w:rPr>
  </w:style>
  <w:style w:type="character" w:styleId="Hyperlink">
    <w:name w:val="Hyperlink"/>
    <w:basedOn w:val="DefaultParagraphFont"/>
    <w:uiPriority w:val="99"/>
    <w:unhideWhenUsed w:val="1"/>
    <w:rsid w:val="00C666CD"/>
    <w:rPr>
      <w:color w:val="467886" w:themeColor="hyperlink"/>
      <w:u w:val="single"/>
    </w:rPr>
  </w:style>
  <w:style w:type="character" w:styleId="UnresolvedMention">
    <w:name w:val="Unresolved Mention"/>
    <w:basedOn w:val="DefaultParagraphFont"/>
    <w:uiPriority w:val="99"/>
    <w:semiHidden w:val="1"/>
    <w:unhideWhenUsed w:val="1"/>
    <w:rsid w:val="00C666C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taylorfrancis.com/rrorw/?context=rror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mdi1Pbw9AC+JD5J7xZPgKOE6A==">CgMxLjA4AHIhMXd6U3lxYmlVVktvX2JLeFpJZU9IOTVTUlFtYkw4a3c1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2024-07-30T20:26:00Z</dcterms:created>
  <dc:creator>Gray, Alyssa</dc:creator>
</cp:coreProperties>
</file>