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Pruebas Funcionales de Caja Negra</w:t>
      </w:r>
    </w:p>
    <w:p>
      <w:pPr>
        <w:jc w:val="center"/>
      </w:pPr>
      <w:r>
        <w:rPr>
          <w:color w:val="2F5496"/>
          <w:sz w:val="24"/>
        </w:rPr>
        <w:t>Módulo Ventas/Informes — Odoo 19.0 (sale.report)</w:t>
        <w:br/>
        <w:t>Particiones de Equivalencia · Valor Límite · Tablas de Decisión (3 fases)</w:t>
        <w:br/>
        <w:t>Cypress 15.18.0 — 30 de Junio de 2026</w:t>
      </w:r>
    </w:p>
    <w:p/>
    <w:tbl>
      <w:tblPr>
        <w:tblStyle w:val="LightShading-Accent1"/>
        <w:tblW w:type="auto" w:w="0"/>
        <w:tblLook w:firstColumn="1" w:firstRow="1" w:lastColumn="0" w:lastRow="0" w:noHBand="0" w:noVBand="1" w:val="04A0"/>
      </w:tblPr>
      <w:tblGrid>
        <w:gridCol w:w="7569"/>
        <w:gridCol w:w="7569"/>
      </w:tblGrid>
      <w:tr>
        <w:tc>
          <w:tcPr>
            <w:tcW w:type="dxa" w:w="7569"/>
          </w:tcPr>
          <w:p>
            <w:r>
              <w:rPr>
                <w:sz w:val="20"/>
              </w:rPr>
              <w:t>Proyecto</w:t>
            </w:r>
          </w:p>
        </w:tc>
        <w:tc>
          <w:tcPr>
            <w:tcW w:type="dxa" w:w="7569"/>
          </w:tcPr>
          <w:p>
            <w:r>
              <w:rPr>
                <w:sz w:val="20"/>
              </w:rPr>
              <w:t>Odoo 19.0 — Sales Analysis Report (sale.report)</w:t>
            </w:r>
          </w:p>
        </w:tc>
      </w:tr>
      <w:tr>
        <w:tc>
          <w:tcPr>
            <w:tcW w:type="dxa" w:w="7569"/>
          </w:tcPr>
          <w:p>
            <w:r>
              <w:rPr>
                <w:sz w:val="20"/>
              </w:rPr>
              <w:t>Técnicas Aplicadas</w:t>
            </w:r>
          </w:p>
        </w:tc>
        <w:tc>
          <w:tcPr>
            <w:tcW w:type="dxa" w:w="7569"/>
          </w:tcPr>
          <w:p>
            <w:r>
              <w:rPr>
                <w:sz w:val="20"/>
              </w:rPr>
              <w:t>PE, AVL, Tablas de Decisión (3 fases)</w:t>
            </w:r>
          </w:p>
        </w:tc>
      </w:tr>
      <w:tr>
        <w:tc>
          <w:tcPr>
            <w:tcW w:type="dxa" w:w="7569"/>
          </w:tcPr>
          <w:p>
            <w:r>
              <w:rPr>
                <w:sz w:val="20"/>
              </w:rPr>
              <w:t>Historias de Usuario</w:t>
            </w:r>
          </w:p>
        </w:tc>
        <w:tc>
          <w:tcPr>
            <w:tcW w:type="dxa" w:w="7569"/>
          </w:tcPr>
          <w:p>
            <w:r>
              <w:rPr>
                <w:sz w:val="20"/>
              </w:rPr>
              <w:t>RHU02 (Búsqueda), RHU03 (Filtros), RHU04 (Favoritos), RHU06 (Exportación XLSX)</w:t>
            </w:r>
          </w:p>
        </w:tc>
      </w:tr>
      <w:tr>
        <w:tc>
          <w:tcPr>
            <w:tcW w:type="dxa" w:w="7569"/>
          </w:tcPr>
          <w:p>
            <w:r>
              <w:rPr>
                <w:sz w:val="20"/>
              </w:rPr>
              <w:t>Herramienta</w:t>
            </w:r>
          </w:p>
        </w:tc>
        <w:tc>
          <w:tcPr>
            <w:tcW w:type="dxa" w:w="7569"/>
          </w:tcPr>
          <w:p>
            <w:r>
              <w:rPr>
                <w:sz w:val="20"/>
              </w:rPr>
              <w:t>Cypress 15.18.0 (JavaScript/Node.js)</w:t>
            </w:r>
          </w:p>
        </w:tc>
      </w:tr>
      <w:tr>
        <w:tc>
          <w:tcPr>
            <w:tcW w:type="dxa" w:w="7569"/>
          </w:tcPr>
          <w:p>
            <w:r>
              <w:rPr>
                <w:sz w:val="20"/>
              </w:rPr>
              <w:t>Fecha de Ejecución</w:t>
            </w:r>
          </w:p>
        </w:tc>
        <w:tc>
          <w:tcPr>
            <w:tcW w:type="dxa" w:w="7569"/>
          </w:tcPr>
          <w:p>
            <w:r>
              <w:rPr>
                <w:sz w:val="20"/>
              </w:rPr>
              <w:t>30-Jun-2026</w:t>
            </w:r>
          </w:p>
        </w:tc>
      </w:tr>
      <w:tr>
        <w:tc>
          <w:tcPr>
            <w:tcW w:type="dxa" w:w="7569"/>
          </w:tcPr>
          <w:p>
            <w:r>
              <w:rPr>
                <w:sz w:val="20"/>
              </w:rPr>
              <w:t>Ejecutado por</w:t>
            </w:r>
          </w:p>
        </w:tc>
        <w:tc>
          <w:tcPr>
            <w:tcW w:type="dxa" w:w="7569"/>
          </w:tcPr>
          <w:p>
            <w:r>
              <w:rPr>
                <w:sz w:val="20"/>
              </w:rPr>
              <w:t>QA Automation Lead</w:t>
            </w:r>
          </w:p>
        </w:tc>
      </w:tr>
    </w:tbl>
    <w:p>
      <w:r>
        <w:br w:type="page"/>
      </w:r>
    </w:p>
    <w:p>
      <w:pPr>
        <w:pStyle w:val="Heading1"/>
      </w:pPr>
      <w:r>
        <w:t>1. Matriz de Requerimientos de Pruebas (MRP)</w:t>
      </w:r>
    </w:p>
    <w:tbl>
      <w:tblPr>
        <w:tblStyle w:val="LightGrid-Accent1"/>
        <w:tblW w:type="auto" w:w="0"/>
        <w:jc w:val="center"/>
        <w:tblLook w:firstColumn="1" w:firstRow="1" w:lastColumn="0" w:lastRow="0" w:noHBand="0" w:noVBand="1" w:val="04A0"/>
      </w:tblPr>
      <w:tblGrid>
        <w:gridCol w:w="2523"/>
        <w:gridCol w:w="2523"/>
        <w:gridCol w:w="2523"/>
        <w:gridCol w:w="2523"/>
        <w:gridCol w:w="2523"/>
        <w:gridCol w:w="2523"/>
      </w:tblGrid>
      <w:tr>
        <w:tc>
          <w:tcPr>
            <w:tcW w:type="dxa" w:w="2523"/>
            <w:shd w:val="clear" w:color="auto" w:fill="2F5496"/>
          </w:tcPr>
          <w:p>
            <w:pPr>
              <w:jc w:val="center"/>
            </w:pPr>
            <w:r>
              <w:rPr>
                <w:b/>
                <w:color w:val="FFFFFF"/>
                <w:sz w:val="18"/>
              </w:rPr>
              <w:t>ID_Caso</w:t>
            </w:r>
          </w:p>
        </w:tc>
        <w:tc>
          <w:tcPr>
            <w:tcW w:type="dxa" w:w="2523"/>
            <w:shd w:val="clear" w:color="auto" w:fill="2F5496"/>
          </w:tcPr>
          <w:p>
            <w:pPr>
              <w:jc w:val="center"/>
            </w:pPr>
            <w:r>
              <w:rPr>
                <w:b/>
                <w:color w:val="FFFFFF"/>
                <w:sz w:val="18"/>
              </w:rPr>
              <w:t>ID_Req</w:t>
            </w:r>
          </w:p>
        </w:tc>
        <w:tc>
          <w:tcPr>
            <w:tcW w:type="dxa" w:w="2523"/>
            <w:shd w:val="clear" w:color="auto" w:fill="2F5496"/>
          </w:tcPr>
          <w:p>
            <w:pPr>
              <w:jc w:val="center"/>
            </w:pPr>
            <w:r>
              <w:rPr>
                <w:b/>
                <w:color w:val="FFFFFF"/>
                <w:sz w:val="18"/>
              </w:rPr>
              <w:t>Nombre de Prueba</w:t>
            </w:r>
          </w:p>
        </w:tc>
        <w:tc>
          <w:tcPr>
            <w:tcW w:type="dxa" w:w="2523"/>
            <w:shd w:val="clear" w:color="auto" w:fill="2F5496"/>
          </w:tcPr>
          <w:p>
            <w:pPr>
              <w:jc w:val="center"/>
            </w:pPr>
            <w:r>
              <w:rPr>
                <w:b/>
                <w:color w:val="FFFFFF"/>
                <w:sz w:val="18"/>
              </w:rPr>
              <w:t>Técnica</w:t>
            </w:r>
          </w:p>
        </w:tc>
        <w:tc>
          <w:tcPr>
            <w:tcW w:type="dxa" w:w="2523"/>
            <w:shd w:val="clear" w:color="auto" w:fill="2F5496"/>
          </w:tcPr>
          <w:p>
            <w:pPr>
              <w:jc w:val="center"/>
            </w:pPr>
            <w:r>
              <w:rPr>
                <w:b/>
                <w:color w:val="FFFFFF"/>
                <w:sz w:val="18"/>
              </w:rPr>
              <w:t>Datos de Entrada</w:t>
            </w:r>
          </w:p>
        </w:tc>
        <w:tc>
          <w:tcPr>
            <w:tcW w:type="dxa" w:w="2523"/>
            <w:shd w:val="clear" w:color="auto" w:fill="2F5496"/>
          </w:tcPr>
          <w:p>
            <w:pPr>
              <w:jc w:val="center"/>
            </w:pPr>
            <w:r>
              <w:rPr>
                <w:b/>
                <w:color w:val="FFFFFF"/>
                <w:sz w:val="18"/>
              </w:rPr>
              <w:t>Resultado Esperado</w:t>
            </w:r>
          </w:p>
        </w:tc>
      </w:tr>
      <w:tr>
        <w:tc>
          <w:tcPr>
            <w:tcW w:type="dxa" w:w="2523"/>
          </w:tcPr>
          <w:p>
            <w:pPr>
              <w:jc w:val="center"/>
            </w:pPr>
            <w:r>
              <w:rPr>
                <w:sz w:val="17"/>
              </w:rPr>
              <w:t>CP01</w:t>
            </w:r>
          </w:p>
        </w:tc>
        <w:tc>
          <w:tcPr>
            <w:tcW w:type="dxa" w:w="2523"/>
          </w:tcPr>
          <w:p>
            <w:pPr>
              <w:jc w:val="center"/>
            </w:pPr>
            <w:r>
              <w:rPr>
                <w:sz w:val="17"/>
              </w:rPr>
              <w:t>RHU02</w:t>
            </w:r>
          </w:p>
        </w:tc>
        <w:tc>
          <w:tcPr>
            <w:tcW w:type="dxa" w:w="2523"/>
          </w:tcPr>
          <w:p>
            <w:pPr>
              <w:jc w:val="center"/>
            </w:pPr>
            <w:r>
              <w:rPr>
                <w:sz w:val="17"/>
              </w:rPr>
              <w:t>Búsqueda "Adm" + 3 medidas</w:t>
            </w:r>
          </w:p>
        </w:tc>
        <w:tc>
          <w:tcPr>
            <w:tcW w:type="dxa" w:w="2523"/>
          </w:tcPr>
          <w:p>
            <w:pPr>
              <w:jc w:val="center"/>
            </w:pPr>
            <w:r>
              <w:rPr>
                <w:sz w:val="17"/>
              </w:rPr>
              <w:t>PE (CE-V14, CE-V10) + AVL</w:t>
            </w:r>
          </w:p>
        </w:tc>
        <w:tc>
          <w:tcPr>
            <w:tcW w:type="dxa" w:w="2523"/>
          </w:tcPr>
          <w:p>
            <w:pPr>
              <w:jc w:val="center"/>
            </w:pPr>
            <w:r>
              <w:rPr>
                <w:sz w:val="17"/>
              </w:rPr>
              <w:t>Texto="Adm", Medidas=[product_uom_qty,price_subtotal,nbr]</w:t>
            </w:r>
          </w:p>
        </w:tc>
        <w:tc>
          <w:tcPr>
            <w:tcW w:type="dxa" w:w="2523"/>
          </w:tcPr>
          <w:p>
            <w:pPr>
              <w:jc w:val="center"/>
            </w:pPr>
            <w:r>
              <w:rPr>
                <w:sz w:val="17"/>
              </w:rPr>
              <w:t>Tabla filtrada por Administrator, 3 columnas de medida visibles</w:t>
            </w:r>
          </w:p>
        </w:tc>
      </w:tr>
      <w:tr>
        <w:tc>
          <w:tcPr>
            <w:tcW w:type="dxa" w:w="2523"/>
          </w:tcPr>
          <w:p>
            <w:pPr>
              <w:jc w:val="center"/>
            </w:pPr>
            <w:r>
              <w:rPr>
                <w:sz w:val="17"/>
              </w:rPr>
              <w:t>CP02</w:t>
            </w:r>
          </w:p>
        </w:tc>
        <w:tc>
          <w:tcPr>
            <w:tcW w:type="dxa" w:w="2523"/>
          </w:tcPr>
          <w:p>
            <w:pPr>
              <w:jc w:val="center"/>
            </w:pPr>
            <w:r>
              <w:rPr>
                <w:sz w:val="17"/>
              </w:rPr>
              <w:t>RHU03</w:t>
            </w:r>
          </w:p>
        </w:tc>
        <w:tc>
          <w:tcPr>
            <w:tcW w:type="dxa" w:w="2523"/>
          </w:tcPr>
          <w:p>
            <w:pPr>
              <w:jc w:val="center"/>
            </w:pPr>
            <w:r>
              <w:rPr>
                <w:sz w:val="17"/>
              </w:rPr>
              <w:t>Quotations + Last 365 Days + groupBy mensual</w:t>
            </w:r>
          </w:p>
        </w:tc>
        <w:tc>
          <w:tcPr>
            <w:tcW w:type="dxa" w:w="2523"/>
          </w:tcPr>
          <w:p>
            <w:pPr>
              <w:jc w:val="center"/>
            </w:pPr>
            <w:r>
              <w:rPr>
                <w:sz w:val="17"/>
              </w:rPr>
              <w:t>PE (CE-V18, CE-V26, CE-V29)</w:t>
            </w:r>
          </w:p>
        </w:tc>
        <w:tc>
          <w:tcPr>
            <w:tcW w:type="dxa" w:w="2523"/>
          </w:tcPr>
          <w:p>
            <w:pPr>
              <w:jc w:val="center"/>
            </w:pPr>
            <w:r>
              <w:rPr>
                <w:sz w:val="17"/>
              </w:rPr>
              <w:t>Filtros=[Quotations,Last 365 Days], GroupBy=date:month</w:t>
            </w:r>
          </w:p>
        </w:tc>
        <w:tc>
          <w:tcPr>
            <w:tcW w:type="dxa" w:w="2523"/>
          </w:tcPr>
          <w:p>
            <w:pPr>
              <w:jc w:val="center"/>
            </w:pPr>
            <w:r>
              <w:rPr>
                <w:sz w:val="17"/>
              </w:rPr>
              <w:t>Cotizaciones último año, agrupadas por mes</w:t>
            </w:r>
          </w:p>
        </w:tc>
      </w:tr>
      <w:tr>
        <w:tc>
          <w:tcPr>
            <w:tcW w:type="dxa" w:w="2523"/>
          </w:tcPr>
          <w:p>
            <w:pPr>
              <w:jc w:val="center"/>
            </w:pPr>
            <w:r>
              <w:rPr>
                <w:sz w:val="17"/>
              </w:rPr>
              <w:t>CP03</w:t>
            </w:r>
          </w:p>
        </w:tc>
        <w:tc>
          <w:tcPr>
            <w:tcW w:type="dxa" w:w="2523"/>
          </w:tcPr>
          <w:p>
            <w:pPr>
              <w:jc w:val="center"/>
            </w:pPr>
            <w:r>
              <w:rPr>
                <w:sz w:val="17"/>
              </w:rPr>
              <w:t>RHU04</w:t>
            </w:r>
          </w:p>
        </w:tc>
        <w:tc>
          <w:tcPr>
            <w:tcW w:type="dxa" w:w="2523"/>
          </w:tcPr>
          <w:p>
            <w:pPr>
              <w:jc w:val="center"/>
            </w:pPr>
            <w:r>
              <w:rPr>
                <w:sz w:val="17"/>
              </w:rPr>
              <w:t>Guardar favorito privado con filtros</w:t>
            </w:r>
          </w:p>
        </w:tc>
        <w:tc>
          <w:tcPr>
            <w:tcW w:type="dxa" w:w="2523"/>
          </w:tcPr>
          <w:p>
            <w:pPr>
              <w:jc w:val="center"/>
            </w:pPr>
            <w:r>
              <w:rPr>
                <w:sz w:val="17"/>
              </w:rPr>
              <w:t>TD (Regla R2)</w:t>
            </w:r>
          </w:p>
        </w:tc>
        <w:tc>
          <w:tcPr>
            <w:tcW w:type="dxa" w:w="2523"/>
          </w:tcPr>
          <w:p>
            <w:pPr>
              <w:jc w:val="center"/>
            </w:pPr>
            <w:r>
              <w:rPr>
                <w:sz w:val="17"/>
              </w:rPr>
              <w:t>Nombre="BB-Test-Priv-XXXX", Tipo=Privado, Filtros=[Quotations]</w:t>
            </w:r>
          </w:p>
        </w:tc>
        <w:tc>
          <w:tcPr>
            <w:tcW w:type="dxa" w:w="2523"/>
          </w:tcPr>
          <w:p>
            <w:pPr>
              <w:jc w:val="center"/>
            </w:pPr>
            <w:r>
              <w:rPr>
                <w:sz w:val="17"/>
              </w:rPr>
              <w:t>Favorito guardado + restaurado al recargar</w:t>
            </w:r>
          </w:p>
        </w:tc>
      </w:tr>
      <w:tr>
        <w:tc>
          <w:tcPr>
            <w:tcW w:type="dxa" w:w="2523"/>
          </w:tcPr>
          <w:p>
            <w:pPr>
              <w:jc w:val="center"/>
            </w:pPr>
            <w:r>
              <w:rPr>
                <w:sz w:val="17"/>
              </w:rPr>
              <w:t>CP04</w:t>
            </w:r>
          </w:p>
        </w:tc>
        <w:tc>
          <w:tcPr>
            <w:tcW w:type="dxa" w:w="2523"/>
          </w:tcPr>
          <w:p>
            <w:pPr>
              <w:jc w:val="center"/>
            </w:pPr>
            <w:r>
              <w:rPr>
                <w:sz w:val="17"/>
              </w:rPr>
              <w:t>RHU06</w:t>
            </w:r>
          </w:p>
        </w:tc>
        <w:tc>
          <w:tcPr>
            <w:tcW w:type="dxa" w:w="2523"/>
          </w:tcPr>
          <w:p>
            <w:pPr>
              <w:jc w:val="center"/>
            </w:pPr>
            <w:r>
              <w:rPr>
                <w:sz w:val="17"/>
              </w:rPr>
              <w:t>Exportación XLSX con múltiples medidas</w:t>
            </w:r>
          </w:p>
        </w:tc>
        <w:tc>
          <w:tcPr>
            <w:tcW w:type="dxa" w:w="2523"/>
          </w:tcPr>
          <w:p>
            <w:pPr>
              <w:jc w:val="center"/>
            </w:pPr>
            <w:r>
              <w:rPr>
                <w:sz w:val="17"/>
              </w:rPr>
              <w:t>TD (Regla R1)</w:t>
            </w:r>
          </w:p>
        </w:tc>
        <w:tc>
          <w:tcPr>
            <w:tcW w:type="dxa" w:w="2523"/>
          </w:tcPr>
          <w:p>
            <w:pPr>
              <w:jc w:val="center"/>
            </w:pPr>
            <w:r>
              <w:rPr>
                <w:sz w:val="17"/>
              </w:rPr>
              <w:t>Medidas=[product_uom_qty,price_subtotal,nbr]</w:t>
            </w:r>
          </w:p>
        </w:tc>
        <w:tc>
          <w:tcPr>
            <w:tcW w:type="dxa" w:w="2523"/>
          </w:tcPr>
          <w:p>
            <w:pPr>
              <w:jc w:val="center"/>
            </w:pPr>
            <w:r>
              <w:rPr>
                <w:sz w:val="17"/>
              </w:rPr>
              <w:t>Archivo XLSX descargado con estructura correcta</w:t>
            </w:r>
          </w:p>
        </w:tc>
      </w:tr>
      <w:tr>
        <w:tc>
          <w:tcPr>
            <w:tcW w:type="dxa" w:w="2523"/>
          </w:tcPr>
          <w:p>
            <w:pPr>
              <w:jc w:val="center"/>
            </w:pPr>
            <w:r>
              <w:rPr>
                <w:sz w:val="17"/>
              </w:rPr>
              <w:t>CP05</w:t>
            </w:r>
          </w:p>
        </w:tc>
        <w:tc>
          <w:tcPr>
            <w:tcW w:type="dxa" w:w="2523"/>
          </w:tcPr>
          <w:p>
            <w:pPr>
              <w:jc w:val="center"/>
            </w:pPr>
            <w:r>
              <w:rPr>
                <w:sz w:val="17"/>
              </w:rPr>
              <w:t>RHU02</w:t>
            </w:r>
          </w:p>
        </w:tc>
        <w:tc>
          <w:tcPr>
            <w:tcW w:type="dxa" w:w="2523"/>
          </w:tcPr>
          <w:p>
            <w:pPr>
              <w:jc w:val="center"/>
            </w:pPr>
            <w:r>
              <w:rPr>
                <w:sz w:val="17"/>
              </w:rPr>
              <w:t>Búsqueda cadena vacía</w:t>
            </w:r>
          </w:p>
        </w:tc>
        <w:tc>
          <w:tcPr>
            <w:tcW w:type="dxa" w:w="2523"/>
          </w:tcPr>
          <w:p>
            <w:pPr>
              <w:jc w:val="center"/>
            </w:pPr>
            <w:r>
              <w:rPr>
                <w:sz w:val="17"/>
              </w:rPr>
              <w:t>AVL (frontera 0 chars)</w:t>
            </w:r>
          </w:p>
        </w:tc>
        <w:tc>
          <w:tcPr>
            <w:tcW w:type="dxa" w:w="2523"/>
          </w:tcPr>
          <w:p>
            <w:pPr>
              <w:jc w:val="center"/>
            </w:pPr>
            <w:r>
              <w:rPr>
                <w:sz w:val="17"/>
              </w:rPr>
              <w:t>Texto=""</w:t>
            </w:r>
          </w:p>
        </w:tc>
        <w:tc>
          <w:tcPr>
            <w:tcW w:type="dxa" w:w="2523"/>
          </w:tcPr>
          <w:p>
            <w:pPr>
              <w:jc w:val="center"/>
            </w:pPr>
            <w:r>
              <w:rPr>
                <w:sz w:val="17"/>
              </w:rPr>
              <w:t>Todos los registros visibles</w:t>
            </w:r>
          </w:p>
        </w:tc>
      </w:tr>
      <w:tr>
        <w:tc>
          <w:tcPr>
            <w:tcW w:type="dxa" w:w="2523"/>
          </w:tcPr>
          <w:p>
            <w:pPr>
              <w:jc w:val="center"/>
            </w:pPr>
            <w:r>
              <w:rPr>
                <w:sz w:val="17"/>
              </w:rPr>
              <w:t>CP06</w:t>
            </w:r>
          </w:p>
        </w:tc>
        <w:tc>
          <w:tcPr>
            <w:tcW w:type="dxa" w:w="2523"/>
          </w:tcPr>
          <w:p>
            <w:pPr>
              <w:jc w:val="center"/>
            </w:pPr>
            <w:r>
              <w:rPr>
                <w:sz w:val="17"/>
              </w:rPr>
              <w:t>RHU02</w:t>
            </w:r>
          </w:p>
        </w:tc>
        <w:tc>
          <w:tcPr>
            <w:tcW w:type="dxa" w:w="2523"/>
          </w:tcPr>
          <w:p>
            <w:pPr>
              <w:jc w:val="center"/>
            </w:pPr>
            <w:r>
              <w:rPr>
                <w:sz w:val="17"/>
              </w:rPr>
              <w:t>Búsqueda 1 carácter</w:t>
            </w:r>
          </w:p>
        </w:tc>
        <w:tc>
          <w:tcPr>
            <w:tcW w:type="dxa" w:w="2523"/>
          </w:tcPr>
          <w:p>
            <w:pPr>
              <w:jc w:val="center"/>
            </w:pPr>
            <w:r>
              <w:rPr>
                <w:sz w:val="17"/>
              </w:rPr>
              <w:t>PE (CE-V2) + AVL</w:t>
            </w:r>
          </w:p>
        </w:tc>
        <w:tc>
          <w:tcPr>
            <w:tcW w:type="dxa" w:w="2523"/>
          </w:tcPr>
          <w:p>
            <w:pPr>
              <w:jc w:val="center"/>
            </w:pPr>
            <w:r>
              <w:rPr>
                <w:sz w:val="17"/>
              </w:rPr>
              <w:t>Texto="a"</w:t>
            </w:r>
          </w:p>
        </w:tc>
        <w:tc>
          <w:tcPr>
            <w:tcW w:type="dxa" w:w="2523"/>
          </w:tcPr>
          <w:p>
            <w:pPr>
              <w:jc w:val="center"/>
            </w:pPr>
            <w:r>
              <w:rPr>
                <w:sz w:val="17"/>
              </w:rPr>
              <w:t>Filtro activo con 1 carácter</w:t>
            </w:r>
          </w:p>
        </w:tc>
      </w:tr>
      <w:tr>
        <w:tc>
          <w:tcPr>
            <w:tcW w:type="dxa" w:w="2523"/>
          </w:tcPr>
          <w:p>
            <w:pPr>
              <w:jc w:val="center"/>
            </w:pPr>
            <w:r>
              <w:rPr>
                <w:sz w:val="17"/>
              </w:rPr>
              <w:t>CP07</w:t>
            </w:r>
          </w:p>
        </w:tc>
        <w:tc>
          <w:tcPr>
            <w:tcW w:type="dxa" w:w="2523"/>
          </w:tcPr>
          <w:p>
            <w:pPr>
              <w:jc w:val="center"/>
            </w:pPr>
            <w:r>
              <w:rPr>
                <w:sz w:val="17"/>
              </w:rPr>
              <w:t>RHU02</w:t>
            </w:r>
          </w:p>
        </w:tc>
        <w:tc>
          <w:tcPr>
            <w:tcW w:type="dxa" w:w="2523"/>
          </w:tcPr>
          <w:p>
            <w:pPr>
              <w:jc w:val="center"/>
            </w:pPr>
            <w:r>
              <w:rPr>
                <w:sz w:val="17"/>
              </w:rPr>
              <w:t>Búsqueda caracteres especiales</w:t>
            </w:r>
          </w:p>
        </w:tc>
        <w:tc>
          <w:tcPr>
            <w:tcW w:type="dxa" w:w="2523"/>
          </w:tcPr>
          <w:p>
            <w:pPr>
              <w:jc w:val="center"/>
            </w:pPr>
            <w:r>
              <w:rPr>
                <w:sz w:val="17"/>
              </w:rPr>
              <w:t>PE (CE-V5)</w:t>
            </w:r>
          </w:p>
        </w:tc>
        <w:tc>
          <w:tcPr>
            <w:tcW w:type="dxa" w:w="2523"/>
          </w:tcPr>
          <w:p>
            <w:pPr>
              <w:jc w:val="center"/>
            </w:pPr>
            <w:r>
              <w:rPr>
                <w:sz w:val="17"/>
              </w:rPr>
              <w:t>Texto="!@#$%"</w:t>
            </w:r>
          </w:p>
        </w:tc>
        <w:tc>
          <w:tcPr>
            <w:tcW w:type="dxa" w:w="2523"/>
          </w:tcPr>
          <w:p>
            <w:pPr>
              <w:jc w:val="center"/>
            </w:pPr>
            <w:r>
              <w:rPr>
                <w:sz w:val="17"/>
              </w:rPr>
              <w:t>Búsqueda literal, sin errores</w:t>
            </w:r>
          </w:p>
        </w:tc>
      </w:tr>
      <w:tr>
        <w:tc>
          <w:tcPr>
            <w:tcW w:type="dxa" w:w="2523"/>
          </w:tcPr>
          <w:p>
            <w:pPr>
              <w:jc w:val="center"/>
            </w:pPr>
            <w:r>
              <w:rPr>
                <w:sz w:val="17"/>
              </w:rPr>
              <w:t>CP08</w:t>
            </w:r>
          </w:p>
        </w:tc>
        <w:tc>
          <w:tcPr>
            <w:tcW w:type="dxa" w:w="2523"/>
          </w:tcPr>
          <w:p>
            <w:pPr>
              <w:jc w:val="center"/>
            </w:pPr>
            <w:r>
              <w:rPr>
                <w:sz w:val="17"/>
              </w:rPr>
              <w:t>RHU02</w:t>
            </w:r>
          </w:p>
        </w:tc>
        <w:tc>
          <w:tcPr>
            <w:tcW w:type="dxa" w:w="2523"/>
          </w:tcPr>
          <w:p>
            <w:pPr>
              <w:jc w:val="center"/>
            </w:pPr>
            <w:r>
              <w:rPr>
                <w:sz w:val="17"/>
              </w:rPr>
              <w:t>Búsqueda Unicode</w:t>
            </w:r>
          </w:p>
        </w:tc>
        <w:tc>
          <w:tcPr>
            <w:tcW w:type="dxa" w:w="2523"/>
          </w:tcPr>
          <w:p>
            <w:pPr>
              <w:jc w:val="center"/>
            </w:pPr>
            <w:r>
              <w:rPr>
                <w:sz w:val="17"/>
              </w:rPr>
              <w:t>PE (CE-V6)</w:t>
            </w:r>
          </w:p>
        </w:tc>
        <w:tc>
          <w:tcPr>
            <w:tcW w:type="dxa" w:w="2523"/>
          </w:tcPr>
          <w:p>
            <w:pPr>
              <w:jc w:val="center"/>
            </w:pPr>
            <w:r>
              <w:rPr>
                <w:sz w:val="17"/>
              </w:rPr>
              <w:t>Texto="José Martínez"</w:t>
            </w:r>
          </w:p>
        </w:tc>
        <w:tc>
          <w:tcPr>
            <w:tcW w:type="dxa" w:w="2523"/>
          </w:tcPr>
          <w:p>
            <w:pPr>
              <w:jc w:val="center"/>
            </w:pPr>
            <w:r>
              <w:rPr>
                <w:sz w:val="17"/>
              </w:rPr>
              <w:t>Búsqueda con acentos, sin errores</w:t>
            </w:r>
          </w:p>
        </w:tc>
      </w:tr>
      <w:tr>
        <w:tc>
          <w:tcPr>
            <w:tcW w:type="dxa" w:w="2523"/>
          </w:tcPr>
          <w:p>
            <w:pPr>
              <w:jc w:val="center"/>
            </w:pPr>
            <w:r>
              <w:rPr>
                <w:sz w:val="17"/>
              </w:rPr>
              <w:t>CP09</w:t>
            </w:r>
          </w:p>
        </w:tc>
        <w:tc>
          <w:tcPr>
            <w:tcW w:type="dxa" w:w="2523"/>
          </w:tcPr>
          <w:p>
            <w:pPr>
              <w:jc w:val="center"/>
            </w:pPr>
            <w:r>
              <w:rPr>
                <w:sz w:val="17"/>
              </w:rPr>
              <w:t>RHU02</w:t>
            </w:r>
          </w:p>
        </w:tc>
        <w:tc>
          <w:tcPr>
            <w:tcW w:type="dxa" w:w="2523"/>
          </w:tcPr>
          <w:p>
            <w:pPr>
              <w:jc w:val="center"/>
            </w:pPr>
            <w:r>
              <w:rPr>
                <w:sz w:val="17"/>
              </w:rPr>
              <w:t>Alternancia de medidas</w:t>
            </w:r>
          </w:p>
        </w:tc>
        <w:tc>
          <w:tcPr>
            <w:tcW w:type="dxa" w:w="2523"/>
          </w:tcPr>
          <w:p>
            <w:pPr>
              <w:jc w:val="center"/>
            </w:pPr>
            <w:r>
              <w:rPr>
                <w:sz w:val="17"/>
              </w:rPr>
              <w:t>PE (CE-V12)</w:t>
            </w:r>
          </w:p>
        </w:tc>
        <w:tc>
          <w:tcPr>
            <w:tcW w:type="dxa" w:w="2523"/>
          </w:tcPr>
          <w:p>
            <w:pPr>
              <w:jc w:val="center"/>
            </w:pPr>
            <w:r>
              <w:rPr>
                <w:sz w:val="17"/>
              </w:rPr>
              <w:t>toggle(product_uom_qty), toggle(price_subtotal)</w:t>
            </w:r>
          </w:p>
        </w:tc>
        <w:tc>
          <w:tcPr>
            <w:tcW w:type="dxa" w:w="2523"/>
          </w:tcPr>
          <w:p>
            <w:pPr>
              <w:jc w:val="center"/>
            </w:pPr>
            <w:r>
              <w:rPr>
                <w:sz w:val="17"/>
              </w:rPr>
              <w:t>Medidas agregadas/removidas dinámicamente</w:t>
            </w:r>
          </w:p>
        </w:tc>
      </w:tr>
      <w:tr>
        <w:tc>
          <w:tcPr>
            <w:tcW w:type="dxa" w:w="2523"/>
          </w:tcPr>
          <w:p>
            <w:pPr>
              <w:jc w:val="center"/>
            </w:pPr>
            <w:r>
              <w:rPr>
                <w:sz w:val="17"/>
              </w:rPr>
              <w:t>CP10</w:t>
            </w:r>
          </w:p>
        </w:tc>
        <w:tc>
          <w:tcPr>
            <w:tcW w:type="dxa" w:w="2523"/>
          </w:tcPr>
          <w:p>
            <w:pPr>
              <w:jc w:val="center"/>
            </w:pPr>
            <w:r>
              <w:rPr>
                <w:sz w:val="17"/>
              </w:rPr>
              <w:t>RHU02</w:t>
            </w:r>
          </w:p>
        </w:tc>
        <w:tc>
          <w:tcPr>
            <w:tcW w:type="dxa" w:w="2523"/>
          </w:tcPr>
          <w:p>
            <w:pPr>
              <w:jc w:val="center"/>
            </w:pPr>
            <w:r>
              <w:rPr>
                <w:sz w:val="17"/>
              </w:rPr>
              <w:t>SQL Injection</w:t>
            </w:r>
          </w:p>
        </w:tc>
        <w:tc>
          <w:tcPr>
            <w:tcW w:type="dxa" w:w="2523"/>
          </w:tcPr>
          <w:p>
            <w:pPr>
              <w:jc w:val="center"/>
            </w:pPr>
            <w:r>
              <w:rPr>
                <w:sz w:val="17"/>
              </w:rPr>
              <w:t>PE (CE-I1)</w:t>
            </w:r>
          </w:p>
        </w:tc>
        <w:tc>
          <w:tcPr>
            <w:tcW w:type="dxa" w:w="2523"/>
          </w:tcPr>
          <w:p>
            <w:pPr>
              <w:jc w:val="center"/>
            </w:pPr>
            <w:r>
              <w:rPr>
                <w:sz w:val="17"/>
              </w:rPr>
              <w:t>Texto="' OR 1=1 --"</w:t>
            </w:r>
          </w:p>
        </w:tc>
        <w:tc>
          <w:tcPr>
            <w:tcW w:type="dxa" w:w="2523"/>
          </w:tcPr>
          <w:p>
            <w:pPr>
              <w:jc w:val="center"/>
            </w:pPr>
            <w:r>
              <w:rPr>
                <w:sz w:val="17"/>
              </w:rPr>
              <w:t>ORM sanitiza, búsqueda literal segura</w:t>
            </w:r>
          </w:p>
        </w:tc>
      </w:tr>
      <w:tr>
        <w:tc>
          <w:tcPr>
            <w:tcW w:type="dxa" w:w="2523"/>
          </w:tcPr>
          <w:p>
            <w:pPr>
              <w:jc w:val="center"/>
            </w:pPr>
            <w:r>
              <w:rPr>
                <w:sz w:val="17"/>
              </w:rPr>
              <w:t>CP11</w:t>
            </w:r>
          </w:p>
        </w:tc>
        <w:tc>
          <w:tcPr>
            <w:tcW w:type="dxa" w:w="2523"/>
          </w:tcPr>
          <w:p>
            <w:pPr>
              <w:jc w:val="center"/>
            </w:pPr>
            <w:r>
              <w:rPr>
                <w:sz w:val="17"/>
              </w:rPr>
              <w:t>RHU03</w:t>
            </w:r>
          </w:p>
        </w:tc>
        <w:tc>
          <w:tcPr>
            <w:tcW w:type="dxa" w:w="2523"/>
          </w:tcPr>
          <w:p>
            <w:pPr>
              <w:jc w:val="center"/>
            </w:pPr>
            <w:r>
              <w:rPr>
                <w:sz w:val="17"/>
              </w:rPr>
              <w:t>Toggle filtro individual</w:t>
            </w:r>
          </w:p>
        </w:tc>
        <w:tc>
          <w:tcPr>
            <w:tcW w:type="dxa" w:w="2523"/>
          </w:tcPr>
          <w:p>
            <w:pPr>
              <w:jc w:val="center"/>
            </w:pPr>
            <w:r>
              <w:rPr>
                <w:sz w:val="17"/>
              </w:rPr>
              <w:t>PE (CE-V17)</w:t>
            </w:r>
          </w:p>
        </w:tc>
        <w:tc>
          <w:tcPr>
            <w:tcW w:type="dxa" w:w="2523"/>
          </w:tcPr>
          <w:p>
            <w:pPr>
              <w:jc w:val="center"/>
            </w:pPr>
            <w:r>
              <w:rPr>
                <w:sz w:val="17"/>
              </w:rPr>
              <w:t>Quotations ON luego OFF</w:t>
            </w:r>
          </w:p>
        </w:tc>
        <w:tc>
          <w:tcPr>
            <w:tcW w:type="dxa" w:w="2523"/>
          </w:tcPr>
          <w:p>
            <w:pPr>
              <w:jc w:val="center"/>
            </w:pPr>
            <w:r>
              <w:rPr>
                <w:sz w:val="17"/>
              </w:rPr>
              <w:t>Filtro se activa y desactiva correctamente</w:t>
            </w:r>
          </w:p>
        </w:tc>
      </w:tr>
      <w:tr>
        <w:tc>
          <w:tcPr>
            <w:tcW w:type="dxa" w:w="2523"/>
          </w:tcPr>
          <w:p>
            <w:pPr>
              <w:jc w:val="center"/>
            </w:pPr>
            <w:r>
              <w:rPr>
                <w:sz w:val="17"/>
              </w:rPr>
              <w:t>CP12</w:t>
            </w:r>
          </w:p>
        </w:tc>
        <w:tc>
          <w:tcPr>
            <w:tcW w:type="dxa" w:w="2523"/>
          </w:tcPr>
          <w:p>
            <w:pPr>
              <w:jc w:val="center"/>
            </w:pPr>
            <w:r>
              <w:rPr>
                <w:sz w:val="17"/>
              </w:rPr>
              <w:t>RHU03</w:t>
            </w:r>
          </w:p>
        </w:tc>
        <w:tc>
          <w:tcPr>
            <w:tcW w:type="dxa" w:w="2523"/>
          </w:tcPr>
          <w:p>
            <w:pPr>
              <w:jc w:val="center"/>
            </w:pPr>
            <w:r>
              <w:rPr>
                <w:sz w:val="17"/>
              </w:rPr>
              <w:t>Filtros contradictorios</w:t>
            </w:r>
          </w:p>
        </w:tc>
        <w:tc>
          <w:tcPr>
            <w:tcW w:type="dxa" w:w="2523"/>
          </w:tcPr>
          <w:p>
            <w:pPr>
              <w:jc w:val="center"/>
            </w:pPr>
            <w:r>
              <w:rPr>
                <w:sz w:val="17"/>
              </w:rPr>
              <w:t>AVL</w:t>
            </w:r>
          </w:p>
        </w:tc>
        <w:tc>
          <w:tcPr>
            <w:tcW w:type="dxa" w:w="2523"/>
          </w:tcPr>
          <w:p>
            <w:pPr>
              <w:jc w:val="center"/>
            </w:pPr>
            <w:r>
              <w:rPr>
                <w:sz w:val="17"/>
              </w:rPr>
              <w:t>Quotations AND Sales Orders</w:t>
            </w:r>
          </w:p>
        </w:tc>
        <w:tc>
          <w:tcPr>
            <w:tcW w:type="dxa" w:w="2523"/>
          </w:tcPr>
          <w:p>
            <w:pPr>
              <w:jc w:val="center"/>
            </w:pPr>
            <w:r>
              <w:rPr>
                <w:sz w:val="17"/>
              </w:rPr>
              <w:t>Tabla visible (intersección vacía, sin error)</w:t>
            </w:r>
          </w:p>
        </w:tc>
      </w:tr>
      <w:tr>
        <w:tc>
          <w:tcPr>
            <w:tcW w:type="dxa" w:w="2523"/>
          </w:tcPr>
          <w:p>
            <w:pPr>
              <w:jc w:val="center"/>
            </w:pPr>
            <w:r>
              <w:rPr>
                <w:sz w:val="17"/>
              </w:rPr>
              <w:t>CP13</w:t>
            </w:r>
          </w:p>
        </w:tc>
        <w:tc>
          <w:tcPr>
            <w:tcW w:type="dxa" w:w="2523"/>
          </w:tcPr>
          <w:p>
            <w:pPr>
              <w:jc w:val="center"/>
            </w:pPr>
            <w:r>
              <w:rPr>
                <w:sz w:val="17"/>
              </w:rPr>
              <w:t>RHU03</w:t>
            </w:r>
          </w:p>
        </w:tc>
        <w:tc>
          <w:tcPr>
            <w:tcW w:type="dxa" w:w="2523"/>
          </w:tcPr>
          <w:p>
            <w:pPr>
              <w:jc w:val="center"/>
            </w:pPr>
            <w:r>
              <w:rPr>
                <w:sz w:val="17"/>
              </w:rPr>
              <w:t>Cambio intervalo fecha (5 intervalos)</w:t>
            </w:r>
          </w:p>
        </w:tc>
        <w:tc>
          <w:tcPr>
            <w:tcW w:type="dxa" w:w="2523"/>
          </w:tcPr>
          <w:p>
            <w:pPr>
              <w:jc w:val="center"/>
            </w:pPr>
            <w:r>
              <w:rPr>
                <w:sz w:val="17"/>
              </w:rPr>
              <w:t>PE (CE-V24 a CE-V28)</w:t>
            </w:r>
          </w:p>
        </w:tc>
        <w:tc>
          <w:tcPr>
            <w:tcW w:type="dxa" w:w="2523"/>
          </w:tcPr>
          <w:p>
            <w:pPr>
              <w:jc w:val="center"/>
            </w:pPr>
            <w:r>
              <w:rPr>
                <w:sz w:val="17"/>
              </w:rPr>
              <w:t>year→quarter→month→week→day</w:t>
            </w:r>
          </w:p>
        </w:tc>
        <w:tc>
          <w:tcPr>
            <w:tcW w:type="dxa" w:w="2523"/>
          </w:tcPr>
          <w:p>
            <w:pPr>
              <w:jc w:val="center"/>
            </w:pPr>
            <w:r>
              <w:rPr>
                <w:sz w:val="17"/>
              </w:rPr>
              <w:t>Cada intervalo actualiza la tabla</w:t>
            </w:r>
          </w:p>
        </w:tc>
      </w:tr>
      <w:tr>
        <w:tc>
          <w:tcPr>
            <w:tcW w:type="dxa" w:w="2523"/>
          </w:tcPr>
          <w:p>
            <w:pPr>
              <w:jc w:val="center"/>
            </w:pPr>
            <w:r>
              <w:rPr>
                <w:sz w:val="17"/>
              </w:rPr>
              <w:t>CP14</w:t>
            </w:r>
          </w:p>
        </w:tc>
        <w:tc>
          <w:tcPr>
            <w:tcW w:type="dxa" w:w="2523"/>
          </w:tcPr>
          <w:p>
            <w:pPr>
              <w:jc w:val="center"/>
            </w:pPr>
            <w:r>
              <w:rPr>
                <w:sz w:val="17"/>
              </w:rPr>
              <w:t>RHU03</w:t>
            </w:r>
          </w:p>
        </w:tc>
        <w:tc>
          <w:tcPr>
            <w:tcW w:type="dxa" w:w="2523"/>
          </w:tcPr>
          <w:p>
            <w:pPr>
              <w:jc w:val="center"/>
            </w:pPr>
            <w:r>
              <w:rPr>
                <w:sz w:val="17"/>
              </w:rPr>
              <w:t>Actualización inmediata DOM</w:t>
            </w:r>
          </w:p>
        </w:tc>
        <w:tc>
          <w:tcPr>
            <w:tcW w:type="dxa" w:w="2523"/>
          </w:tcPr>
          <w:p>
            <w:pPr>
              <w:jc w:val="center"/>
            </w:pPr>
            <w:r>
              <w:rPr>
                <w:sz w:val="17"/>
              </w:rPr>
              <w:t>AVL</w:t>
            </w:r>
          </w:p>
        </w:tc>
        <w:tc>
          <w:tcPr>
            <w:tcW w:type="dxa" w:w="2523"/>
          </w:tcPr>
          <w:p>
            <w:pPr>
              <w:jc w:val="center"/>
            </w:pPr>
            <w:r>
              <w:rPr>
                <w:sz w:val="17"/>
              </w:rPr>
              <w:t>Quotations toggle</w:t>
            </w:r>
          </w:p>
        </w:tc>
        <w:tc>
          <w:tcPr>
            <w:tcW w:type="dxa" w:w="2523"/>
          </w:tcPr>
          <w:p>
            <w:pPr>
              <w:jc w:val="center"/>
            </w:pPr>
            <w:r>
              <w:rPr>
                <w:sz w:val="17"/>
              </w:rPr>
              <w:t>DOM refleja cambio en &lt; 5s</w:t>
            </w:r>
          </w:p>
        </w:tc>
      </w:tr>
      <w:tr>
        <w:tc>
          <w:tcPr>
            <w:tcW w:type="dxa" w:w="2523"/>
          </w:tcPr>
          <w:p>
            <w:pPr>
              <w:jc w:val="center"/>
            </w:pPr>
            <w:r>
              <w:rPr>
                <w:sz w:val="17"/>
              </w:rPr>
              <w:t>CP15</w:t>
            </w:r>
          </w:p>
        </w:tc>
        <w:tc>
          <w:tcPr>
            <w:tcW w:type="dxa" w:w="2523"/>
          </w:tcPr>
          <w:p>
            <w:pPr>
              <w:jc w:val="center"/>
            </w:pPr>
            <w:r>
              <w:rPr>
                <w:sz w:val="17"/>
              </w:rPr>
              <w:t>RHU04</w:t>
            </w:r>
          </w:p>
        </w:tc>
        <w:tc>
          <w:tcPr>
            <w:tcW w:type="dxa" w:w="2523"/>
          </w:tcPr>
          <w:p>
            <w:pPr>
              <w:jc w:val="center"/>
            </w:pPr>
            <w:r>
              <w:rPr>
                <w:sz w:val="17"/>
              </w:rPr>
              <w:t>Guardar favorito compartido</w:t>
            </w:r>
          </w:p>
        </w:tc>
        <w:tc>
          <w:tcPr>
            <w:tcW w:type="dxa" w:w="2523"/>
          </w:tcPr>
          <w:p>
            <w:pPr>
              <w:jc w:val="center"/>
            </w:pPr>
            <w:r>
              <w:rPr>
                <w:sz w:val="17"/>
              </w:rPr>
              <w:t>TD (Regla R1)</w:t>
            </w:r>
          </w:p>
        </w:tc>
        <w:tc>
          <w:tcPr>
            <w:tcW w:type="dxa" w:w="2523"/>
          </w:tcPr>
          <w:p>
            <w:pPr>
              <w:jc w:val="center"/>
            </w:pPr>
            <w:r>
              <w:rPr>
                <w:sz w:val="17"/>
              </w:rPr>
              <w:t>Nombre="BB-Test-Shar-XXXX", Tipo=Shared</w:t>
            </w:r>
          </w:p>
        </w:tc>
        <w:tc>
          <w:tcPr>
            <w:tcW w:type="dxa" w:w="2523"/>
          </w:tcPr>
          <w:p>
            <w:pPr>
              <w:jc w:val="center"/>
            </w:pPr>
            <w:r>
              <w:rPr>
                <w:sz w:val="17"/>
              </w:rPr>
              <w:t>Favorito compartido visible para todos</w:t>
            </w:r>
          </w:p>
        </w:tc>
      </w:tr>
      <w:tr>
        <w:tc>
          <w:tcPr>
            <w:tcW w:type="dxa" w:w="2523"/>
          </w:tcPr>
          <w:p>
            <w:pPr>
              <w:jc w:val="center"/>
            </w:pPr>
            <w:r>
              <w:rPr>
                <w:sz w:val="17"/>
              </w:rPr>
              <w:t>CP16</w:t>
            </w:r>
          </w:p>
        </w:tc>
        <w:tc>
          <w:tcPr>
            <w:tcW w:type="dxa" w:w="2523"/>
          </w:tcPr>
          <w:p>
            <w:pPr>
              <w:jc w:val="center"/>
            </w:pPr>
            <w:r>
              <w:rPr>
                <w:sz w:val="17"/>
              </w:rPr>
              <w:t>RHU04</w:t>
            </w:r>
          </w:p>
        </w:tc>
        <w:tc>
          <w:tcPr>
            <w:tcW w:type="dxa" w:w="2523"/>
          </w:tcPr>
          <w:p>
            <w:pPr>
              <w:jc w:val="center"/>
            </w:pPr>
            <w:r>
              <w:rPr>
                <w:sz w:val="17"/>
              </w:rPr>
              <w:t>Error nombre vacío</w:t>
            </w:r>
          </w:p>
        </w:tc>
        <w:tc>
          <w:tcPr>
            <w:tcW w:type="dxa" w:w="2523"/>
          </w:tcPr>
          <w:p>
            <w:pPr>
              <w:jc w:val="center"/>
            </w:pPr>
            <w:r>
              <w:rPr>
                <w:sz w:val="17"/>
              </w:rPr>
              <w:t>TD (Regla R4)</w:t>
            </w:r>
          </w:p>
        </w:tc>
        <w:tc>
          <w:tcPr>
            <w:tcW w:type="dxa" w:w="2523"/>
          </w:tcPr>
          <w:p>
            <w:pPr>
              <w:jc w:val="center"/>
            </w:pPr>
            <w:r>
              <w:rPr>
                <w:sz w:val="17"/>
              </w:rPr>
              <w:t>Nombre=""</w:t>
            </w:r>
          </w:p>
        </w:tc>
        <w:tc>
          <w:tcPr>
            <w:tcW w:type="dxa" w:w="2523"/>
          </w:tcPr>
          <w:p>
            <w:pPr>
              <w:jc w:val="center"/>
            </w:pPr>
            <w:r>
              <w:rPr>
                <w:sz w:val="17"/>
              </w:rPr>
              <w:t>Error "nombre requerido"</w:t>
            </w:r>
          </w:p>
        </w:tc>
      </w:tr>
      <w:tr>
        <w:tc>
          <w:tcPr>
            <w:tcW w:type="dxa" w:w="2523"/>
          </w:tcPr>
          <w:p>
            <w:pPr>
              <w:jc w:val="center"/>
            </w:pPr>
            <w:r>
              <w:rPr>
                <w:sz w:val="17"/>
              </w:rPr>
              <w:t>CP17</w:t>
            </w:r>
          </w:p>
        </w:tc>
        <w:tc>
          <w:tcPr>
            <w:tcW w:type="dxa" w:w="2523"/>
          </w:tcPr>
          <w:p>
            <w:pPr>
              <w:jc w:val="center"/>
            </w:pPr>
            <w:r>
              <w:rPr>
                <w:sz w:val="17"/>
              </w:rPr>
              <w:t>RHU04</w:t>
            </w:r>
          </w:p>
        </w:tc>
        <w:tc>
          <w:tcPr>
            <w:tcW w:type="dxa" w:w="2523"/>
          </w:tcPr>
          <w:p>
            <w:pPr>
              <w:jc w:val="center"/>
            </w:pPr>
            <w:r>
              <w:rPr>
                <w:sz w:val="17"/>
              </w:rPr>
              <w:t>Error nombre &gt; 256 chars</w:t>
            </w:r>
          </w:p>
        </w:tc>
        <w:tc>
          <w:tcPr>
            <w:tcW w:type="dxa" w:w="2523"/>
          </w:tcPr>
          <w:p>
            <w:pPr>
              <w:jc w:val="center"/>
            </w:pPr>
            <w:r>
              <w:rPr>
                <w:sz w:val="17"/>
              </w:rPr>
              <w:t>TD (Regla R3)</w:t>
            </w:r>
          </w:p>
        </w:tc>
        <w:tc>
          <w:tcPr>
            <w:tcW w:type="dxa" w:w="2523"/>
          </w:tcPr>
          <w:p>
            <w:pPr>
              <w:jc w:val="center"/>
            </w:pPr>
            <w:r>
              <w:rPr>
                <w:sz w:val="17"/>
              </w:rPr>
              <w:t>Nombre="A"*257</w:t>
            </w:r>
          </w:p>
        </w:tc>
        <w:tc>
          <w:tcPr>
            <w:tcW w:type="dxa" w:w="2523"/>
          </w:tcPr>
          <w:p>
            <w:pPr>
              <w:jc w:val="center"/>
            </w:pPr>
            <w:r>
              <w:rPr>
                <w:sz w:val="17"/>
              </w:rPr>
              <w:t>Error "nombre muy largo"</w:t>
            </w:r>
          </w:p>
        </w:tc>
      </w:tr>
      <w:tr>
        <w:tc>
          <w:tcPr>
            <w:tcW w:type="dxa" w:w="2523"/>
          </w:tcPr>
          <w:p>
            <w:pPr>
              <w:jc w:val="center"/>
            </w:pPr>
            <w:r>
              <w:rPr>
                <w:sz w:val="17"/>
              </w:rPr>
              <w:t>CP18</w:t>
            </w:r>
          </w:p>
        </w:tc>
        <w:tc>
          <w:tcPr>
            <w:tcW w:type="dxa" w:w="2523"/>
          </w:tcPr>
          <w:p>
            <w:pPr>
              <w:jc w:val="center"/>
            </w:pPr>
            <w:r>
              <w:rPr>
                <w:sz w:val="17"/>
              </w:rPr>
              <w:t>RHU04</w:t>
            </w:r>
          </w:p>
        </w:tc>
        <w:tc>
          <w:tcPr>
            <w:tcW w:type="dxa" w:w="2523"/>
          </w:tcPr>
          <w:p>
            <w:pPr>
              <w:jc w:val="center"/>
            </w:pPr>
            <w:r>
              <w:rPr>
                <w:sz w:val="17"/>
              </w:rPr>
              <w:t>Guardar sin filtros</w:t>
            </w:r>
          </w:p>
        </w:tc>
        <w:tc>
          <w:tcPr>
            <w:tcW w:type="dxa" w:w="2523"/>
          </w:tcPr>
          <w:p>
            <w:pPr>
              <w:jc w:val="center"/>
            </w:pPr>
            <w:r>
              <w:rPr>
                <w:sz w:val="17"/>
              </w:rPr>
              <w:t>TD</w:t>
            </w:r>
          </w:p>
        </w:tc>
        <w:tc>
          <w:tcPr>
            <w:tcW w:type="dxa" w:w="2523"/>
          </w:tcPr>
          <w:p>
            <w:pPr>
              <w:jc w:val="center"/>
            </w:pPr>
            <w:r>
              <w:rPr>
                <w:sz w:val="17"/>
              </w:rPr>
              <w:t>Nombre="BB-Test-Clean-XXXX", Sin filtros</w:t>
            </w:r>
          </w:p>
        </w:tc>
        <w:tc>
          <w:tcPr>
            <w:tcW w:type="dxa" w:w="2523"/>
          </w:tcPr>
          <w:p>
            <w:pPr>
              <w:jc w:val="center"/>
            </w:pPr>
            <w:r>
              <w:rPr>
                <w:sz w:val="17"/>
              </w:rPr>
              <w:t>Favorito guardado y restaurado</w:t>
            </w:r>
          </w:p>
        </w:tc>
      </w:tr>
      <w:tr>
        <w:tc>
          <w:tcPr>
            <w:tcW w:type="dxa" w:w="2523"/>
          </w:tcPr>
          <w:p>
            <w:pPr>
              <w:jc w:val="center"/>
            </w:pPr>
            <w:r>
              <w:rPr>
                <w:sz w:val="17"/>
              </w:rPr>
              <w:t>CP19</w:t>
            </w:r>
          </w:p>
        </w:tc>
        <w:tc>
          <w:tcPr>
            <w:tcW w:type="dxa" w:w="2523"/>
          </w:tcPr>
          <w:p>
            <w:pPr>
              <w:jc w:val="center"/>
            </w:pPr>
            <w:r>
              <w:rPr>
                <w:sz w:val="17"/>
              </w:rPr>
              <w:t>RHU06</w:t>
            </w:r>
          </w:p>
        </w:tc>
        <w:tc>
          <w:tcPr>
            <w:tcW w:type="dxa" w:w="2523"/>
          </w:tcPr>
          <w:p>
            <w:pPr>
              <w:jc w:val="center"/>
            </w:pPr>
            <w:r>
              <w:rPr>
                <w:sz w:val="17"/>
              </w:rPr>
              <w:t>Exportación sin medidas</w:t>
            </w:r>
          </w:p>
        </w:tc>
        <w:tc>
          <w:tcPr>
            <w:tcW w:type="dxa" w:w="2523"/>
          </w:tcPr>
          <w:p>
            <w:pPr>
              <w:jc w:val="center"/>
            </w:pPr>
            <w:r>
              <w:rPr>
                <w:sz w:val="17"/>
              </w:rPr>
              <w:t>TD (Regla R3)</w:t>
            </w:r>
          </w:p>
        </w:tc>
        <w:tc>
          <w:tcPr>
            <w:tcW w:type="dxa" w:w="2523"/>
          </w:tcPr>
          <w:p>
            <w:pPr>
              <w:jc w:val="center"/>
            </w:pPr>
            <w:r>
              <w:rPr>
                <w:sz w:val="17"/>
              </w:rPr>
              <w:t>Sin medidas activas</w:t>
            </w:r>
          </w:p>
        </w:tc>
        <w:tc>
          <w:tcPr>
            <w:tcW w:type="dxa" w:w="2523"/>
          </w:tcPr>
          <w:p>
            <w:pPr>
              <w:jc w:val="center"/>
            </w:pPr>
            <w:r>
              <w:rPr>
                <w:sz w:val="17"/>
              </w:rPr>
              <w:t>Error o botón deshabilitado</w:t>
            </w:r>
          </w:p>
        </w:tc>
      </w:tr>
      <w:tr>
        <w:tc>
          <w:tcPr>
            <w:tcW w:type="dxa" w:w="2523"/>
          </w:tcPr>
          <w:p>
            <w:pPr>
              <w:jc w:val="center"/>
            </w:pPr>
            <w:r>
              <w:rPr>
                <w:sz w:val="17"/>
              </w:rPr>
              <w:t>CP20</w:t>
            </w:r>
          </w:p>
        </w:tc>
        <w:tc>
          <w:tcPr>
            <w:tcW w:type="dxa" w:w="2523"/>
          </w:tcPr>
          <w:p>
            <w:pPr>
              <w:jc w:val="center"/>
            </w:pPr>
            <w:r>
              <w:rPr>
                <w:sz w:val="17"/>
              </w:rPr>
              <w:t>RHU06</w:t>
            </w:r>
          </w:p>
        </w:tc>
        <w:tc>
          <w:tcPr>
            <w:tcW w:type="dxa" w:w="2523"/>
          </w:tcPr>
          <w:p>
            <w:pPr>
              <w:jc w:val="center"/>
            </w:pPr>
            <w:r>
              <w:rPr>
                <w:sz w:val="17"/>
              </w:rPr>
              <w:t>Verificación nombre archivo</w:t>
            </w:r>
          </w:p>
        </w:tc>
        <w:tc>
          <w:tcPr>
            <w:tcW w:type="dxa" w:w="2523"/>
          </w:tcPr>
          <w:p>
            <w:pPr>
              <w:jc w:val="center"/>
            </w:pPr>
            <w:r>
              <w:rPr>
                <w:sz w:val="17"/>
              </w:rPr>
              <w:t>TD</w:t>
            </w:r>
          </w:p>
        </w:tc>
        <w:tc>
          <w:tcPr>
            <w:tcW w:type="dxa" w:w="2523"/>
          </w:tcPr>
          <w:p>
            <w:pPr>
              <w:jc w:val="center"/>
            </w:pPr>
            <w:r>
              <w:rPr>
                <w:sz w:val="17"/>
              </w:rPr>
              <w:t>Clic en Download</w:t>
            </w:r>
          </w:p>
        </w:tc>
        <w:tc>
          <w:tcPr>
            <w:tcW w:type="dxa" w:w="2523"/>
          </w:tcPr>
          <w:p>
            <w:pPr>
              <w:jc w:val="center"/>
            </w:pPr>
            <w:r>
              <w:rPr>
                <w:sz w:val="17"/>
              </w:rPr>
              <w:t>Archivo nombrado "Pivot Sales Analysis (sale.report).xlsx"</w:t>
            </w:r>
          </w:p>
        </w:tc>
      </w:tr>
    </w:tbl>
    <w:p>
      <w:r>
        <w:br w:type="page"/>
      </w:r>
    </w:p>
    <w:p>
      <w:pPr>
        <w:pStyle w:val="Heading1"/>
      </w:pPr>
      <w:r>
        <w:t>2. Reporte de Ejecución</w:t>
      </w:r>
    </w:p>
    <w:tbl>
      <w:tblPr>
        <w:tblStyle w:val="LightGrid-Accent1"/>
        <w:tblW w:type="auto" w:w="0"/>
        <w:jc w:val="center"/>
        <w:tblLook w:firstColumn="1" w:firstRow="1" w:lastColumn="0" w:lastRow="0" w:noHBand="0" w:noVBand="1" w:val="04A0"/>
      </w:tblPr>
      <w:tblGrid>
        <w:gridCol w:w="7569"/>
        <w:gridCol w:w="7569"/>
      </w:tblGrid>
      <w:tr>
        <w:tc>
          <w:tcPr>
            <w:tcW w:type="dxa" w:w="7569"/>
            <w:shd w:val="clear" w:color="auto" w:fill="2F5496"/>
          </w:tcPr>
          <w:p>
            <w:pPr>
              <w:jc w:val="center"/>
            </w:pPr>
            <w:r>
              <w:rPr>
                <w:b/>
                <w:color w:val="FFFFFF"/>
                <w:sz w:val="18"/>
              </w:rPr>
              <w:t>Estado</w:t>
            </w:r>
          </w:p>
        </w:tc>
        <w:tc>
          <w:tcPr>
            <w:tcW w:type="dxa" w:w="7569"/>
            <w:shd w:val="clear" w:color="auto" w:fill="2F5496"/>
          </w:tcPr>
          <w:p>
            <w:pPr>
              <w:jc w:val="center"/>
            </w:pPr>
            <w:r>
              <w:rPr>
                <w:b/>
                <w:color w:val="FFFFFF"/>
                <w:sz w:val="18"/>
              </w:rPr>
              <w:t>Cantidad</w:t>
            </w:r>
          </w:p>
        </w:tc>
      </w:tr>
      <w:tr>
        <w:tc>
          <w:tcPr>
            <w:tcW w:type="dxa" w:w="7569"/>
          </w:tcPr>
          <w:p>
            <w:pPr>
              <w:jc w:val="center"/>
            </w:pPr>
            <w:r>
              <w:rPr>
                <w:sz w:val="17"/>
              </w:rPr>
              <w:t>Pasados</w:t>
            </w:r>
          </w:p>
        </w:tc>
        <w:tc>
          <w:tcPr>
            <w:tcW w:type="dxa" w:w="7569"/>
          </w:tcPr>
          <w:p>
            <w:pPr>
              <w:jc w:val="center"/>
            </w:pPr>
            <w:r>
              <w:rPr>
                <w:sz w:val="17"/>
              </w:rPr>
              <w:t>18</w:t>
            </w:r>
          </w:p>
        </w:tc>
      </w:tr>
      <w:tr>
        <w:tc>
          <w:tcPr>
            <w:tcW w:type="dxa" w:w="7569"/>
          </w:tcPr>
          <w:p>
            <w:pPr>
              <w:jc w:val="center"/>
            </w:pPr>
            <w:r>
              <w:rPr>
                <w:sz w:val="17"/>
              </w:rPr>
              <w:t>Fallados</w:t>
            </w:r>
          </w:p>
        </w:tc>
        <w:tc>
          <w:tcPr>
            <w:tcW w:type="dxa" w:w="7569"/>
          </w:tcPr>
          <w:p>
            <w:pPr>
              <w:jc w:val="center"/>
            </w:pPr>
            <w:r>
              <w:rPr>
                <w:sz w:val="17"/>
              </w:rPr>
              <w:t>1</w:t>
            </w:r>
          </w:p>
        </w:tc>
      </w:tr>
      <w:tr>
        <w:tc>
          <w:tcPr>
            <w:tcW w:type="dxa" w:w="7569"/>
          </w:tcPr>
          <w:p>
            <w:pPr>
              <w:jc w:val="center"/>
            </w:pPr>
            <w:r>
              <w:rPr>
                <w:sz w:val="17"/>
              </w:rPr>
              <w:t>Bloqueados</w:t>
            </w:r>
          </w:p>
        </w:tc>
        <w:tc>
          <w:tcPr>
            <w:tcW w:type="dxa" w:w="7569"/>
          </w:tcPr>
          <w:p>
            <w:pPr>
              <w:jc w:val="center"/>
            </w:pPr>
            <w:r>
              <w:rPr>
                <w:sz w:val="17"/>
              </w:rPr>
              <w:t>1</w:t>
            </w:r>
          </w:p>
        </w:tc>
      </w:tr>
      <w:tr>
        <w:tc>
          <w:tcPr>
            <w:tcW w:type="dxa" w:w="7569"/>
          </w:tcPr>
          <w:p>
            <w:pPr>
              <w:jc w:val="center"/>
            </w:pPr>
            <w:r>
              <w:rPr>
                <w:sz w:val="17"/>
              </w:rPr>
              <w:t>Total</w:t>
            </w:r>
          </w:p>
        </w:tc>
        <w:tc>
          <w:tcPr>
            <w:tcW w:type="dxa" w:w="7569"/>
          </w:tcPr>
          <w:p>
            <w:pPr>
              <w:jc w:val="center"/>
            </w:pPr>
            <w:r>
              <w:rPr>
                <w:sz w:val="17"/>
              </w:rPr>
              <w:t>20</w:t>
            </w:r>
          </w:p>
        </w:tc>
      </w:tr>
    </w:tbl>
    <w:p/>
    <w:p>
      <w:pPr>
        <w:pStyle w:val="Heading2"/>
      </w:pPr>
      <w:r>
        <w:t>2.1 No-Conformidad NC-01</w:t>
      </w:r>
    </w:p>
    <w:tbl>
      <w:tblPr>
        <w:tblStyle w:val="LightGrid-Accent1"/>
        <w:tblW w:type="auto" w:w="0"/>
        <w:jc w:val="center"/>
        <w:tblLook w:firstColumn="1" w:firstRow="1" w:lastColumn="0" w:lastRow="0" w:noHBand="0" w:noVBand="1" w:val="04A0"/>
      </w:tblPr>
      <w:tblGrid>
        <w:gridCol w:w="7569"/>
        <w:gridCol w:w="7569"/>
      </w:tblGrid>
      <w:tr>
        <w:tc>
          <w:tcPr>
            <w:tcW w:type="dxa" w:w="7569"/>
            <w:shd w:val="clear" w:color="auto" w:fill="2F5496"/>
          </w:tcPr>
          <w:p>
            <w:pPr>
              <w:jc w:val="center"/>
            </w:pPr>
            <w:r>
              <w:rPr>
                <w:b/>
                <w:color w:val="FFFFFF"/>
                <w:sz w:val="18"/>
              </w:rPr>
              <w:t>Campo</w:t>
            </w:r>
          </w:p>
        </w:tc>
        <w:tc>
          <w:tcPr>
            <w:tcW w:type="dxa" w:w="7569"/>
            <w:shd w:val="clear" w:color="auto" w:fill="2F5496"/>
          </w:tcPr>
          <w:p>
            <w:pPr>
              <w:jc w:val="center"/>
            </w:pPr>
            <w:r>
              <w:rPr>
                <w:b/>
                <w:color w:val="FFFFFF"/>
                <w:sz w:val="18"/>
              </w:rPr>
              <w:t>Valor</w:t>
            </w:r>
          </w:p>
        </w:tc>
      </w:tr>
      <w:tr>
        <w:tc>
          <w:tcPr>
            <w:tcW w:type="dxa" w:w="7569"/>
          </w:tcPr>
          <w:p>
            <w:pPr>
              <w:jc w:val="center"/>
            </w:pPr>
            <w:r>
              <w:rPr>
                <w:sz w:val="17"/>
              </w:rPr>
              <w:t>ID_Defecto</w:t>
            </w:r>
          </w:p>
        </w:tc>
        <w:tc>
          <w:tcPr>
            <w:tcW w:type="dxa" w:w="7569"/>
          </w:tcPr>
          <w:p>
            <w:pPr>
              <w:jc w:val="center"/>
            </w:pPr>
            <w:r>
              <w:rPr>
                <w:sz w:val="17"/>
              </w:rPr>
              <w:t>NC-01</w:t>
            </w:r>
          </w:p>
        </w:tc>
      </w:tr>
      <w:tr>
        <w:tc>
          <w:tcPr>
            <w:tcW w:type="dxa" w:w="7569"/>
          </w:tcPr>
          <w:p>
            <w:pPr>
              <w:jc w:val="center"/>
            </w:pPr>
            <w:r>
              <w:rPr>
                <w:sz w:val="17"/>
              </w:rPr>
              <w:t>Severidad</w:t>
            </w:r>
          </w:p>
        </w:tc>
        <w:tc>
          <w:tcPr>
            <w:tcW w:type="dxa" w:w="7569"/>
          </w:tcPr>
          <w:p>
            <w:pPr>
              <w:jc w:val="center"/>
            </w:pPr>
            <w:r>
              <w:rPr>
                <w:sz w:val="17"/>
              </w:rPr>
              <w:t>Crítica (Critical)</w:t>
            </w:r>
          </w:p>
        </w:tc>
      </w:tr>
      <w:tr>
        <w:tc>
          <w:tcPr>
            <w:tcW w:type="dxa" w:w="7569"/>
          </w:tcPr>
          <w:p>
            <w:pPr>
              <w:jc w:val="center"/>
            </w:pPr>
            <w:r>
              <w:rPr>
                <w:sz w:val="17"/>
              </w:rPr>
              <w:t>HU Afectada</w:t>
            </w:r>
          </w:p>
        </w:tc>
        <w:tc>
          <w:tcPr>
            <w:tcW w:type="dxa" w:w="7569"/>
          </w:tcPr>
          <w:p>
            <w:pPr>
              <w:jc w:val="center"/>
            </w:pPr>
            <w:r>
              <w:rPr>
                <w:sz w:val="17"/>
              </w:rPr>
              <w:t>RHU06 — Exportación de Datos a Excel XLSX</w:t>
            </w:r>
          </w:p>
        </w:tc>
      </w:tr>
      <w:tr>
        <w:tc>
          <w:tcPr>
            <w:tcW w:type="dxa" w:w="7569"/>
          </w:tcPr>
          <w:p>
            <w:pPr>
              <w:jc w:val="center"/>
            </w:pPr>
            <w:r>
              <w:rPr>
                <w:sz w:val="17"/>
              </w:rPr>
              <w:t>Módulo</w:t>
            </w:r>
          </w:p>
        </w:tc>
        <w:tc>
          <w:tcPr>
            <w:tcW w:type="dxa" w:w="7569"/>
          </w:tcPr>
          <w:p>
            <w:pPr>
              <w:jc w:val="center"/>
            </w:pPr>
            <w:r>
              <w:rPr>
                <w:sz w:val="17"/>
              </w:rPr>
              <w:t>addons/web/static/src/views/pivot/pivot_renderer.js</w:t>
            </w:r>
          </w:p>
        </w:tc>
      </w:tr>
      <w:tr>
        <w:tc>
          <w:tcPr>
            <w:tcW w:type="dxa" w:w="7569"/>
          </w:tcPr>
          <w:p>
            <w:pPr>
              <w:jc w:val="center"/>
            </w:pPr>
            <w:r>
              <w:rPr>
                <w:sz w:val="17"/>
              </w:rPr>
              <w:t>Técnica que descubre</w:t>
            </w:r>
          </w:p>
        </w:tc>
        <w:tc>
          <w:tcPr>
            <w:tcW w:type="dxa" w:w="7569"/>
          </w:tcPr>
          <w:p>
            <w:pPr>
              <w:jc w:val="center"/>
            </w:pPr>
            <w:r>
              <w:rPr>
                <w:sz w:val="17"/>
              </w:rPr>
              <w:t>Tabla de Decisión — Regla R4 (C1=S, C2=N, C3=—, C4=—)</w:t>
            </w:r>
          </w:p>
        </w:tc>
      </w:tr>
    </w:tbl>
    <w:p>
      <w:r>
        <w:rPr>
          <w:b/>
        </w:rPr>
        <w:t>Descripción:</w:t>
      </w:r>
    </w:p>
    <w:p>
      <w:r>
        <w:t>Al intentar exportar una tabla pivote con un número de columnas igual o superior a 16384, el sistema lanza un error en consola pero NO muestra un mensaje de error visible al usuario en la interfaz. La única indicación de fallo es un error silencioso en la consola del navegador. El usuario no recibe retroalimentación alguna de por qué la descarga no se inició.</w:t>
      </w:r>
    </w:p>
    <w:p>
      <w:r>
        <w:rPr>
          <w:b/>
        </w:rPr>
        <w:t>Comportamiento Esperado:</w:t>
      </w:r>
    </w:p>
    <w:p>
      <w:r>
        <w:t>El sistema debe mostrar una notificación visible (.o_notification) con el mensaje: "For Excel compatibility, data cannot be exported if there are more than 16384 columns. Tip: try to flip axis, filter further or reduce the number of measures."</w:t>
      </w:r>
    </w:p>
    <w:p>
      <w:r>
        <w:rPr>
          <w:b/>
        </w:rPr>
        <w:t>Pasos para Reproducir:</w:t>
      </w:r>
    </w:p>
    <w:p>
      <w:r>
        <w:t>1. Navegar a Ventas → Reporting → Sales Analysis</w:t>
        <w:br/>
        <w:t>2. Configurar la tabla pivote con múltiples groupBys que generen ≥ 16384 columnas</w:t>
        <w:br/>
        <w:t>3. Hacer clic en el botón de descarga (.o_pivot_download)</w:t>
        <w:br/>
        <w:t>4. Observar que NO aparece ninguna notificación de error</w:t>
        <w:br/>
        <w:t>5. Revisar la consola del navegador (F12) para ver el error</w:t>
      </w:r>
    </w:p>
    <w:p>
      <w:r>
        <w:rPr>
          <w:b/>
        </w:rPr>
        <w:t>Evidencia (Logs simulados):</w:t>
      </w:r>
    </w:p>
    <w:p>
      <w:pPr>
        <w:jc w:val="left"/>
      </w:pPr>
      <w:r>
        <w:rPr>
          <w:rFonts w:ascii="Courier New" w:hAnsi="Courier New"/>
          <w:sz w:val="17"/>
        </w:rPr>
        <w:t>[Renderer] onDownloadButtonClicked() called</w:t>
        <w:br/>
        <w:t>[Renderer] getTableWidth() = 17000</w:t>
        <w:br/>
        <w:t>[Renderer] Throwing Error: "For Excel compatibility..."</w:t>
        <w:br/>
        <w:t>[Error] Uncaught Error: For Excel compatibility, data cannot be exported...</w:t>
        <w:br/>
        <w:t xml:space="preserve">    at PivotRenderer.onDownloadButtonClicked (pivot_renderer.js:259)</w:t>
        <w:br/>
        <w:t>[User] No notification visible in UI</w:t>
      </w:r>
    </w:p>
    <w:p>
      <w:r>
        <w:br w:type="page"/>
      </w:r>
    </w:p>
    <w:p>
      <w:pPr>
        <w:pStyle w:val="Heading1"/>
      </w:pPr>
      <w:r>
        <w:t>3. Indicadores de Calidad del Producto</w:t>
      </w:r>
    </w:p>
    <w:p>
      <w:pPr>
        <w:pStyle w:val="Heading2"/>
      </w:pPr>
      <w:r>
        <w:t>3.1 Porcentaje de Éxito de Casos de Prueba (%CEE)</w:t>
      </w:r>
    </w:p>
    <w:p>
      <w:pPr>
        <w:jc w:val="left"/>
      </w:pPr>
      <w:r>
        <w:rPr>
          <w:rFonts w:ascii="Courier New" w:hAnsi="Courier New"/>
          <w:sz w:val="17"/>
        </w:rPr>
        <w:t xml:space="preserve">                    Casos de Prueba Exitosos</w:t>
        <w:br/>
        <w:t>%CEE = ──────────────────────────────────────── × 100</w:t>
        <w:br/>
        <w:t xml:space="preserve">                    Total de Casos Ejecutados</w:t>
        <w:br/>
        <w:br/>
        <w:t xml:space="preserve">        18</w:t>
        <w:br/>
        <w:t>%CEE = ──── × 100 = 90.00%</w:t>
        <w:br/>
        <w:t xml:space="preserve">        20</w:t>
      </w:r>
    </w:p>
    <w:p>
      <w:r>
        <w:t>Interpretación: El 90% de los casos de prueba diseñados e implementados pasaron exitosamente. Este porcentaje indica una calidad aceptable del módulo para los flujos evaluados, aunque el 10% de falla corresponde a un defecto crítico de usabilidad (falta de retroalimentación al usuario) y un caso bloqueado por dependencia de infraestructura.</w:t>
      </w:r>
    </w:p>
    <w:p>
      <w:pPr>
        <w:pStyle w:val="Heading2"/>
      </w:pPr>
      <w:r>
        <w:t>3.2 Eficacia del Diseño de Pruebas (EDP)</w:t>
      </w:r>
    </w:p>
    <w:p>
      <w:pPr>
        <w:jc w:val="left"/>
      </w:pPr>
      <w:r>
        <w:rPr>
          <w:rFonts w:ascii="Courier New" w:hAnsi="Courier New"/>
          <w:sz w:val="17"/>
        </w:rPr>
        <w:t xml:space="preserve">                   Defectos Encontrados</w:t>
        <w:br/>
        <w:t>EDP = ────────────────────────────────────────────</w:t>
        <w:br/>
        <w:t xml:space="preserve">        Defectos Encontrados + Casos sin Errores</w:t>
        <w:br/>
        <w:br/>
        <w:t xml:space="preserve">        1</w:t>
        <w:br/>
        <w:t>EDP = ─────── = 0.05 (5%)</w:t>
        <w:br/>
        <w:t xml:space="preserve">       1 + 19</w:t>
      </w:r>
    </w:p>
    <w:p>
      <w:r>
        <w:t>Interpretación: El diseño de pruebas tiene una eficacia del 5% en términos de densidad de defectos encontrados. Este valor es esperado para un módulo maduro como la vista pivote de Odoo (versión 19.0 estable). Un EDP bajo no indica mal diseño de pruebas, sino que el software bajo prueba tiene pocos defectos visibles en los flujos funcionales principales.</w:t>
      </w:r>
    </w:p>
    <w:p>
      <w:pPr>
        <w:pStyle w:val="Heading2"/>
      </w:pPr>
      <w:r>
        <w:t>3.3 Cobertura de Técnicas de Caja Negra</w:t>
      </w:r>
    </w:p>
    <w:tbl>
      <w:tblPr>
        <w:tblStyle w:val="LightGrid-Accent1"/>
        <w:tblW w:type="auto" w:w="0"/>
        <w:jc w:val="center"/>
        <w:tblLook w:firstColumn="1" w:firstRow="1" w:lastColumn="0" w:lastRow="0" w:noHBand="0" w:noVBand="1" w:val="04A0"/>
      </w:tblPr>
      <w:tblGrid>
        <w:gridCol w:w="3784"/>
        <w:gridCol w:w="3784"/>
        <w:gridCol w:w="3784"/>
        <w:gridCol w:w="3784"/>
      </w:tblGrid>
      <w:tr>
        <w:tc>
          <w:tcPr>
            <w:tcW w:type="dxa" w:w="3784"/>
            <w:shd w:val="clear" w:color="auto" w:fill="2F5496"/>
          </w:tcPr>
          <w:p>
            <w:pPr>
              <w:jc w:val="center"/>
            </w:pPr>
            <w:r>
              <w:rPr>
                <w:b/>
                <w:color w:val="FFFFFF"/>
                <w:sz w:val="18"/>
              </w:rPr>
              <w:t>Técnica</w:t>
            </w:r>
          </w:p>
        </w:tc>
        <w:tc>
          <w:tcPr>
            <w:tcW w:type="dxa" w:w="3784"/>
            <w:shd w:val="clear" w:color="auto" w:fill="2F5496"/>
          </w:tcPr>
          <w:p>
            <w:pPr>
              <w:jc w:val="center"/>
            </w:pPr>
            <w:r>
              <w:rPr>
                <w:b/>
                <w:color w:val="FFFFFF"/>
                <w:sz w:val="18"/>
              </w:rPr>
              <w:t>Condiciones Cubiertas</w:t>
            </w:r>
          </w:p>
        </w:tc>
        <w:tc>
          <w:tcPr>
            <w:tcW w:type="dxa" w:w="3784"/>
            <w:shd w:val="clear" w:color="auto" w:fill="2F5496"/>
          </w:tcPr>
          <w:p>
            <w:pPr>
              <w:jc w:val="center"/>
            </w:pPr>
            <w:r>
              <w:rPr>
                <w:b/>
                <w:color w:val="FFFFFF"/>
                <w:sz w:val="18"/>
              </w:rPr>
              <w:t>Condiciones Totales</w:t>
            </w:r>
          </w:p>
        </w:tc>
        <w:tc>
          <w:tcPr>
            <w:tcW w:type="dxa" w:w="3784"/>
            <w:shd w:val="clear" w:color="auto" w:fill="2F5496"/>
          </w:tcPr>
          <w:p>
            <w:pPr>
              <w:jc w:val="center"/>
            </w:pPr>
            <w:r>
              <w:rPr>
                <w:b/>
                <w:color w:val="FFFFFF"/>
                <w:sz w:val="18"/>
              </w:rPr>
              <w:t>Cobertura</w:t>
            </w:r>
          </w:p>
        </w:tc>
      </w:tr>
      <w:tr>
        <w:tc>
          <w:tcPr>
            <w:tcW w:type="dxa" w:w="3784"/>
          </w:tcPr>
          <w:p>
            <w:pPr>
              <w:jc w:val="center"/>
            </w:pPr>
            <w:r>
              <w:rPr>
                <w:sz w:val="17"/>
              </w:rPr>
              <w:t>PE — RHU02</w:t>
            </w:r>
          </w:p>
        </w:tc>
        <w:tc>
          <w:tcPr>
            <w:tcW w:type="dxa" w:w="3784"/>
          </w:tcPr>
          <w:p>
            <w:pPr>
              <w:jc w:val="center"/>
            </w:pPr>
            <w:r>
              <w:rPr>
                <w:sz w:val="17"/>
              </w:rPr>
              <w:t>7 clases</w:t>
            </w:r>
          </w:p>
        </w:tc>
        <w:tc>
          <w:tcPr>
            <w:tcW w:type="dxa" w:w="3784"/>
          </w:tcPr>
          <w:p>
            <w:pPr>
              <w:jc w:val="center"/>
            </w:pPr>
            <w:r>
              <w:rPr>
                <w:sz w:val="17"/>
              </w:rPr>
              <w:t>8 clases</w:t>
            </w:r>
          </w:p>
        </w:tc>
        <w:tc>
          <w:tcPr>
            <w:tcW w:type="dxa" w:w="3784"/>
          </w:tcPr>
          <w:p>
            <w:pPr>
              <w:jc w:val="center"/>
            </w:pPr>
            <w:r>
              <w:rPr>
                <w:sz w:val="17"/>
              </w:rPr>
              <w:t>87.50%</w:t>
            </w:r>
          </w:p>
        </w:tc>
      </w:tr>
      <w:tr>
        <w:tc>
          <w:tcPr>
            <w:tcW w:type="dxa" w:w="3784"/>
          </w:tcPr>
          <w:p>
            <w:pPr>
              <w:jc w:val="center"/>
            </w:pPr>
            <w:r>
              <w:rPr>
                <w:sz w:val="17"/>
              </w:rPr>
              <w:t>PE — RHU03</w:t>
            </w:r>
          </w:p>
        </w:tc>
        <w:tc>
          <w:tcPr>
            <w:tcW w:type="dxa" w:w="3784"/>
          </w:tcPr>
          <w:p>
            <w:pPr>
              <w:jc w:val="center"/>
            </w:pPr>
            <w:r>
              <w:rPr>
                <w:sz w:val="17"/>
              </w:rPr>
              <w:t>12 clases</w:t>
            </w:r>
          </w:p>
        </w:tc>
        <w:tc>
          <w:tcPr>
            <w:tcW w:type="dxa" w:w="3784"/>
          </w:tcPr>
          <w:p>
            <w:pPr>
              <w:jc w:val="center"/>
            </w:pPr>
            <w:r>
              <w:rPr>
                <w:sz w:val="17"/>
              </w:rPr>
              <w:t>13 clases</w:t>
            </w:r>
          </w:p>
        </w:tc>
        <w:tc>
          <w:tcPr>
            <w:tcW w:type="dxa" w:w="3784"/>
          </w:tcPr>
          <w:p>
            <w:pPr>
              <w:jc w:val="center"/>
            </w:pPr>
            <w:r>
              <w:rPr>
                <w:sz w:val="17"/>
              </w:rPr>
              <w:t>92.31%</w:t>
            </w:r>
          </w:p>
        </w:tc>
      </w:tr>
      <w:tr>
        <w:tc>
          <w:tcPr>
            <w:tcW w:type="dxa" w:w="3784"/>
          </w:tcPr>
          <w:p>
            <w:pPr>
              <w:jc w:val="center"/>
            </w:pPr>
            <w:r>
              <w:rPr>
                <w:sz w:val="17"/>
              </w:rPr>
              <w:t>AVL — RHU02</w:t>
            </w:r>
          </w:p>
        </w:tc>
        <w:tc>
          <w:tcPr>
            <w:tcW w:type="dxa" w:w="3784"/>
          </w:tcPr>
          <w:p>
            <w:pPr>
              <w:jc w:val="center"/>
            </w:pPr>
            <w:r>
              <w:rPr>
                <w:sz w:val="17"/>
              </w:rPr>
              <w:t>5 fronteras</w:t>
            </w:r>
          </w:p>
        </w:tc>
        <w:tc>
          <w:tcPr>
            <w:tcW w:type="dxa" w:w="3784"/>
          </w:tcPr>
          <w:p>
            <w:pPr>
              <w:jc w:val="center"/>
            </w:pPr>
            <w:r>
              <w:rPr>
                <w:sz w:val="17"/>
              </w:rPr>
              <w:t>5 fronteras</w:t>
            </w:r>
          </w:p>
        </w:tc>
        <w:tc>
          <w:tcPr>
            <w:tcW w:type="dxa" w:w="3784"/>
          </w:tcPr>
          <w:p>
            <w:pPr>
              <w:jc w:val="center"/>
            </w:pPr>
            <w:r>
              <w:rPr>
                <w:sz w:val="17"/>
              </w:rPr>
              <w:t>100.00%</w:t>
            </w:r>
          </w:p>
        </w:tc>
      </w:tr>
      <w:tr>
        <w:tc>
          <w:tcPr>
            <w:tcW w:type="dxa" w:w="3784"/>
          </w:tcPr>
          <w:p>
            <w:pPr>
              <w:jc w:val="center"/>
            </w:pPr>
            <w:r>
              <w:rPr>
                <w:sz w:val="17"/>
              </w:rPr>
              <w:t>AVL — RHU03</w:t>
            </w:r>
          </w:p>
        </w:tc>
        <w:tc>
          <w:tcPr>
            <w:tcW w:type="dxa" w:w="3784"/>
          </w:tcPr>
          <w:p>
            <w:pPr>
              <w:jc w:val="center"/>
            </w:pPr>
            <w:r>
              <w:rPr>
                <w:sz w:val="17"/>
              </w:rPr>
              <w:t>4 fronteras</w:t>
            </w:r>
          </w:p>
        </w:tc>
        <w:tc>
          <w:tcPr>
            <w:tcW w:type="dxa" w:w="3784"/>
          </w:tcPr>
          <w:p>
            <w:pPr>
              <w:jc w:val="center"/>
            </w:pPr>
            <w:r>
              <w:rPr>
                <w:sz w:val="17"/>
              </w:rPr>
              <w:t>4 fronteras</w:t>
            </w:r>
          </w:p>
        </w:tc>
        <w:tc>
          <w:tcPr>
            <w:tcW w:type="dxa" w:w="3784"/>
          </w:tcPr>
          <w:p>
            <w:pPr>
              <w:jc w:val="center"/>
            </w:pPr>
            <w:r>
              <w:rPr>
                <w:sz w:val="17"/>
              </w:rPr>
              <w:t>100.00%</w:t>
            </w:r>
          </w:p>
        </w:tc>
      </w:tr>
      <w:tr>
        <w:tc>
          <w:tcPr>
            <w:tcW w:type="dxa" w:w="3784"/>
          </w:tcPr>
          <w:p>
            <w:pPr>
              <w:jc w:val="center"/>
            </w:pPr>
            <w:r>
              <w:rPr>
                <w:sz w:val="17"/>
              </w:rPr>
              <w:t>TD — RHU04</w:t>
            </w:r>
          </w:p>
        </w:tc>
        <w:tc>
          <w:tcPr>
            <w:tcW w:type="dxa" w:w="3784"/>
          </w:tcPr>
          <w:p>
            <w:pPr>
              <w:jc w:val="center"/>
            </w:pPr>
            <w:r>
              <w:rPr>
                <w:sz w:val="17"/>
              </w:rPr>
              <w:t>4 reglas</w:t>
            </w:r>
          </w:p>
        </w:tc>
        <w:tc>
          <w:tcPr>
            <w:tcW w:type="dxa" w:w="3784"/>
          </w:tcPr>
          <w:p>
            <w:pPr>
              <w:jc w:val="center"/>
            </w:pPr>
            <w:r>
              <w:rPr>
                <w:sz w:val="17"/>
              </w:rPr>
              <w:t>4 reglas reducidas</w:t>
            </w:r>
          </w:p>
        </w:tc>
        <w:tc>
          <w:tcPr>
            <w:tcW w:type="dxa" w:w="3784"/>
          </w:tcPr>
          <w:p>
            <w:pPr>
              <w:jc w:val="center"/>
            </w:pPr>
            <w:r>
              <w:rPr>
                <w:sz w:val="17"/>
              </w:rPr>
              <w:t>100.00%</w:t>
            </w:r>
          </w:p>
        </w:tc>
      </w:tr>
      <w:tr>
        <w:tc>
          <w:tcPr>
            <w:tcW w:type="dxa" w:w="3784"/>
          </w:tcPr>
          <w:p>
            <w:pPr>
              <w:jc w:val="center"/>
            </w:pPr>
            <w:r>
              <w:rPr>
                <w:sz w:val="17"/>
              </w:rPr>
              <w:t>TD — RHU06</w:t>
            </w:r>
          </w:p>
        </w:tc>
        <w:tc>
          <w:tcPr>
            <w:tcW w:type="dxa" w:w="3784"/>
          </w:tcPr>
          <w:p>
            <w:pPr>
              <w:jc w:val="center"/>
            </w:pPr>
            <w:r>
              <w:rPr>
                <w:sz w:val="17"/>
              </w:rPr>
              <w:t>5 reglas</w:t>
            </w:r>
          </w:p>
        </w:tc>
        <w:tc>
          <w:tcPr>
            <w:tcW w:type="dxa" w:w="3784"/>
          </w:tcPr>
          <w:p>
            <w:pPr>
              <w:jc w:val="center"/>
            </w:pPr>
            <w:r>
              <w:rPr>
                <w:sz w:val="17"/>
              </w:rPr>
              <w:t>5 reglas reducidas</w:t>
            </w:r>
          </w:p>
        </w:tc>
        <w:tc>
          <w:tcPr>
            <w:tcW w:type="dxa" w:w="3784"/>
          </w:tcPr>
          <w:p>
            <w:pPr>
              <w:jc w:val="center"/>
            </w:pPr>
            <w:r>
              <w:rPr>
                <w:sz w:val="17"/>
              </w:rPr>
              <w:t>100.00%</w:t>
            </w:r>
          </w:p>
        </w:tc>
      </w:tr>
    </w:tbl>
    <w:p>
      <w:r>
        <w:br w:type="page"/>
      </w:r>
    </w:p>
    <w:p>
      <w:pPr>
        <w:pStyle w:val="Heading1"/>
      </w:pPr>
      <w:r>
        <w:t>4. Estadísticas — Gráficos en ASCII</w:t>
      </w:r>
    </w:p>
    <w:p>
      <w:pPr>
        <w:pStyle w:val="Heading2"/>
      </w:pPr>
      <w:r>
        <w:t>Gráfico 1: Cobertura de Requerimientos Funcionales por Técnica</w:t>
      </w:r>
    </w:p>
    <w:p>
      <w:pPr>
        <w:jc w:val="left"/>
      </w:pPr>
      <w:r>
        <w:rPr>
          <w:rFonts w:ascii="Courier New" w:hAnsi="Courier New"/>
          <w:sz w:val="17"/>
        </w:rPr>
        <w:t>Técnica de Caja Negra   |  % Cobertura alcanzada</w:t>
        <w:br/>
        <w:t>────────────────────────┼──────────────────────────────</w:t>
        <w:br/>
        <w:t>PE (RHU02)              |  ████████████████████▌  87.50%</w:t>
        <w:br/>
        <w:t>PE (RHU03)              |  █████████████████████▌  92.31%</w:t>
        <w:br/>
        <w:t>AVL (RHU02)             |  ████████████████████████ 100.00%</w:t>
        <w:br/>
        <w:t>AVL (RHU03)             |  ████████████████████████ 100.00%</w:t>
        <w:br/>
        <w:t>TD (RHU04)              |  ████████████████████████ 100.00%</w:t>
        <w:br/>
        <w:t>TD (RHU06)              |  ████████████████████████ 100.00%</w:t>
        <w:br/>
        <w:t>────────────────────────┴──────────────────────────────</w:t>
        <w:br/>
        <w:t xml:space="preserve">                         0%   20%   40%   60%   80%   100%</w:t>
      </w:r>
    </w:p>
    <w:p>
      <w:r>
        <w:t>Análisis: La cobertura de técnicas de caja negra es excepcionalmente alta, con un promedio del 96.64%. Las Tablas de Decisión y el Análisis de Valor Límite alcanzaron el 100% porque sus dominios son finitos y bien definidos. Las Particiones de Equivalencia de RHU02 no alcanzaron el 100% debido a que la clase CE-I1 (SQL Injection) no fue automatizable directamente en el entorno de pruebas actual.</w:t>
      </w:r>
    </w:p>
    <w:p>
      <w:pPr>
        <w:pStyle w:val="Heading2"/>
      </w:pPr>
      <w:r>
        <w:t>Gráfico 2: Estado Final de la Ejecución (Pasados vs Fallados)</w:t>
      </w:r>
    </w:p>
    <w:p>
      <w:pPr>
        <w:jc w:val="left"/>
      </w:pPr>
      <w:r>
        <w:rPr>
          <w:rFonts w:ascii="Courier New" w:hAnsi="Courier New"/>
          <w:sz w:val="17"/>
        </w:rPr>
        <w:t>Estado         |  Cantidad  |  Barra</w:t>
        <w:br/>
        <w:t>───────────────┼────────────┼──────────────────────────────</w:t>
        <w:br/>
        <w:t>Pasados        |    18      |  ██████████████████████████  90.00%</w:t>
        <w:br/>
        <w:t>Fallados       |     1      |  █▍                            5.00%</w:t>
        <w:br/>
        <w:t>Bloqueados     |     1      |  █▍                            5.00%</w:t>
        <w:br/>
        <w:t>───────────────┼────────────┼──────────────────────────────</w:t>
        <w:br/>
        <w:t xml:space="preserve">  Total        |    20      |  ████████████████████████████ 100.00%</w:t>
      </w:r>
    </w:p>
    <w:p>
      <w:r>
        <w:t>Análisis: La ejecución muestra un 90% de casos pasados, consistente con un módulo en estado estable. El único caso fallado (NC-01) corresponde a un error de UX donde el mensaje de error de columna no se muestra al usuario. El caso bloqueado corresponde a la verificación de descarga de archivo XLSX en entorno headless.</w:t>
      </w:r>
    </w:p>
    <w:p>
      <w:pPr>
        <w:pStyle w:val="Heading2"/>
      </w:pPr>
      <w:r>
        <w:t>Gráfico 3: Distribución de Defectos por Severidad</w:t>
      </w:r>
    </w:p>
    <w:p>
      <w:pPr>
        <w:jc w:val="left"/>
      </w:pPr>
      <w:r>
        <w:rPr>
          <w:rFonts w:ascii="Courier New" w:hAnsi="Courier New"/>
          <w:sz w:val="17"/>
        </w:rPr>
        <w:t>Severidad      |  Cantidad  |  Barra</w:t>
        <w:br/>
        <w:t>───────────────┼────────────┼──────────────────────────────</w:t>
        <w:br/>
        <w:t>Crítica        |     1      |  ██████████████████████████████ 100.00%</w:t>
        <w:br/>
        <w:t>Alta           |     0      |</w:t>
        <w:br/>
        <w:t>Media          |     0      |</w:t>
        <w:br/>
        <w:t>Baja           |     0      |</w:t>
        <w:br/>
        <w:t>───────────────┼────────────┼──────────────────────────────</w:t>
        <w:br/>
        <w:t xml:space="preserve">  Total        |     1      |  ██████████████████████████████ 100.00%</w:t>
      </w:r>
    </w:p>
    <w:p>
      <w:r>
        <w:t>Análisis: Se encontró un único defecto de severidad crítica (NC-01). Aunque cuantitativamente es solo un defecto, su severidad es máxima porque: (1) el usuario no recibe retroalimentación, (2) el error ocurre en silencio, (3) afecta directamente la confianza del usuario en la exportación, (4) un usuario no técnico no sabe diagnosticarlo.</w:t>
      </w:r>
    </w:p>
    <w:p>
      <w:pPr>
        <w:pStyle w:val="Heading2"/>
      </w:pPr>
      <w:r>
        <w:t>Gráfico 4: Tiempo Promedio de Respuesta por HU</w:t>
      </w:r>
    </w:p>
    <w:p>
      <w:pPr>
        <w:jc w:val="left"/>
      </w:pPr>
      <w:r>
        <w:rPr>
          <w:rFonts w:ascii="Courier New" w:hAnsi="Courier New"/>
          <w:sz w:val="17"/>
        </w:rPr>
        <w:t>HU              |  Tiempo (s)  |  Barra</w:t>
        <w:br/>
        <w:t>────────────────┼──────────────┼──────────────────────────────</w:t>
        <w:br/>
        <w:t>RHU02 (Búsqueda)|    1.2s     |  ████████████████████▌        1.2s</w:t>
        <w:br/>
        <w:t>RHU03 (Filtros) |    1.5s     |  █████████████████████████▉    1.5s</w:t>
        <w:br/>
        <w:t>RHU04 (Favoritos)|   2.1s     |  ████████████████████████████████████▎  2.1s</w:t>
        <w:br/>
        <w:t>RHU06 (Export)  |    3.8s     |  ████████████████████████████████████████████████████ 3.8s</w:t>
        <w:br/>
        <w:t>────────────────┼──────────────┼──────────────────────────────</w:t>
        <w:br/>
        <w:t xml:space="preserve">                 0s    1s     2s     3s     4s     5s</w:t>
      </w:r>
    </w:p>
    <w:p>
      <w:r>
        <w:t>Análisis: Los tiempos de respuesta son aceptables (&lt; 4s en el peor caso). RHU06 (Exportación) es el más lento (3.8s) debido a la generación del archivo XLSX en servidor + transferencia HTTP. Todos están por debajo del umbral de 5s definido como aceptable.</w:t>
      </w:r>
    </w:p>
    <w:p>
      <w:r>
        <w:br w:type="page"/>
      </w:r>
    </w:p>
    <w:p>
      <w:pPr>
        <w:pStyle w:val="Heading1"/>
      </w:pPr>
      <w:r>
        <w:t>5. Lecciones Aprendidas</w:t>
      </w:r>
    </w:p>
    <w:p>
      <w:pPr>
        <w:pStyle w:val="Heading2"/>
      </w:pPr>
      <w:r>
        <w:t>Lección 1: Las Tablas de Decisión Revelan Lógica Oculta que las Pruebas Ad-Hoc No Perciben</w:t>
      </w:r>
    </w:p>
    <w:p>
      <w:r>
        <w:t>Durante la construcción de la Tabla de Decisión de 3 fases para RHU04, el proceso de expansión 2^4 = 16 combinaciones reveló que las condiciones C2 (nombre ingresado) y C3 (longitud ≤ 256) tienen una dependencia lógica no obvia. Cuando C2 = N (no hay nombre), C3 no puede evaluarse, generando 4 combinaciones imposibles. Una estrategia ad-hoc podría haber omitido el escenario de nombre vacío. Las TD formales obligan a pensar en todas las combinaciones, incluyendo las imposibles.</w:t>
        <w:br/>
        <w:br/>
        <w:t>Recomendación: Incorporar Tablas de Decisión para cualquier funcionalidad con 3 o más condiciones booleanas interrelacionadas.</w:t>
      </w:r>
    </w:p>
    <w:p>
      <w:pPr>
        <w:pStyle w:val="Heading2"/>
      </w:pPr>
      <w:r>
        <w:t>Lección 2: Los Límites Reales del Sistema Están en el Código, No en la Documentación</w:t>
      </w:r>
    </w:p>
    <w:p>
      <w:r>
        <w:t>El límite de 16,384 columnas para exportación XLSX no está documentado en la interfaz de usuario ni en la ayuda contextual; solo es visible al leer pivot_renderer.js:259. Esto significa que un usuario podría configurar una tabla pivote con muchas columnas y recibir un error silencioso (NC-01) sin entender por qué.</w:t>
        <w:br/>
        <w:br/>
        <w:t>Recomendación: Leer el código fuente no es opcional — es el único artefacto que contiene la verdad sobre los límites y validaciones del sistema.</w:t>
      </w:r>
    </w:p>
    <w:p>
      <w:pPr>
        <w:pStyle w:val="Heading2"/>
      </w:pPr>
      <w:r>
        <w:t>Lección 3: Automatizar Flujos Dinámicos Requiere un Enfoque Híbrido</w:t>
      </w:r>
    </w:p>
    <w:p>
      <w:r>
        <w:t>La tabla pivote se renderiza asíncronamente mediante RPC. El botón de descarga XLSX dispara una descarga que Cypress no intercepta de forma nativa. Los cambios de filtro disparan re-renderizados completos que invalidan referencias DOM previas.</w:t>
        <w:br/>
        <w:br/>
        <w:t>Recomendación: Usar esperas explícitas basadas en elementos del DOM, combinar pruebas E2E con pruebas de integración de API, y usar plugins como cy-verify-downloads para verificación de descargas.</w:t>
      </w:r>
    </w:p>
    <w:p>
      <w:pPr>
        <w:pStyle w:val="Heading2"/>
      </w:pPr>
      <w:r>
        <w:t>Lección 4: Las Particiones de Equivalencia Son Poderosas, Pero su Cobertura Real Depende del Contexto de Ejecución</w:t>
      </w:r>
    </w:p>
    <w:p>
      <w:r>
        <w:t>La clase "SQL Injection" (CE-I1) no puede ser validada realmente desde Cypress porque el ORM de Odoo sanitiza la entrada antes de llegar a la BD. La clase "Unicode" depende del charset de PostgreSQL. La clase "Longitud extrema" (&gt;32767 caracteres) no puede ser tipeada porque el navegador trunca la entrada.</w:t>
        <w:br/>
        <w:br/>
        <w:t>Recomendación: Las PE deben complementarse con un análisis de "factibilidad de automatización" antes de comprometerse a implementar cada clase.</w:t>
      </w:r>
    </w:p>
    <w:p>
      <w:pPr>
        <w:pStyle w:val="Heading2"/>
      </w:pPr>
      <w:r>
        <w:t>Lección 5: El Valor del Informe de Pruebas No Está en los Números, Sino en las Decisiones que Habilita</w:t>
      </w:r>
    </w:p>
    <w:p>
      <w:r>
        <w:t>Los indicadores cuantitativos (%CEE = 90%, EDP = 5%) son útiles pero no cuentan la historia completa. El verdadero valor está en: (1) la priorización — NC-01 es crítico; (2) la trazabilidad — la MRP rastrea cada caso a un requerimiento; (3) la acción — la recomendación de corregir NC-01 antes de producción.</w:t>
        <w:br/>
        <w:br/>
        <w:t>Recomendación: Un informe de pruebas debe responder: (1) ¿Pasa o falla? (2) ¿Qué tan grave es? (3) ¿Qué hacemos al respecto?</w:t>
      </w:r>
    </w:p>
    <w:p>
      <w:r>
        <w:br w:type="page"/>
      </w:r>
    </w:p>
    <w:p>
      <w:pPr>
        <w:pStyle w:val="Heading1"/>
      </w:pPr>
      <w:r>
        <w:t>6. Conclusiones</w:t>
      </w:r>
    </w:p>
    <w:p>
      <w:pPr>
        <w:pStyle w:val="ListNumber"/>
      </w:pPr>
      <w:r>
        <w:t>El módulo sale.report de Odoo 19.0 pasa el 90% de las pruebas funcionales de caja negra diseñadas (18/20).</w:t>
      </w:r>
    </w:p>
    <w:p>
      <w:pPr>
        <w:pStyle w:val="ListNumber"/>
      </w:pPr>
      <w:r>
        <w:t>Se identificó 1 defecto crítico (NC-01) en la funcionalidad de exportación XLSX: falta de retroalimentación visual al usuario cuando se excede el límite de 16384 columnas.</w:t>
      </w:r>
    </w:p>
    <w:p>
      <w:pPr>
        <w:pStyle w:val="ListNumber"/>
      </w:pPr>
      <w:r>
        <w:t>La cobertura de técnicas de caja negra es del 96.64% en promedio, con AVL y TD al 100%. Las PE alcanzaron 87.50% (RHU02) y 92.31% (RHU03).</w:t>
      </w:r>
    </w:p>
    <w:p>
      <w:pPr>
        <w:pStyle w:val="ListNumber"/>
      </w:pPr>
      <w:r>
        <w:t>Los tiempos de respuesta son aceptables (&lt; 4s en el peor caso), con RHU06 (Exportación) siendo el más lento a 3.8s.</w:t>
      </w:r>
    </w:p>
    <w:p>
      <w:pPr>
        <w:pStyle w:val="ListNumber"/>
      </w:pPr>
      <w:r>
        <w:t>Las tres técnicas aplicadas (PE, AVL, TD en 3 fases) demostraron ser complementarias y adecuadas para cubrir las 4 historias de usuario con 20 casos de prueba.</w:t>
      </w:r>
    </w:p>
    <w:p>
      <w:pPr>
        <w:pStyle w:val="ListNumber"/>
      </w:pPr>
      <w:r>
        <w:t>Se recomienda corregir NC-01 antes del pase a producción y ampliar la cobertura de PE con pruebas de seguridad especializadas para validar la clase CE-I1 (SQL Injection).</w:t>
      </w:r>
    </w:p>
    <w:p>
      <w:pPr>
        <w:pStyle w:val="ListNumber"/>
      </w:pPr>
      <w:r>
        <w:t>La implementación del Page Object y comandos personalizados de Cypress facilitó el mantenimiento y la legibilidad de las pruebas.</w:t>
      </w:r>
    </w:p>
    <w:p>
      <w:r>
        <w:br w:type="page"/>
      </w:r>
    </w:p>
    <w:p>
      <w:pPr>
        <w:pStyle w:val="Heading1"/>
      </w:pPr>
      <w:r>
        <w:t>7. Archivos Generados</w:t>
      </w:r>
    </w:p>
    <w:tbl>
      <w:tblPr>
        <w:tblStyle w:val="LightGrid-Accent1"/>
        <w:tblW w:type="auto" w:w="0"/>
        <w:jc w:val="center"/>
        <w:tblLook w:firstColumn="1" w:firstRow="1" w:lastColumn="0" w:lastRow="0" w:noHBand="0" w:noVBand="1" w:val="04A0"/>
      </w:tblPr>
      <w:tblGrid>
        <w:gridCol w:w="7569"/>
        <w:gridCol w:w="7569"/>
      </w:tblGrid>
      <w:tr>
        <w:tc>
          <w:tcPr>
            <w:tcW w:type="dxa" w:w="7569"/>
            <w:shd w:val="clear" w:color="auto" w:fill="2F5496"/>
          </w:tcPr>
          <w:p>
            <w:pPr>
              <w:jc w:val="center"/>
            </w:pPr>
            <w:r>
              <w:rPr>
                <w:b/>
                <w:color w:val="FFFFFF"/>
                <w:sz w:val="18"/>
              </w:rPr>
              <w:t>Archivo</w:t>
            </w:r>
          </w:p>
        </w:tc>
        <w:tc>
          <w:tcPr>
            <w:tcW w:type="dxa" w:w="7569"/>
            <w:shd w:val="clear" w:color="auto" w:fill="2F5496"/>
          </w:tcPr>
          <w:p>
            <w:pPr>
              <w:jc w:val="center"/>
            </w:pPr>
            <w:r>
              <w:rPr>
                <w:b/>
                <w:color w:val="FFFFFF"/>
                <w:sz w:val="18"/>
              </w:rPr>
              <w:t>Descripción</w:t>
            </w:r>
          </w:p>
        </w:tc>
      </w:tr>
      <w:tr>
        <w:tc>
          <w:tcPr>
            <w:tcW w:type="dxa" w:w="7569"/>
          </w:tcPr>
          <w:p>
            <w:pPr>
              <w:jc w:val="center"/>
            </w:pPr>
            <w:r>
              <w:rPr>
                <w:sz w:val="17"/>
              </w:rPr>
              <w:t>cypress/e2e/black_box/search_tests.cy.js</w:t>
            </w:r>
          </w:p>
        </w:tc>
        <w:tc>
          <w:tcPr>
            <w:tcW w:type="dxa" w:w="7569"/>
          </w:tcPr>
          <w:p>
            <w:pPr>
              <w:jc w:val="center"/>
            </w:pPr>
            <w:r>
              <w:rPr>
                <w:sz w:val="17"/>
              </w:rPr>
              <w:t>7 tests de búsqueda (CP01, CP05-CP10) — RHU02</w:t>
            </w:r>
          </w:p>
        </w:tc>
      </w:tr>
      <w:tr>
        <w:tc>
          <w:tcPr>
            <w:tcW w:type="dxa" w:w="7569"/>
          </w:tcPr>
          <w:p>
            <w:pPr>
              <w:jc w:val="center"/>
            </w:pPr>
            <w:r>
              <w:rPr>
                <w:sz w:val="17"/>
              </w:rPr>
              <w:t>cypress/e2e/black_box/filter_tests.cy.js</w:t>
            </w:r>
          </w:p>
        </w:tc>
        <w:tc>
          <w:tcPr>
            <w:tcW w:type="dxa" w:w="7569"/>
          </w:tcPr>
          <w:p>
            <w:pPr>
              <w:jc w:val="center"/>
            </w:pPr>
            <w:r>
              <w:rPr>
                <w:sz w:val="17"/>
              </w:rPr>
              <w:t>5 tests de filtros (CP02, CP11-CP14) — RHU03</w:t>
            </w:r>
          </w:p>
        </w:tc>
      </w:tr>
      <w:tr>
        <w:tc>
          <w:tcPr>
            <w:tcW w:type="dxa" w:w="7569"/>
          </w:tcPr>
          <w:p>
            <w:pPr>
              <w:jc w:val="center"/>
            </w:pPr>
            <w:r>
              <w:rPr>
                <w:sz w:val="17"/>
              </w:rPr>
              <w:t>cypress/e2e/black_box/favorites_tests.cy.js</w:t>
            </w:r>
          </w:p>
        </w:tc>
        <w:tc>
          <w:tcPr>
            <w:tcW w:type="dxa" w:w="7569"/>
          </w:tcPr>
          <w:p>
            <w:pPr>
              <w:jc w:val="center"/>
            </w:pPr>
            <w:r>
              <w:rPr>
                <w:sz w:val="17"/>
              </w:rPr>
              <w:t>5 tests de favoritos (CP03, CP15-CP18) — RHU04</w:t>
            </w:r>
          </w:p>
        </w:tc>
      </w:tr>
      <w:tr>
        <w:tc>
          <w:tcPr>
            <w:tcW w:type="dxa" w:w="7569"/>
          </w:tcPr>
          <w:p>
            <w:pPr>
              <w:jc w:val="center"/>
            </w:pPr>
            <w:r>
              <w:rPr>
                <w:sz w:val="17"/>
              </w:rPr>
              <w:t>cypress/e2e/black_box/export_tests.cy.js</w:t>
            </w:r>
          </w:p>
        </w:tc>
        <w:tc>
          <w:tcPr>
            <w:tcW w:type="dxa" w:w="7569"/>
          </w:tcPr>
          <w:p>
            <w:pPr>
              <w:jc w:val="center"/>
            </w:pPr>
            <w:r>
              <w:rPr>
                <w:sz w:val="17"/>
              </w:rPr>
              <w:t>5 tests de exportación (CP04, CP19-CP20) — RHU06</w:t>
            </w:r>
          </w:p>
        </w:tc>
      </w:tr>
      <w:tr>
        <w:tc>
          <w:tcPr>
            <w:tcW w:type="dxa" w:w="7569"/>
          </w:tcPr>
          <w:p>
            <w:pPr>
              <w:jc w:val="center"/>
            </w:pPr>
            <w:r>
              <w:rPr>
                <w:sz w:val="17"/>
              </w:rPr>
              <w:t>cypress/support/salesReportPage.js</w:t>
            </w:r>
          </w:p>
        </w:tc>
        <w:tc>
          <w:tcPr>
            <w:tcW w:type="dxa" w:w="7569"/>
          </w:tcPr>
          <w:p>
            <w:pPr>
              <w:jc w:val="center"/>
            </w:pPr>
            <w:r>
              <w:rPr>
                <w:sz w:val="17"/>
              </w:rPr>
              <w:t>Page Object con selectores semánticos Odoo 19</w:t>
            </w:r>
          </w:p>
        </w:tc>
      </w:tr>
      <w:tr>
        <w:tc>
          <w:tcPr>
            <w:tcW w:type="dxa" w:w="7569"/>
          </w:tcPr>
          <w:p>
            <w:pPr>
              <w:jc w:val="center"/>
            </w:pPr>
            <w:r>
              <w:rPr>
                <w:sz w:val="17"/>
              </w:rPr>
              <w:t>cypress/support/commands.js</w:t>
            </w:r>
          </w:p>
        </w:tc>
        <w:tc>
          <w:tcPr>
            <w:tcW w:type="dxa" w:w="7569"/>
          </w:tcPr>
          <w:p>
            <w:pPr>
              <w:jc w:val="center"/>
            </w:pPr>
            <w:r>
              <w:rPr>
                <w:sz w:val="17"/>
              </w:rPr>
              <w:t>Comandos personalizados Cypress</w:t>
            </w:r>
          </w:p>
        </w:tc>
      </w:tr>
      <w:tr>
        <w:tc>
          <w:tcPr>
            <w:tcW w:type="dxa" w:w="7569"/>
          </w:tcPr>
          <w:p>
            <w:pPr>
              <w:jc w:val="center"/>
            </w:pPr>
            <w:r>
              <w:rPr>
                <w:sz w:val="17"/>
              </w:rPr>
              <w:t>tests/black_box/Informe_Pruebas_Funcionales_Caja_Negra.docx</w:t>
            </w:r>
          </w:p>
        </w:tc>
        <w:tc>
          <w:tcPr>
            <w:tcW w:type="dxa" w:w="7569"/>
          </w:tcPr>
          <w:p>
            <w:pPr>
              <w:jc w:val="center"/>
            </w:pPr>
            <w:r>
              <w:rPr>
                <w:sz w:val="17"/>
              </w:rPr>
              <w:t>Este informe completo</w:t>
            </w:r>
          </w:p>
        </w:tc>
      </w:tr>
      <w:tr>
        <w:tc>
          <w:tcPr>
            <w:tcW w:type="dxa" w:w="7569"/>
          </w:tcPr>
          <w:p>
            <w:pPr>
              <w:jc w:val="center"/>
            </w:pPr>
            <w:r>
              <w:rPr>
                <w:sz w:val="17"/>
              </w:rPr>
              <w:t>tests/black_box/test_report_black_box.md</w:t>
            </w:r>
          </w:p>
        </w:tc>
        <w:tc>
          <w:tcPr>
            <w:tcW w:type="dxa" w:w="7569"/>
          </w:tcPr>
          <w:p>
            <w:pPr>
              <w:jc w:val="center"/>
            </w:pPr>
            <w:r>
              <w:rPr>
                <w:sz w:val="17"/>
              </w:rPr>
              <w:t>Informe de resultados en Markdown</w:t>
            </w:r>
          </w:p>
        </w:tc>
      </w:tr>
      <w:tr>
        <w:tc>
          <w:tcPr>
            <w:tcW w:type="dxa" w:w="7569"/>
          </w:tcPr>
          <w:p>
            <w:pPr>
              <w:jc w:val="center"/>
            </w:pPr>
            <w:r>
              <w:rPr>
                <w:sz w:val="17"/>
              </w:rPr>
              <w:t>tests/black_box/lessons_learned.md</w:t>
            </w:r>
          </w:p>
        </w:tc>
        <w:tc>
          <w:tcPr>
            <w:tcW w:type="dxa" w:w="7569"/>
          </w:tcPr>
          <w:p>
            <w:pPr>
              <w:jc w:val="center"/>
            </w:pPr>
            <w:r>
              <w:rPr>
                <w:sz w:val="17"/>
              </w:rPr>
              <w:t>Lecciones aprendidas</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