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042EFE0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89587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113E272D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C7D1A">
              <w:rPr>
                <w:rFonts w:ascii="Arial" w:hAnsi="Arial" w:cs="Arial"/>
                <w:sz w:val="20"/>
                <w:szCs w:val="20"/>
              </w:rPr>
              <w:t>40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C43CE6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1358ACC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C43CE6">
              <w:rPr>
                <w:rFonts w:ascii="Arial" w:hAnsi="Arial" w:cs="Arial"/>
                <w:sz w:val="20"/>
                <w:szCs w:val="20"/>
              </w:rPr>
              <w:t>horizontal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16BB14AA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C93D73">
              <w:rPr>
                <w:rFonts w:ascii="Arial" w:hAnsi="Arial" w:cs="Arial"/>
                <w:sz w:val="20"/>
                <w:szCs w:val="20"/>
              </w:rPr>
              <w:t>6</w:t>
            </w:r>
            <w:r w:rsidR="0082339C">
              <w:rPr>
                <w:rFonts w:ascii="Arial" w:hAnsi="Arial" w:cs="Arial"/>
                <w:sz w:val="20"/>
                <w:szCs w:val="20"/>
              </w:rPr>
              <w:t>51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4B1F3B19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82339C">
              <w:rPr>
                <w:rFonts w:ascii="Arial" w:hAnsi="Arial" w:cs="Arial"/>
                <w:sz w:val="20"/>
                <w:szCs w:val="20"/>
              </w:rPr>
              <w:t>4</w:t>
            </w:r>
            <w:r w:rsidR="00B322DA">
              <w:rPr>
                <w:rFonts w:ascii="Arial" w:hAnsi="Arial" w:cs="Arial"/>
                <w:sz w:val="20"/>
                <w:szCs w:val="20"/>
              </w:rPr>
              <w:t>97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CDEA94" w14:textId="0B614F4B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B322DA">
              <w:rPr>
                <w:rFonts w:ascii="Arial" w:hAnsi="Arial" w:cs="Arial"/>
                <w:sz w:val="20"/>
                <w:szCs w:val="20"/>
              </w:rPr>
              <w:t>666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3A27CBF8" w:rsidR="006D541F" w:rsidRDefault="00012CFA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565388" wp14:editId="161C0A43">
                  <wp:extent cx="6492500" cy="251460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491" t="45480" r="15781" b="17078"/>
                          <a:stretch/>
                        </pic:blipFill>
                        <pic:spPr bwMode="auto">
                          <a:xfrm>
                            <a:off x="0" y="0"/>
                            <a:ext cx="6503844" cy="2518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31ACA457" w:rsidR="00F06CA3" w:rsidRPr="00012CFA" w:rsidRDefault="00012CFA" w:rsidP="00012C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EC662" wp14:editId="30A26C63">
                  <wp:extent cx="2942930" cy="35242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43" t="29403" r="46912" b="9039"/>
                          <a:stretch/>
                        </pic:blipFill>
                        <pic:spPr bwMode="auto">
                          <a:xfrm>
                            <a:off x="0" y="0"/>
                            <a:ext cx="2955206" cy="3538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59714D9A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012CF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6224D074" w:rsidR="001D4741" w:rsidRPr="001D4741" w:rsidRDefault="001D4741" w:rsidP="009466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0E1A91A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  <w:r w:rsidR="00C43CE6">
                    <w:rPr>
                      <w:rFonts w:ascii="Arial" w:hAnsi="Arial" w:cs="Arial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2483B18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</w:p>
              </w:tc>
            </w:tr>
          </w:tbl>
          <w:p w14:paraId="6238D803" w14:textId="121E42E9" w:rsidR="001D4741" w:rsidRPr="00CC22B8" w:rsidRDefault="00C43CE6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 caso de adquirir modelo con reservorio no se requiere drenaje para el vapor</w:t>
            </w: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5A5C39CC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BC7D1A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DF8A5" w14:textId="77777777" w:rsidR="0041735B" w:rsidRDefault="0041735B">
      <w:r>
        <w:separator/>
      </w:r>
    </w:p>
  </w:endnote>
  <w:endnote w:type="continuationSeparator" w:id="0">
    <w:p w14:paraId="6CBC87D9" w14:textId="77777777" w:rsidR="0041735B" w:rsidRDefault="0041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B44BB" w14:textId="77777777" w:rsidR="0041735B" w:rsidRDefault="0041735B">
      <w:r>
        <w:separator/>
      </w:r>
    </w:p>
  </w:footnote>
  <w:footnote w:type="continuationSeparator" w:id="0">
    <w:p w14:paraId="13AFC9B4" w14:textId="77777777" w:rsidR="0041735B" w:rsidRDefault="00417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132089B8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REQUERIMIENTOS DE INSTALACIÓN AUTOCLAVE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12CFA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607E"/>
    <w:rsid w:val="003F7215"/>
    <w:rsid w:val="00406B98"/>
    <w:rsid w:val="0041735B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339C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95877"/>
    <w:rsid w:val="008A74C8"/>
    <w:rsid w:val="008C09EF"/>
    <w:rsid w:val="008C2039"/>
    <w:rsid w:val="008E5914"/>
    <w:rsid w:val="008F4EC3"/>
    <w:rsid w:val="008F7734"/>
    <w:rsid w:val="00920D55"/>
    <w:rsid w:val="009466BF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22DA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43CE6"/>
    <w:rsid w:val="00C5574E"/>
    <w:rsid w:val="00C7175E"/>
    <w:rsid w:val="00C86B7E"/>
    <w:rsid w:val="00C91B8C"/>
    <w:rsid w:val="00C93D73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14</cp:revision>
  <cp:lastPrinted>2014-09-04T21:09:00Z</cp:lastPrinted>
  <dcterms:created xsi:type="dcterms:W3CDTF">2020-02-03T21:39:00Z</dcterms:created>
  <dcterms:modified xsi:type="dcterms:W3CDTF">2021-03-09T21:29:00Z</dcterms:modified>
</cp:coreProperties>
</file>