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5E088F" w:rsidP="00E86643">
            <w:pPr>
              <w:spacing w:line="360" w:lineRule="auto"/>
              <w:jc w:val="left"/>
              <w:rPr>
                <w:rFonts w:ascii="Arial" w:hAnsi="Arial" w:cs="Arial"/>
                <w:sz w:val="20"/>
                <w:szCs w:val="20"/>
              </w:rPr>
            </w:pPr>
            <w:r>
              <w:rPr>
                <w:rFonts w:ascii="Arial" w:hAnsi="Arial" w:cs="Arial"/>
                <w:sz w:val="20"/>
                <w:szCs w:val="20"/>
              </w:rPr>
              <w:t>Autoclave Vertical 55</w:t>
            </w:r>
            <w:r w:rsidR="00D475C4">
              <w:rPr>
                <w:rFonts w:ascii="Arial" w:hAnsi="Arial" w:cs="Arial"/>
                <w:sz w:val="20"/>
                <w:szCs w:val="20"/>
              </w:rPr>
              <w:t>L</w:t>
            </w:r>
          </w:p>
          <w:p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5E088F">
              <w:rPr>
                <w:rFonts w:ascii="Arial" w:hAnsi="Arial" w:cs="Arial"/>
                <w:sz w:val="20"/>
                <w:szCs w:val="20"/>
              </w:rPr>
              <w:t>55LV</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rsidR="003E5722" w:rsidRDefault="005E088F" w:rsidP="002811D5">
            <w:pPr>
              <w:spacing w:line="360" w:lineRule="auto"/>
              <w:jc w:val="left"/>
              <w:rPr>
                <w:rFonts w:ascii="Arial" w:hAnsi="Arial" w:cs="Arial"/>
                <w:sz w:val="20"/>
                <w:szCs w:val="20"/>
              </w:rPr>
            </w:pPr>
            <w:r>
              <w:rPr>
                <w:rFonts w:ascii="Arial" w:hAnsi="Arial" w:cs="Arial"/>
                <w:sz w:val="20"/>
                <w:szCs w:val="20"/>
              </w:rPr>
              <w:t>2019137</w:t>
            </w:r>
          </w:p>
          <w:p w:rsidR="00AC6FB7" w:rsidRPr="007363F7" w:rsidRDefault="00AC6FB7"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proofErr w:type="gramStart"/>
            <w:r>
              <w:rPr>
                <w:sz w:val="20"/>
                <w:szCs w:val="20"/>
              </w:rPr>
              <w:t>funcionen</w:t>
            </w:r>
            <w:proofErr w:type="gramEnd"/>
            <w:r>
              <w:rPr>
                <w:sz w:val="20"/>
                <w:szCs w:val="20"/>
              </w:rPr>
              <w:t xml:space="preserve"> correctamente utilizando el “Test de componentes”</w:t>
            </w:r>
            <w:r w:rsidR="005E088F">
              <w:rPr>
                <w:sz w:val="20"/>
                <w:szCs w:val="20"/>
              </w:rPr>
              <w:t xml:space="preserve">. Ajustar </w:t>
            </w:r>
            <w:proofErr w:type="spellStart"/>
            <w:r w:rsidR="005E088F">
              <w:rPr>
                <w:sz w:val="20"/>
                <w:szCs w:val="20"/>
              </w:rPr>
              <w:t>Valvula</w:t>
            </w:r>
            <w:proofErr w:type="spellEnd"/>
            <w:r w:rsidR="005E088F">
              <w:rPr>
                <w:sz w:val="20"/>
                <w:szCs w:val="20"/>
              </w:rPr>
              <w:t xml:space="preserve"> de seguridad y termostato.</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w:t>
            </w:r>
            <w:bookmarkStart w:id="0" w:name="_GoBack"/>
            <w:bookmarkEnd w:id="0"/>
            <w:r>
              <w:rPr>
                <w:sz w:val="20"/>
                <w:szCs w:val="20"/>
              </w:rPr>
              <w:t>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0A0" w:rsidRDefault="00A800A0" w:rsidP="003A1FD2">
      <w:r>
        <w:separator/>
      </w:r>
    </w:p>
  </w:endnote>
  <w:endnote w:type="continuationSeparator" w:id="0">
    <w:p w:rsidR="00A800A0" w:rsidRDefault="00A800A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0A0" w:rsidRDefault="00A800A0" w:rsidP="003A1FD2">
      <w:r>
        <w:separator/>
      </w:r>
    </w:p>
  </w:footnote>
  <w:footnote w:type="continuationSeparator" w:id="0">
    <w:p w:rsidR="00A800A0" w:rsidRDefault="00A800A0"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1D5F33"/>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E088F"/>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800A0"/>
    <w:rsid w:val="00AA6E0E"/>
    <w:rsid w:val="00AC2FF6"/>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BAFB7-F28D-4D08-AEB6-70BD713A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23</cp:revision>
  <cp:lastPrinted>2018-07-12T16:16:00Z</cp:lastPrinted>
  <dcterms:created xsi:type="dcterms:W3CDTF">2018-04-04T14:20:00Z</dcterms:created>
  <dcterms:modified xsi:type="dcterms:W3CDTF">2019-11-08T18:02:00Z</dcterms:modified>
</cp:coreProperties>
</file>