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72EE2718" w14:textId="77777777" w:rsidTr="00551181">
        <w:trPr>
          <w:trHeight w:val="1032"/>
        </w:trPr>
        <w:tc>
          <w:tcPr>
            <w:tcW w:w="2588" w:type="dxa"/>
            <w:gridSpan w:val="2"/>
          </w:tcPr>
          <w:p w14:paraId="5C7D9A3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99344D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1C3EF4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4BF391B" w14:textId="77777777" w:rsidR="00776107" w:rsidRDefault="001648E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Cabina Extractora de Gases y Humos</w:t>
            </w:r>
          </w:p>
          <w:p w14:paraId="6597A6B8" w14:textId="604AB8AE" w:rsidR="00C62288" w:rsidRDefault="00EF7929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JPCEH</w:t>
            </w:r>
            <w:r w:rsidR="0006081E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06081E">
              <w:rPr>
                <w:rFonts w:ascii="Arial" w:hAnsi="Arial" w:cs="Arial"/>
                <w:sz w:val="20"/>
                <w:szCs w:val="20"/>
              </w:rPr>
              <w:t>-</w:t>
            </w:r>
            <w:r w:rsidR="009946D0">
              <w:rPr>
                <w:rFonts w:ascii="Arial" w:hAnsi="Arial" w:cs="Arial"/>
                <w:sz w:val="20"/>
                <w:szCs w:val="20"/>
              </w:rPr>
              <w:t>FV</w:t>
            </w:r>
            <w:r w:rsidR="00230401">
              <w:rPr>
                <w:rFonts w:ascii="Arial" w:hAnsi="Arial" w:cs="Arial"/>
                <w:sz w:val="20"/>
                <w:szCs w:val="20"/>
              </w:rPr>
              <w:t>-</w:t>
            </w:r>
            <w:r w:rsidR="009946D0">
              <w:rPr>
                <w:rFonts w:ascii="Arial" w:hAnsi="Arial" w:cs="Arial"/>
                <w:sz w:val="20"/>
                <w:szCs w:val="20"/>
              </w:rPr>
              <w:t>V</w:t>
            </w:r>
          </w:p>
          <w:p w14:paraId="46FE9122" w14:textId="540F2F55" w:rsidR="007D1224" w:rsidRPr="007363F7" w:rsidRDefault="007D1224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2F12AB68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7A467764" w14:textId="62C08012" w:rsidR="00776107" w:rsidRDefault="002832FA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7C5F238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68E2B09B" w14:textId="2F1F883B" w:rsidR="00776107" w:rsidRDefault="009D2022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9946D0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  <w:p w14:paraId="5B9E1DEC" w14:textId="68154103" w:rsidR="009D2022" w:rsidRDefault="00EF7929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9946D0">
              <w:rPr>
                <w:rFonts w:ascii="Arial" w:hAnsi="Arial" w:cs="Arial"/>
                <w:b/>
                <w:sz w:val="20"/>
                <w:szCs w:val="20"/>
              </w:rPr>
              <w:t>20133</w:t>
            </w:r>
          </w:p>
          <w:p w14:paraId="5BEECAFD" w14:textId="648A2AD9" w:rsidR="009D2022" w:rsidRPr="007363F7" w:rsidRDefault="00EF7929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9946D0">
              <w:rPr>
                <w:rFonts w:ascii="Arial" w:hAnsi="Arial" w:cs="Arial"/>
                <w:b/>
                <w:sz w:val="20"/>
                <w:szCs w:val="20"/>
              </w:rPr>
              <w:t>20133</w:t>
            </w:r>
            <w:r w:rsidR="00705013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9D2022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1A8018AA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55EC61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0FE262A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7AEF9BF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55408517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273E9C2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7F91AA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53695C42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3F3EFAB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E25FB5A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2288B9B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8807FF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64BA0B9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5B3FB3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57A7976F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46DD444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C052F24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3DEE1F6A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14:paraId="73380D3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85F9314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59A449A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A4695B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0EAA283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469604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9FFB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8ED06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8BE54F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1920BC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AD98D0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14:paraId="170536C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3E13C205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706FD1B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228ACA2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D7382B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36990D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3E6CFC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55AC8C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8CF8198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BAB7E95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5D23F637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47A97EE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C759B5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D4258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3B0813D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37CE1E4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6D5E019" w14:textId="77777777"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602FC72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0B9B6155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62F1AB08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C3B31BD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5F005B7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418003E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1594CF2F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96CFFEE" w14:textId="77777777"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5A341BF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431E38FE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proofErr w:type="gramStart"/>
            <w:r>
              <w:rPr>
                <w:sz w:val="20"/>
                <w:szCs w:val="20"/>
              </w:rPr>
              <w:t>Además</w:t>
            </w:r>
            <w:proofErr w:type="gramEnd"/>
            <w:r>
              <w:rPr>
                <w:sz w:val="20"/>
                <w:szCs w:val="20"/>
              </w:rPr>
              <w:t xml:space="preserve"> verificar el sentido de los componentes. Verificar visualmente la soldadura</w:t>
            </w:r>
          </w:p>
        </w:tc>
        <w:tc>
          <w:tcPr>
            <w:tcW w:w="1204" w:type="dxa"/>
          </w:tcPr>
          <w:p w14:paraId="797D44BB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5C2BFAE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4058E5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E9F0522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B6ACE1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8DCEBC9" w14:textId="77777777"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1E4E29D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37A8740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476FBB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A4766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75F00BF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2AC633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A665D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27F19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08C1DE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B724691" w14:textId="77777777"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A09F13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4A77518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E7E6DC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46095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E1223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EAD9D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B3237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64152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CCDAE1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A63413D" w14:textId="77777777"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CCAAEB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169D1ED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4B3C8D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02D7B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EFBC27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11DF2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3AA19A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A80B7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00C6EE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9CE04D" w14:textId="77777777"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4255E767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749B36C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</w:t>
            </w:r>
            <w:proofErr w:type="gramStart"/>
            <w:r w:rsidR="00AB6EB6">
              <w:rPr>
                <w:sz w:val="20"/>
                <w:szCs w:val="20"/>
              </w:rPr>
              <w:t>la soldadura de CI sin regleta se 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14:paraId="0192554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5DD5EF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89177C8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FAD2C9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947D4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897510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6860023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80698D1" w14:textId="77777777"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00212CB2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13BC66EF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DC5902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F3717C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F9774B8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065B1B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061F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641C30F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3E4F070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60E8D84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5FBEAC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0F65D7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6BEFD9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DD475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B238B0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6FE1352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1C381E90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FF931C3" w14:textId="77777777" w:rsidR="00AA10CB" w:rsidRDefault="004A56A5" w:rsidP="00F46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</w:t>
            </w:r>
            <w:r w:rsidR="007E4F52">
              <w:rPr>
                <w:sz w:val="20"/>
                <w:szCs w:val="20"/>
              </w:rPr>
              <w:t>basada</w:t>
            </w:r>
            <w:r w:rsidR="001B75CC">
              <w:rPr>
                <w:sz w:val="20"/>
                <w:szCs w:val="20"/>
              </w:rPr>
              <w:t xml:space="preserve"> en el manual de ensamble y montaje del tablero de cabina</w:t>
            </w:r>
            <w:r w:rsidR="00F46316">
              <w:rPr>
                <w:sz w:val="20"/>
                <w:szCs w:val="20"/>
              </w:rPr>
              <w:t xml:space="preserve"> extractora de gases y humos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5F6C93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918EA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1B8B4B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9BB8D2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076BD62" w14:textId="77777777" w:rsidTr="00551181">
        <w:trPr>
          <w:trHeight w:val="982"/>
        </w:trPr>
        <w:tc>
          <w:tcPr>
            <w:tcW w:w="3545" w:type="dxa"/>
            <w:gridSpan w:val="3"/>
          </w:tcPr>
          <w:p w14:paraId="0D9A693D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77C3F1C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31EFDA4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46F545C8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4A82F54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1D07922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67EF6A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FCA2524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8FF84D5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5D97C6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2A3544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6EE41E99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264C1E5D" w14:textId="77777777" w:rsidR="003E5722" w:rsidRDefault="003E5722" w:rsidP="00123D0B"/>
    <w:p w14:paraId="51358D62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65DDB" w14:textId="77777777" w:rsidR="003003AD" w:rsidRDefault="003003AD" w:rsidP="003A1FD2">
      <w:r>
        <w:separator/>
      </w:r>
    </w:p>
  </w:endnote>
  <w:endnote w:type="continuationSeparator" w:id="0">
    <w:p w14:paraId="5DF51FE5" w14:textId="77777777" w:rsidR="003003AD" w:rsidRDefault="003003AD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5CE8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0D03A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76182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CE939" w14:textId="77777777" w:rsidR="003003AD" w:rsidRDefault="003003AD" w:rsidP="003A1FD2">
      <w:r>
        <w:separator/>
      </w:r>
    </w:p>
  </w:footnote>
  <w:footnote w:type="continuationSeparator" w:id="0">
    <w:p w14:paraId="4E19ED26" w14:textId="77777777" w:rsidR="003003AD" w:rsidRDefault="003003AD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860BE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63620E6D" w14:textId="77777777" w:rsidTr="00551181">
      <w:trPr>
        <w:trHeight w:val="428"/>
      </w:trPr>
      <w:tc>
        <w:tcPr>
          <w:tcW w:w="3119" w:type="dxa"/>
          <w:vMerge w:val="restart"/>
        </w:tcPr>
        <w:p w14:paraId="3B69EE64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9EB4AAB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029C61E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6C1BD92" wp14:editId="71924C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4463D3D3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44C20C63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4EDD45CB" w14:textId="77777777" w:rsidTr="00551181">
      <w:trPr>
        <w:trHeight w:val="428"/>
      </w:trPr>
      <w:tc>
        <w:tcPr>
          <w:tcW w:w="3119" w:type="dxa"/>
          <w:vMerge/>
        </w:tcPr>
        <w:p w14:paraId="43D04AFB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8D961CA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6895DB9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27D9D4C5" w14:textId="77777777" w:rsidTr="00551181">
      <w:tc>
        <w:tcPr>
          <w:tcW w:w="14601" w:type="dxa"/>
          <w:gridSpan w:val="3"/>
        </w:tcPr>
        <w:p w14:paraId="19CB5072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AC45B9C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F2D7D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FD2"/>
    <w:rsid w:val="00052FDB"/>
    <w:rsid w:val="0006081E"/>
    <w:rsid w:val="00095905"/>
    <w:rsid w:val="000B4869"/>
    <w:rsid w:val="000C4730"/>
    <w:rsid w:val="000E4C76"/>
    <w:rsid w:val="00123D0B"/>
    <w:rsid w:val="00141C26"/>
    <w:rsid w:val="001648E3"/>
    <w:rsid w:val="001758E2"/>
    <w:rsid w:val="001937B1"/>
    <w:rsid w:val="001B75CC"/>
    <w:rsid w:val="0021397F"/>
    <w:rsid w:val="00230401"/>
    <w:rsid w:val="002832FA"/>
    <w:rsid w:val="002B1CF5"/>
    <w:rsid w:val="003003AD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337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05013"/>
    <w:rsid w:val="007363F7"/>
    <w:rsid w:val="007646C7"/>
    <w:rsid w:val="00770D0B"/>
    <w:rsid w:val="00776107"/>
    <w:rsid w:val="007860C2"/>
    <w:rsid w:val="007930E8"/>
    <w:rsid w:val="007A1EBC"/>
    <w:rsid w:val="007D1224"/>
    <w:rsid w:val="007E4F52"/>
    <w:rsid w:val="00800B0E"/>
    <w:rsid w:val="00826C19"/>
    <w:rsid w:val="008553D5"/>
    <w:rsid w:val="00867E17"/>
    <w:rsid w:val="00896122"/>
    <w:rsid w:val="008E4D9B"/>
    <w:rsid w:val="008F5B7C"/>
    <w:rsid w:val="00901205"/>
    <w:rsid w:val="00922C9C"/>
    <w:rsid w:val="0097193C"/>
    <w:rsid w:val="00972F8C"/>
    <w:rsid w:val="009946D0"/>
    <w:rsid w:val="00995E65"/>
    <w:rsid w:val="009A3A58"/>
    <w:rsid w:val="009B741F"/>
    <w:rsid w:val="009C3548"/>
    <w:rsid w:val="009C54A5"/>
    <w:rsid w:val="009C7158"/>
    <w:rsid w:val="009C7F3D"/>
    <w:rsid w:val="009D2022"/>
    <w:rsid w:val="009D673E"/>
    <w:rsid w:val="00A00119"/>
    <w:rsid w:val="00A157DC"/>
    <w:rsid w:val="00A17268"/>
    <w:rsid w:val="00A373AB"/>
    <w:rsid w:val="00A80F31"/>
    <w:rsid w:val="00AA10CB"/>
    <w:rsid w:val="00AB6EB6"/>
    <w:rsid w:val="00AC459D"/>
    <w:rsid w:val="00AD0A27"/>
    <w:rsid w:val="00AD799E"/>
    <w:rsid w:val="00AE3538"/>
    <w:rsid w:val="00B811B7"/>
    <w:rsid w:val="00BA25BA"/>
    <w:rsid w:val="00BA435A"/>
    <w:rsid w:val="00BD6F9F"/>
    <w:rsid w:val="00BF376F"/>
    <w:rsid w:val="00C03384"/>
    <w:rsid w:val="00C14B93"/>
    <w:rsid w:val="00C62288"/>
    <w:rsid w:val="00C71277"/>
    <w:rsid w:val="00C86362"/>
    <w:rsid w:val="00C9543D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6754A"/>
    <w:rsid w:val="00E815B6"/>
    <w:rsid w:val="00E82AAC"/>
    <w:rsid w:val="00E86643"/>
    <w:rsid w:val="00EF3BDC"/>
    <w:rsid w:val="00EF6369"/>
    <w:rsid w:val="00EF7929"/>
    <w:rsid w:val="00F02542"/>
    <w:rsid w:val="00F06338"/>
    <w:rsid w:val="00F46316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FF644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202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022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A86F2-006A-49A4-8944-B2310583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81</cp:revision>
  <cp:lastPrinted>2020-06-23T12:25:00Z</cp:lastPrinted>
  <dcterms:created xsi:type="dcterms:W3CDTF">2017-11-29T23:34:00Z</dcterms:created>
  <dcterms:modified xsi:type="dcterms:W3CDTF">2020-06-23T12:27:00Z</dcterms:modified>
</cp:coreProperties>
</file>