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C4" w:rsidRDefault="002B6AC4" w:rsidP="00A84BF7"/>
    <w:p w:rsidR="00A84BF7" w:rsidRDefault="00A84BF7" w:rsidP="00A84BF7">
      <w:pPr>
        <w:rPr>
          <w:rFonts w:ascii="Consolas" w:hAnsi="Consolas"/>
          <w:b/>
          <w:sz w:val="24"/>
          <w:szCs w:val="24"/>
        </w:rPr>
      </w:pPr>
      <w:r w:rsidRPr="00A84BF7">
        <w:rPr>
          <w:rFonts w:ascii="Consolas" w:hAnsi="Consolas"/>
          <w:b/>
          <w:sz w:val="24"/>
          <w:szCs w:val="24"/>
        </w:rPr>
        <w:t>ESPECIFICACIONES TÉCNICAS MODULO DE FLUJO LAMINAR</w:t>
      </w:r>
      <w:r w:rsidR="00CE1C8F">
        <w:rPr>
          <w:rFonts w:ascii="Consolas" w:hAnsi="Consolas"/>
          <w:b/>
          <w:sz w:val="24"/>
          <w:szCs w:val="24"/>
        </w:rPr>
        <w:t xml:space="preserve"> JPCFLVMD48I</w:t>
      </w:r>
      <w:r w:rsidR="00CE1C8F" w:rsidRPr="00CE1C8F">
        <w:rPr>
          <w:rFonts w:ascii="Consolas" w:hAnsi="Consolas"/>
          <w:b/>
          <w:sz w:val="24"/>
          <w:szCs w:val="24"/>
        </w:rPr>
        <w:t>X</w:t>
      </w:r>
    </w:p>
    <w:p w:rsidR="00A84BF7" w:rsidRDefault="00A84BF7" w:rsidP="00A84BF7">
      <w:pPr>
        <w:rPr>
          <w:rFonts w:ascii="Consolas" w:hAnsi="Consolas"/>
          <w:b/>
          <w:sz w:val="24"/>
          <w:szCs w:val="24"/>
        </w:rPr>
      </w:pPr>
    </w:p>
    <w:tbl>
      <w:tblPr>
        <w:tblStyle w:val="Tablaconcuadrcula"/>
        <w:tblW w:w="10415" w:type="dxa"/>
        <w:tblInd w:w="-751" w:type="dxa"/>
        <w:tblLook w:val="04A0" w:firstRow="1" w:lastRow="0" w:firstColumn="1" w:lastColumn="0" w:noHBand="0" w:noVBand="1"/>
      </w:tblPr>
      <w:tblGrid>
        <w:gridCol w:w="1673"/>
        <w:gridCol w:w="2706"/>
        <w:gridCol w:w="6036"/>
      </w:tblGrid>
      <w:tr w:rsidR="00A84BF7" w:rsidRPr="00B92039" w:rsidTr="00A84BF7">
        <w:trPr>
          <w:trHeight w:val="494"/>
        </w:trPr>
        <w:tc>
          <w:tcPr>
            <w:tcW w:w="10415" w:type="dxa"/>
            <w:gridSpan w:val="3"/>
            <w:shd w:val="clear" w:color="auto" w:fill="BFBFBF" w:themeFill="background1" w:themeFillShade="BF"/>
          </w:tcPr>
          <w:p w:rsidR="00A84BF7" w:rsidRPr="00B92039" w:rsidRDefault="004746A5" w:rsidP="00023A5F">
            <w:pPr>
              <w:jc w:val="center"/>
              <w:rPr>
                <w:b/>
                <w:i/>
                <w:sz w:val="20"/>
                <w:szCs w:val="20"/>
              </w:rPr>
            </w:pPr>
            <w:r w:rsidRPr="004746A5">
              <w:rPr>
                <w:rFonts w:ascii="Consolas" w:hAnsi="Consolas"/>
                <w:b/>
                <w:sz w:val="24"/>
                <w:szCs w:val="18"/>
              </w:rPr>
              <w:t>Especificaciones Técnicas Modulo de Flujo Laminar</w:t>
            </w:r>
            <w:r w:rsidR="00CE1C8F">
              <w:rPr>
                <w:rFonts w:ascii="Consolas" w:hAnsi="Consolas"/>
                <w:b/>
                <w:sz w:val="24"/>
                <w:szCs w:val="18"/>
              </w:rPr>
              <w:t xml:space="preserve"> (Sección </w:t>
            </w:r>
            <w:r w:rsidR="00CA34C6">
              <w:rPr>
                <w:rFonts w:ascii="Consolas" w:hAnsi="Consolas"/>
                <w:b/>
                <w:sz w:val="24"/>
                <w:szCs w:val="18"/>
              </w:rPr>
              <w:t>Eléctrica</w:t>
            </w:r>
            <w:r w:rsidR="00CE1C8F">
              <w:rPr>
                <w:rFonts w:ascii="Consolas" w:hAnsi="Consolas"/>
                <w:b/>
                <w:sz w:val="24"/>
                <w:szCs w:val="18"/>
              </w:rPr>
              <w:t>)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 w:val="restart"/>
            <w:vAlign w:val="center"/>
          </w:tcPr>
          <w:p w:rsidR="003D1D63" w:rsidRPr="00A84BF7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Requerimientos Eléctricos</w:t>
            </w:r>
          </w:p>
        </w:tc>
        <w:tc>
          <w:tcPr>
            <w:tcW w:w="2706" w:type="dxa"/>
          </w:tcPr>
          <w:p w:rsidR="003D1D63" w:rsidRPr="00A84BF7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Voltaje</w:t>
            </w:r>
          </w:p>
        </w:tc>
        <w:tc>
          <w:tcPr>
            <w:tcW w:w="6036" w:type="dxa"/>
          </w:tcPr>
          <w:p w:rsidR="003D1D63" w:rsidRPr="00A84BF7" w:rsidRDefault="003D1D63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115 VAC Monofásico +/- 10% de fluctuación 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3D1D63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3D1D63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Corriente</w:t>
            </w:r>
          </w:p>
        </w:tc>
        <w:tc>
          <w:tcPr>
            <w:tcW w:w="6036" w:type="dxa"/>
          </w:tcPr>
          <w:p w:rsidR="003D1D63" w:rsidRDefault="003D1D63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15 A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3D1D63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3D1D63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Frecuencia</w:t>
            </w:r>
          </w:p>
        </w:tc>
        <w:tc>
          <w:tcPr>
            <w:tcW w:w="6036" w:type="dxa"/>
          </w:tcPr>
          <w:p w:rsidR="003D1D63" w:rsidRDefault="003D1D63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60 Hz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3D1D63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3D1D63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 xml:space="preserve">Tipo de Conexión </w:t>
            </w:r>
          </w:p>
        </w:tc>
        <w:tc>
          <w:tcPr>
            <w:tcW w:w="6036" w:type="dxa"/>
          </w:tcPr>
          <w:p w:rsidR="003D1D63" w:rsidRPr="00946F30" w:rsidRDefault="003D1D63" w:rsidP="00946F30">
            <w:pPr>
              <w:rPr>
                <w:rFonts w:ascii="Consolas" w:hAnsi="Consolas"/>
                <w:sz w:val="18"/>
                <w:szCs w:val="18"/>
              </w:rPr>
            </w:pPr>
            <w:r w:rsidRPr="00946F30">
              <w:rPr>
                <w:rFonts w:ascii="Consolas" w:hAnsi="Consolas"/>
                <w:sz w:val="18"/>
                <w:szCs w:val="18"/>
              </w:rPr>
              <w:t>NEMA  5-15P</w:t>
            </w:r>
          </w:p>
        </w:tc>
      </w:tr>
      <w:tr w:rsidR="00A84BF7" w:rsidRPr="00B92039" w:rsidTr="00A84BF7">
        <w:trPr>
          <w:trHeight w:val="460"/>
        </w:trPr>
        <w:tc>
          <w:tcPr>
            <w:tcW w:w="1673" w:type="dxa"/>
            <w:vMerge w:val="restart"/>
            <w:vAlign w:val="center"/>
          </w:tcPr>
          <w:p w:rsidR="00A84BF7" w:rsidRPr="00A84BF7" w:rsidRDefault="00A84BF7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A84BF7">
              <w:rPr>
                <w:rFonts w:ascii="Consolas" w:hAnsi="Consolas"/>
                <w:b/>
                <w:sz w:val="18"/>
                <w:szCs w:val="18"/>
              </w:rPr>
              <w:t>Sistema de control</w:t>
            </w:r>
          </w:p>
        </w:tc>
        <w:tc>
          <w:tcPr>
            <w:tcW w:w="2706" w:type="dxa"/>
          </w:tcPr>
          <w:p w:rsidR="00A84BF7" w:rsidRP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A84BF7">
              <w:rPr>
                <w:rFonts w:ascii="Consolas" w:hAnsi="Consolas"/>
                <w:b/>
                <w:sz w:val="18"/>
                <w:szCs w:val="18"/>
              </w:rPr>
              <w:t>Visualizador</w:t>
            </w:r>
          </w:p>
        </w:tc>
        <w:tc>
          <w:tcPr>
            <w:tcW w:w="6036" w:type="dxa"/>
          </w:tcPr>
          <w:p w:rsidR="00A84BF7" w:rsidRPr="00A84BF7" w:rsidRDefault="00A84BF7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A84BF7">
              <w:rPr>
                <w:rFonts w:ascii="Consolas" w:hAnsi="Consolas"/>
                <w:sz w:val="18"/>
                <w:szCs w:val="18"/>
              </w:rPr>
              <w:t>Display LCD de 4X20 Caracteres</w:t>
            </w:r>
          </w:p>
        </w:tc>
      </w:tr>
      <w:tr w:rsidR="000E55CD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0E55CD" w:rsidRPr="00A84BF7" w:rsidRDefault="000E55CD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0E55CD" w:rsidRPr="00A84BF7" w:rsidRDefault="000E55CD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Controles</w:t>
            </w:r>
          </w:p>
        </w:tc>
        <w:tc>
          <w:tcPr>
            <w:tcW w:w="6036" w:type="dxa"/>
          </w:tcPr>
          <w:p w:rsidR="000E55CD" w:rsidRDefault="000E55CD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4 Pulsadores N.O. </w:t>
            </w:r>
          </w:p>
          <w:p w:rsidR="000E55CD" w:rsidRPr="00A84BF7" w:rsidRDefault="000E55CD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 Interruptor de balancín redondo de 20mm </w:t>
            </w:r>
          </w:p>
        </w:tc>
      </w:tr>
      <w:tr w:rsidR="000E55CD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0E55CD" w:rsidRPr="00A84BF7" w:rsidRDefault="000E55CD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0E55CD" w:rsidRDefault="000E55CD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Opciones</w:t>
            </w:r>
          </w:p>
        </w:tc>
        <w:tc>
          <w:tcPr>
            <w:tcW w:w="6036" w:type="dxa"/>
          </w:tcPr>
          <w:p w:rsid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Clave de acceso de 4 dígitos </w:t>
            </w:r>
          </w:p>
          <w:p w:rsid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Menu de monitoreo y control de variables del equipo</w:t>
            </w:r>
          </w:p>
          <w:p w:rsid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Temporizador para luz UV*</w:t>
            </w:r>
          </w:p>
          <w:p w:rsidR="000E55CD" w:rsidRP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Contador de Tiempo de Trabajo UV*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P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A84BF7">
              <w:rPr>
                <w:rFonts w:ascii="Consolas" w:hAnsi="Consolas"/>
                <w:b/>
                <w:sz w:val="18"/>
                <w:szCs w:val="18"/>
              </w:rPr>
              <w:t>Función</w:t>
            </w:r>
          </w:p>
        </w:tc>
        <w:tc>
          <w:tcPr>
            <w:tcW w:w="6036" w:type="dxa"/>
          </w:tcPr>
          <w:p w:rsidR="00A84BF7" w:rsidRPr="00A84BF7" w:rsidRDefault="00A84BF7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A84BF7">
              <w:rPr>
                <w:rFonts w:ascii="Consolas" w:hAnsi="Consolas"/>
                <w:sz w:val="18"/>
                <w:szCs w:val="18"/>
              </w:rPr>
              <w:t>Monitoreo y control de:</w:t>
            </w:r>
          </w:p>
          <w:p w:rsidR="00A84BF7" w:rsidRDefault="00A84BF7" w:rsidP="00A84BF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Estado ON-OFF del Ventilador</w:t>
            </w:r>
          </w:p>
          <w:p w:rsidR="00A84BF7" w:rsidRDefault="00A84BF7" w:rsidP="00A84BF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Estado ON-OFF de Luz Blanca</w:t>
            </w:r>
          </w:p>
          <w:p w:rsidR="00A84BF7" w:rsidRPr="00A84BF7" w:rsidRDefault="00A84BF7" w:rsidP="00A84BF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Visualización de Nivel de Saturación de filtros HEPA</w:t>
            </w:r>
          </w:p>
        </w:tc>
      </w:tr>
      <w:tr w:rsidR="00A84BF7" w:rsidRPr="00B92039" w:rsidTr="00A84BF7">
        <w:trPr>
          <w:trHeight w:val="460"/>
        </w:trPr>
        <w:tc>
          <w:tcPr>
            <w:tcW w:w="1673" w:type="dxa"/>
            <w:vMerge w:val="restart"/>
            <w:vAlign w:val="center"/>
          </w:tcPr>
          <w:p w:rsidR="00A84BF7" w:rsidRPr="00A84BF7" w:rsidRDefault="00A84BF7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Sistema de Ventilación</w:t>
            </w:r>
          </w:p>
        </w:tc>
        <w:tc>
          <w:tcPr>
            <w:tcW w:w="2706" w:type="dxa"/>
          </w:tcPr>
          <w:p w:rsidR="00A84BF7" w:rsidRPr="00A84BF7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 xml:space="preserve">Número de </w:t>
            </w:r>
            <w:r w:rsidR="00A84BF7">
              <w:rPr>
                <w:rFonts w:ascii="Consolas" w:hAnsi="Consolas"/>
                <w:b/>
                <w:sz w:val="18"/>
                <w:szCs w:val="18"/>
              </w:rPr>
              <w:t>Ventiladores</w:t>
            </w:r>
          </w:p>
        </w:tc>
        <w:tc>
          <w:tcPr>
            <w:tcW w:w="6036" w:type="dxa"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 Ventiladores Centrífugos Dayton 1XJX7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P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Caudal a 0.3”SP</w:t>
            </w:r>
          </w:p>
        </w:tc>
        <w:tc>
          <w:tcPr>
            <w:tcW w:w="6036" w:type="dxa"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1009</w:t>
            </w:r>
            <w:r w:rsidR="002A0936">
              <w:rPr>
                <w:rFonts w:ascii="Consolas" w:hAnsi="Consolas"/>
                <w:sz w:val="18"/>
                <w:szCs w:val="18"/>
              </w:rPr>
              <w:t xml:space="preserve"> CFM</w:t>
            </w:r>
            <w:bookmarkStart w:id="0" w:name="_GoBack"/>
            <w:bookmarkEnd w:id="0"/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Potencia</w:t>
            </w:r>
          </w:p>
        </w:tc>
        <w:tc>
          <w:tcPr>
            <w:tcW w:w="6036" w:type="dxa"/>
          </w:tcPr>
          <w:p w:rsid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1/6 HP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Velocidad (RPM)</w:t>
            </w:r>
          </w:p>
        </w:tc>
        <w:tc>
          <w:tcPr>
            <w:tcW w:w="6036" w:type="dxa"/>
          </w:tcPr>
          <w:p w:rsid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1070 RPM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Consumo a Máxima Carga</w:t>
            </w:r>
          </w:p>
        </w:tc>
        <w:tc>
          <w:tcPr>
            <w:tcW w:w="6036" w:type="dxa"/>
          </w:tcPr>
          <w:p w:rsid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3.7 A por cada Ventilador</w:t>
            </w:r>
          </w:p>
        </w:tc>
      </w:tr>
      <w:tr w:rsidR="00FB17EB" w:rsidRPr="00B92039" w:rsidTr="00FB17EB">
        <w:trPr>
          <w:trHeight w:val="424"/>
        </w:trPr>
        <w:tc>
          <w:tcPr>
            <w:tcW w:w="1673" w:type="dxa"/>
            <w:vMerge w:val="restart"/>
            <w:vAlign w:val="center"/>
          </w:tcPr>
          <w:p w:rsidR="00FB17EB" w:rsidRPr="00A84BF7" w:rsidRDefault="00FB17EB" w:rsidP="00FB17EB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Sistema de Iluminación</w:t>
            </w:r>
          </w:p>
        </w:tc>
        <w:tc>
          <w:tcPr>
            <w:tcW w:w="2706" w:type="dxa"/>
          </w:tcPr>
          <w:p w:rsidR="00FB17EB" w:rsidRPr="00A84BF7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Número de Luces</w:t>
            </w:r>
          </w:p>
        </w:tc>
        <w:tc>
          <w:tcPr>
            <w:tcW w:w="6036" w:type="dxa"/>
          </w:tcPr>
          <w:p w:rsidR="00FB17EB" w:rsidRPr="00A84BF7" w:rsidRDefault="00FB17EB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 Lámparas LED T5 tipo regleta</w:t>
            </w:r>
          </w:p>
        </w:tc>
      </w:tr>
      <w:tr w:rsidR="00FB17EB" w:rsidRPr="00B92039" w:rsidTr="00A84BF7">
        <w:trPr>
          <w:trHeight w:val="424"/>
        </w:trPr>
        <w:tc>
          <w:tcPr>
            <w:tcW w:w="1673" w:type="dxa"/>
            <w:vMerge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Potencia</w:t>
            </w:r>
          </w:p>
        </w:tc>
        <w:tc>
          <w:tcPr>
            <w:tcW w:w="6036" w:type="dxa"/>
          </w:tcPr>
          <w:p w:rsidR="00FB17EB" w:rsidRDefault="00FB17EB" w:rsidP="00FB17E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15 W por cada Lámpara </w:t>
            </w:r>
          </w:p>
        </w:tc>
      </w:tr>
      <w:tr w:rsidR="00FB17EB" w:rsidRPr="00B92039" w:rsidTr="00A84BF7">
        <w:trPr>
          <w:trHeight w:val="424"/>
        </w:trPr>
        <w:tc>
          <w:tcPr>
            <w:tcW w:w="1673" w:type="dxa"/>
            <w:vMerge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FB17EB" w:rsidRDefault="00C82CF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Color</w:t>
            </w:r>
          </w:p>
        </w:tc>
        <w:tc>
          <w:tcPr>
            <w:tcW w:w="6036" w:type="dxa"/>
          </w:tcPr>
          <w:p w:rsidR="00FB17EB" w:rsidRDefault="00C82CFB" w:rsidP="00FB17E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6500K</w:t>
            </w:r>
          </w:p>
        </w:tc>
      </w:tr>
      <w:tr w:rsidR="00FB17EB" w:rsidRPr="00B92039" w:rsidTr="00A84BF7">
        <w:trPr>
          <w:trHeight w:val="424"/>
        </w:trPr>
        <w:tc>
          <w:tcPr>
            <w:tcW w:w="1673" w:type="dxa"/>
            <w:vMerge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Grado de Protección</w:t>
            </w:r>
          </w:p>
        </w:tc>
        <w:tc>
          <w:tcPr>
            <w:tcW w:w="6036" w:type="dxa"/>
          </w:tcPr>
          <w:p w:rsidR="00FB17EB" w:rsidRDefault="00FB17EB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IP20</w:t>
            </w:r>
          </w:p>
        </w:tc>
      </w:tr>
      <w:tr w:rsidR="00BD7B60" w:rsidRPr="00B92039" w:rsidTr="00BD7B60">
        <w:trPr>
          <w:trHeight w:val="460"/>
        </w:trPr>
        <w:tc>
          <w:tcPr>
            <w:tcW w:w="1673" w:type="dxa"/>
            <w:vMerge w:val="restart"/>
            <w:vAlign w:val="center"/>
          </w:tcPr>
          <w:p w:rsidR="00BD7B60" w:rsidRPr="00A84BF7" w:rsidRDefault="003D71CC" w:rsidP="00BD7B6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Sistema de medición de saturación de Filtro</w:t>
            </w:r>
          </w:p>
        </w:tc>
        <w:tc>
          <w:tcPr>
            <w:tcW w:w="2706" w:type="dxa"/>
          </w:tcPr>
          <w:p w:rsidR="00BD7B60" w:rsidRPr="00A84BF7" w:rsidRDefault="001C5513" w:rsidP="001C5513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Sensor</w:t>
            </w:r>
          </w:p>
        </w:tc>
        <w:tc>
          <w:tcPr>
            <w:tcW w:w="6036" w:type="dxa"/>
          </w:tcPr>
          <w:p w:rsidR="00BD7B60" w:rsidRPr="00A84BF7" w:rsidRDefault="001C5513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Sensor de presión diferencial MPXV5004DP</w:t>
            </w:r>
          </w:p>
        </w:tc>
      </w:tr>
      <w:tr w:rsidR="00BD7B60" w:rsidRPr="00B92039" w:rsidTr="00A84BF7">
        <w:trPr>
          <w:trHeight w:val="494"/>
        </w:trPr>
        <w:tc>
          <w:tcPr>
            <w:tcW w:w="1673" w:type="dxa"/>
            <w:vMerge/>
          </w:tcPr>
          <w:p w:rsidR="00BD7B60" w:rsidRPr="00A84BF7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BD7B60" w:rsidRPr="00A84BF7" w:rsidRDefault="00BD7B60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Resolución</w:t>
            </w:r>
          </w:p>
        </w:tc>
        <w:tc>
          <w:tcPr>
            <w:tcW w:w="6036" w:type="dxa"/>
          </w:tcPr>
          <w:p w:rsidR="00BD7B60" w:rsidRPr="00A84BF7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0.01 inH2O</w:t>
            </w:r>
          </w:p>
        </w:tc>
      </w:tr>
      <w:tr w:rsidR="00BD7B60" w:rsidRPr="00B92039" w:rsidTr="00A84BF7">
        <w:trPr>
          <w:trHeight w:val="494"/>
        </w:trPr>
        <w:tc>
          <w:tcPr>
            <w:tcW w:w="1673" w:type="dxa"/>
            <w:vMerge/>
          </w:tcPr>
          <w:p w:rsidR="00BD7B60" w:rsidRPr="00A84BF7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BD7B60" w:rsidRDefault="00BD7B60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Rango de Medición</w:t>
            </w:r>
          </w:p>
        </w:tc>
        <w:tc>
          <w:tcPr>
            <w:tcW w:w="6036" w:type="dxa"/>
          </w:tcPr>
          <w:p w:rsidR="00BD7B60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0.00 inH2O – 1.5 inH2O</w:t>
            </w:r>
          </w:p>
        </w:tc>
      </w:tr>
      <w:tr w:rsidR="00113899" w:rsidRPr="00B92039" w:rsidTr="00A70AEF">
        <w:trPr>
          <w:trHeight w:val="494"/>
        </w:trPr>
        <w:tc>
          <w:tcPr>
            <w:tcW w:w="1673" w:type="dxa"/>
            <w:vMerge w:val="restart"/>
            <w:vAlign w:val="center"/>
          </w:tcPr>
          <w:p w:rsidR="00113899" w:rsidRPr="00A70AEF" w:rsidRDefault="00113899" w:rsidP="00A70AE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A70AEF">
              <w:rPr>
                <w:rFonts w:ascii="Consolas" w:hAnsi="Consolas"/>
                <w:b/>
                <w:sz w:val="18"/>
                <w:szCs w:val="18"/>
              </w:rPr>
              <w:lastRenderedPageBreak/>
              <w:t>Toma Eléctrica</w:t>
            </w:r>
          </w:p>
        </w:tc>
        <w:tc>
          <w:tcPr>
            <w:tcW w:w="2706" w:type="dxa"/>
          </w:tcPr>
          <w:p w:rsidR="00113899" w:rsidRDefault="00113899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Numero de Tomacorrientes</w:t>
            </w:r>
          </w:p>
        </w:tc>
        <w:tc>
          <w:tcPr>
            <w:tcW w:w="6036" w:type="dxa"/>
          </w:tcPr>
          <w:p w:rsidR="00113899" w:rsidRDefault="00113899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Tomacorriente doble con protección de 4A</w:t>
            </w:r>
          </w:p>
        </w:tc>
      </w:tr>
      <w:tr w:rsidR="00816492" w:rsidRPr="00B92039" w:rsidTr="00A70AEF">
        <w:trPr>
          <w:trHeight w:val="494"/>
        </w:trPr>
        <w:tc>
          <w:tcPr>
            <w:tcW w:w="1673" w:type="dxa"/>
            <w:vMerge/>
            <w:vAlign w:val="center"/>
          </w:tcPr>
          <w:p w:rsidR="00816492" w:rsidRPr="00A70AEF" w:rsidRDefault="00816492" w:rsidP="0081649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816492" w:rsidRDefault="00816492" w:rsidP="00816492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Grado de Protección</w:t>
            </w:r>
          </w:p>
        </w:tc>
        <w:tc>
          <w:tcPr>
            <w:tcW w:w="6036" w:type="dxa"/>
          </w:tcPr>
          <w:p w:rsidR="00816492" w:rsidRDefault="00816492" w:rsidP="008164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IP55</w:t>
            </w:r>
          </w:p>
        </w:tc>
      </w:tr>
      <w:tr w:rsidR="00816492" w:rsidRPr="00B92039" w:rsidTr="00A70AEF">
        <w:trPr>
          <w:trHeight w:val="494"/>
        </w:trPr>
        <w:tc>
          <w:tcPr>
            <w:tcW w:w="1673" w:type="dxa"/>
            <w:vMerge/>
            <w:vAlign w:val="center"/>
          </w:tcPr>
          <w:p w:rsidR="00816492" w:rsidRPr="00A70AEF" w:rsidRDefault="00816492" w:rsidP="0081649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816492" w:rsidRDefault="00816492" w:rsidP="00816492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Carga Máxima</w:t>
            </w:r>
          </w:p>
        </w:tc>
        <w:tc>
          <w:tcPr>
            <w:tcW w:w="6036" w:type="dxa"/>
          </w:tcPr>
          <w:p w:rsidR="00816492" w:rsidRDefault="00816492" w:rsidP="008164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 A</w:t>
            </w:r>
          </w:p>
        </w:tc>
      </w:tr>
      <w:tr w:rsidR="00816492" w:rsidRPr="00B92039" w:rsidTr="00A70AEF">
        <w:trPr>
          <w:trHeight w:val="494"/>
        </w:trPr>
        <w:tc>
          <w:tcPr>
            <w:tcW w:w="1673" w:type="dxa"/>
            <w:vMerge/>
            <w:vAlign w:val="center"/>
          </w:tcPr>
          <w:p w:rsidR="00816492" w:rsidRPr="00A70AEF" w:rsidRDefault="00816492" w:rsidP="0081649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816492" w:rsidRDefault="00816492" w:rsidP="00816492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Voltaje</w:t>
            </w:r>
          </w:p>
        </w:tc>
        <w:tc>
          <w:tcPr>
            <w:tcW w:w="6036" w:type="dxa"/>
          </w:tcPr>
          <w:p w:rsidR="00816492" w:rsidRDefault="00816492" w:rsidP="008164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115 VAC (Depende directamente del Voltaje de alimentación del equipo)</w:t>
            </w:r>
          </w:p>
        </w:tc>
      </w:tr>
    </w:tbl>
    <w:p w:rsidR="00A84BF7" w:rsidRPr="00A71B90" w:rsidRDefault="00A71B90" w:rsidP="00A71B90">
      <w:pPr>
        <w:rPr>
          <w:rFonts w:ascii="Consolas" w:hAnsi="Consolas"/>
          <w:sz w:val="20"/>
          <w:szCs w:val="24"/>
        </w:rPr>
      </w:pPr>
      <w:r w:rsidRPr="00A71B90">
        <w:rPr>
          <w:rFonts w:ascii="Consolas" w:hAnsi="Consolas"/>
          <w:sz w:val="20"/>
          <w:szCs w:val="24"/>
        </w:rPr>
        <w:t>*Opcional</w:t>
      </w:r>
    </w:p>
    <w:sectPr w:rsidR="00A84BF7" w:rsidRPr="00A71B90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C9B" w:rsidRDefault="00D21C9B" w:rsidP="00EA253D">
      <w:pPr>
        <w:spacing w:after="0" w:line="240" w:lineRule="auto"/>
      </w:pPr>
      <w:r>
        <w:separator/>
      </w:r>
    </w:p>
  </w:endnote>
  <w:endnote w:type="continuationSeparator" w:id="0">
    <w:p w:rsidR="00D21C9B" w:rsidRDefault="00D21C9B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D21C9B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3633A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r w:rsidR="00BC12B3" w:rsidRPr="0035175B">
      <w:rPr>
        <w:b/>
        <w:sz w:val="18"/>
        <w:szCs w:val="18"/>
      </w:rPr>
      <w:t>número</w:t>
    </w:r>
    <w:r>
      <w:rPr>
        <w:b/>
        <w:sz w:val="18"/>
        <w:szCs w:val="18"/>
      </w:rPr>
      <w:t xml:space="preserve"> 69p07 Ferias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C9B" w:rsidRDefault="00D21C9B" w:rsidP="00EA253D">
      <w:pPr>
        <w:spacing w:after="0" w:line="240" w:lineRule="auto"/>
      </w:pPr>
      <w:r>
        <w:separator/>
      </w:r>
    </w:p>
  </w:footnote>
  <w:footnote w:type="continuationSeparator" w:id="0">
    <w:p w:rsidR="00D21C9B" w:rsidRDefault="00D21C9B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976E55" w:rsidRDefault="00976E55" w:rsidP="00976E55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9F075E7"/>
    <w:multiLevelType w:val="hybridMultilevel"/>
    <w:tmpl w:val="05E6C8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923AF"/>
    <w:multiLevelType w:val="hybridMultilevel"/>
    <w:tmpl w:val="65F87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3A5F"/>
    <w:rsid w:val="000247E8"/>
    <w:rsid w:val="000704F6"/>
    <w:rsid w:val="000716EB"/>
    <w:rsid w:val="000A0D09"/>
    <w:rsid w:val="000E55CD"/>
    <w:rsid w:val="000F6A9E"/>
    <w:rsid w:val="00113899"/>
    <w:rsid w:val="001174DD"/>
    <w:rsid w:val="00146AA4"/>
    <w:rsid w:val="0015484A"/>
    <w:rsid w:val="00155300"/>
    <w:rsid w:val="0019017D"/>
    <w:rsid w:val="001C5513"/>
    <w:rsid w:val="001C579B"/>
    <w:rsid w:val="001E4016"/>
    <w:rsid w:val="00205BF4"/>
    <w:rsid w:val="0023517D"/>
    <w:rsid w:val="002432FA"/>
    <w:rsid w:val="00287A89"/>
    <w:rsid w:val="002A0936"/>
    <w:rsid w:val="002A1F4B"/>
    <w:rsid w:val="002B6AC4"/>
    <w:rsid w:val="002C4DE9"/>
    <w:rsid w:val="002D443C"/>
    <w:rsid w:val="00334EFC"/>
    <w:rsid w:val="0035632D"/>
    <w:rsid w:val="0038401E"/>
    <w:rsid w:val="003919EE"/>
    <w:rsid w:val="003C301E"/>
    <w:rsid w:val="003D1D63"/>
    <w:rsid w:val="003D71CC"/>
    <w:rsid w:val="003E0EFC"/>
    <w:rsid w:val="003E7773"/>
    <w:rsid w:val="003F0995"/>
    <w:rsid w:val="004406D6"/>
    <w:rsid w:val="004713E0"/>
    <w:rsid w:val="004746A5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26D6F"/>
    <w:rsid w:val="00743C0E"/>
    <w:rsid w:val="007815E5"/>
    <w:rsid w:val="00792599"/>
    <w:rsid w:val="007A0B7F"/>
    <w:rsid w:val="00811918"/>
    <w:rsid w:val="00813A27"/>
    <w:rsid w:val="00816492"/>
    <w:rsid w:val="00861FA9"/>
    <w:rsid w:val="0086318B"/>
    <w:rsid w:val="00865155"/>
    <w:rsid w:val="008671C4"/>
    <w:rsid w:val="0087007A"/>
    <w:rsid w:val="0088179A"/>
    <w:rsid w:val="008D0947"/>
    <w:rsid w:val="008E522A"/>
    <w:rsid w:val="00910DBB"/>
    <w:rsid w:val="00934A4B"/>
    <w:rsid w:val="00946F30"/>
    <w:rsid w:val="00960917"/>
    <w:rsid w:val="0096585A"/>
    <w:rsid w:val="00976E55"/>
    <w:rsid w:val="009A31BB"/>
    <w:rsid w:val="009B3F88"/>
    <w:rsid w:val="009B7BA7"/>
    <w:rsid w:val="009E5B11"/>
    <w:rsid w:val="009F529A"/>
    <w:rsid w:val="00A25A52"/>
    <w:rsid w:val="00A6219C"/>
    <w:rsid w:val="00A70AEF"/>
    <w:rsid w:val="00A71B90"/>
    <w:rsid w:val="00A84BF7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D7B60"/>
    <w:rsid w:val="00C1369D"/>
    <w:rsid w:val="00C450C5"/>
    <w:rsid w:val="00C65905"/>
    <w:rsid w:val="00C676C0"/>
    <w:rsid w:val="00C82CFB"/>
    <w:rsid w:val="00C97932"/>
    <w:rsid w:val="00CA34C6"/>
    <w:rsid w:val="00CA46B8"/>
    <w:rsid w:val="00CA77C2"/>
    <w:rsid w:val="00CB4111"/>
    <w:rsid w:val="00CC7DC7"/>
    <w:rsid w:val="00CE1690"/>
    <w:rsid w:val="00CE1C8F"/>
    <w:rsid w:val="00D00D6B"/>
    <w:rsid w:val="00D03C13"/>
    <w:rsid w:val="00D21C9B"/>
    <w:rsid w:val="00D46CAA"/>
    <w:rsid w:val="00D87FB6"/>
    <w:rsid w:val="00D943FA"/>
    <w:rsid w:val="00D976A5"/>
    <w:rsid w:val="00DE1ADE"/>
    <w:rsid w:val="00DF41E2"/>
    <w:rsid w:val="00E24371"/>
    <w:rsid w:val="00E3633A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52F0"/>
    <w:rsid w:val="00EE6F0C"/>
    <w:rsid w:val="00F124EE"/>
    <w:rsid w:val="00F14DBC"/>
    <w:rsid w:val="00F23D55"/>
    <w:rsid w:val="00FB17EB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17A83ED-BBF2-41EB-872C-6057F371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8DFE2-C96B-496C-8730-CFF88BFC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4</cp:revision>
  <cp:lastPrinted>2016-08-24T21:14:00Z</cp:lastPrinted>
  <dcterms:created xsi:type="dcterms:W3CDTF">2018-06-08T17:14:00Z</dcterms:created>
  <dcterms:modified xsi:type="dcterms:W3CDTF">2018-06-08T17:34:00Z</dcterms:modified>
</cp:coreProperties>
</file>