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2"/>
        </w:rPr>
        <w:t>PLAN DE DISEÑO EXPERIMENTAL (DoE)</w:t>
      </w:r>
    </w:p>
    <w:p>
      <w:pPr>
        <w:spacing w:after="400"/>
        <w:jc w:val="center"/>
      </w:pPr>
      <w:r>
        <w:rPr>
          <w:b/>
          <w:color w:val="1A3A5C"/>
          <w:sz w:val="28"/>
        </w:rPr>
        <w:t>OPTIMIZACIÓN DE EFICIENCIA TÉRMICA Y EMISIONES EN QUEMADOR ATMOSFÉRICO ABIERTO DOMÉSTICO</w:t>
      </w:r>
    </w:p>
    <w:p/>
    <w:p>
      <w:pPr>
        <w:spacing w:after="80"/>
        <w:jc w:val="center"/>
      </w:pPr>
      <w:r>
        <w:rPr>
          <w:b/>
          <w:sz w:val="22"/>
        </w:rPr>
        <w:t xml:space="preserve">Normativa de Referencia: </w:t>
      </w:r>
      <w:r>
        <w:rPr>
          <w:sz w:val="22"/>
        </w:rPr>
        <w:t>NTC 2832-1  /  ISO 23550</w:t>
      </w:r>
    </w:p>
    <w:p>
      <w:pPr>
        <w:spacing w:after="80"/>
        <w:jc w:val="center"/>
      </w:pPr>
      <w:r>
        <w:rPr>
          <w:b/>
          <w:sz w:val="22"/>
        </w:rPr>
        <w:t xml:space="preserve">Tipo de Diseño: </w:t>
      </w:r>
      <w:r>
        <w:rPr>
          <w:sz w:val="22"/>
        </w:rPr>
        <w:t>Diseño Central Compuesto (CCD) de Segundo Orden — 3 Factores</w:t>
      </w:r>
    </w:p>
    <w:p>
      <w:pPr>
        <w:spacing w:after="80"/>
        <w:jc w:val="center"/>
      </w:pPr>
      <w:r>
        <w:rPr>
          <w:b/>
          <w:sz w:val="22"/>
        </w:rPr>
        <w:t xml:space="preserve">Método de Análisis: </w:t>
      </w:r>
      <w:r>
        <w:rPr>
          <w:sz w:val="22"/>
        </w:rPr>
        <w:t>Superficie de Respuesta (RSM) + Función de Deseabilidad Multiobjetivo</w:t>
      </w:r>
    </w:p>
    <w:p>
      <w:pPr>
        <w:spacing w:after="80"/>
        <w:jc w:val="center"/>
      </w:pPr>
      <w:r>
        <w:rPr>
          <w:b/>
          <w:sz w:val="22"/>
        </w:rPr>
        <w:t xml:space="preserve">Objetivo: </w:t>
      </w:r>
      <w:r>
        <w:rPr>
          <w:sz w:val="22"/>
        </w:rPr>
        <w:t>Incrementar Eficiencia Térmica ≥ 62.5%  |  CO ≤ 450 ppm</w:t>
      </w:r>
    </w:p>
    <w:p/>
    <w:p>
      <w:pPr>
        <w:spacing w:after="120"/>
        <w:jc w:val="center"/>
      </w:pPr>
      <w:r>
        <w:rPr>
          <w:b/>
          <w:i w:val="0"/>
          <w:sz w:val="22"/>
        </w:rPr>
        <w:t>CONFIGURACIÓN BASE DEL QUEMADOR ENSAYADO</w:t>
      </w:r>
    </w:p>
    <w:p>
      <w:pPr>
        <w:spacing w:after="60"/>
        <w:jc w:val="center"/>
      </w:pPr>
      <w:r>
        <w:rPr>
          <w:sz w:val="21"/>
        </w:rPr>
        <w:t>Diámetro del Inyector: 0.99 mm  |  Cd = 0.853</w:t>
      </w:r>
    </w:p>
    <w:p>
      <w:pPr>
        <w:spacing w:after="60"/>
        <w:jc w:val="center"/>
      </w:pPr>
      <w:r>
        <w:rPr>
          <w:sz w:val="21"/>
        </w:rPr>
        <w:t>Tubo Venturi Cónico: Ø10 mm → Ø12.7 mm  |  Longitud total: 57 mm</w:t>
      </w:r>
    </w:p>
    <w:p>
      <w:pPr>
        <w:spacing w:after="60"/>
        <w:jc w:val="center"/>
      </w:pPr>
      <w:r>
        <w:rPr>
          <w:sz w:val="21"/>
        </w:rPr>
        <w:t>Ventana de Aire Primario: 25.25 mm de longitud (desde x = 0, inicio garganta)</w:t>
      </w:r>
    </w:p>
    <w:p>
      <w:pPr>
        <w:spacing w:after="60"/>
        <w:jc w:val="center"/>
      </w:pPr>
      <w:r>
        <w:rPr>
          <w:sz w:val="21"/>
        </w:rPr>
        <w:t>Presión de Ensayo: 20.0 mbar  (Gas de Referencia G20 – NTC 2832-1)</w:t>
      </w:r>
    </w:p>
    <w:p>
      <w:pPr>
        <w:spacing w:after="60"/>
        <w:jc w:val="center"/>
      </w:pPr>
      <w:r>
        <w:rPr>
          <w:sz w:val="21"/>
        </w:rPr>
        <w:t>Resultado de Referencia Medido:  η ≈ 58.0 %  |  CO ≈ 260 ppm  |  H_pot actual = 14.0 mm</w:t>
      </w:r>
    </w:p>
    <w:p/>
    <w:tbl>
      <w:tblPr>
        <w:tblStyle w:val="TableGrid"/>
        <w:tblW w:type="auto" w:w="0"/>
        <w:jc w:val="center"/>
        <w:tblLook w:firstColumn="1" w:firstRow="1" w:lastColumn="0" w:lastRow="0" w:noHBand="0" w:noVBand="1" w:val="04A0"/>
      </w:tblPr>
      <w:tblGrid>
        <w:gridCol w:w="4561"/>
        <w:gridCol w:w="4561"/>
      </w:tblGrid>
      <w:tr>
        <w:tc>
          <w:tcPr>
            <w:tcW w:type="dxa" w:w="4561"/>
          </w:tcPr>
          <w:p>
            <w:pPr>
              <w:spacing w:after="360"/>
              <w:jc w:val="center"/>
            </w:pPr>
            <w:r>
              <w:rPr>
                <w:b/>
                <w:sz w:val="20"/>
              </w:rPr>
              <w:t>Elaborado por:</w:t>
            </w:r>
          </w:p>
        </w:tc>
        <w:tc>
          <w:tcPr>
            <w:tcW w:type="dxa" w:w="4561"/>
          </w:tcPr>
          <w:p>
            <w:pPr>
              <w:spacing w:after="360"/>
              <w:jc w:val="center"/>
            </w:pPr>
            <w:r>
              <w:rPr>
                <w:b/>
                <w:sz w:val="20"/>
              </w:rPr>
              <w:t>Revisado por:</w:t>
            </w:r>
          </w:p>
        </w:tc>
      </w:tr>
      <w:tr>
        <w:tc>
          <w:tcPr>
            <w:tcW w:type="dxa" w:w="4561"/>
          </w:tcPr>
          <w:p>
            <w:pPr>
              <w:spacing w:after="360"/>
              <w:jc w:val="center"/>
            </w:pPr>
            <w:r>
              <w:rPr>
                <w:b w:val="0"/>
                <w:sz w:val="20"/>
              </w:rPr>
              <w:t>Cargo:</w:t>
            </w:r>
          </w:p>
        </w:tc>
        <w:tc>
          <w:tcPr>
            <w:tcW w:type="dxa" w:w="4561"/>
          </w:tcPr>
          <w:p>
            <w:pPr>
              <w:spacing w:after="360"/>
              <w:jc w:val="center"/>
            </w:pPr>
            <w:r>
              <w:rPr>
                <w:b w:val="0"/>
                <w:sz w:val="20"/>
              </w:rPr>
              <w:t>Cargo:</w:t>
            </w:r>
          </w:p>
        </w:tc>
      </w:tr>
      <w:tr>
        <w:tc>
          <w:tcPr>
            <w:tcW w:type="dxa" w:w="4561"/>
          </w:tcPr>
          <w:p>
            <w:pPr>
              <w:spacing w:after="360"/>
              <w:jc w:val="center"/>
            </w:pPr>
            <w:r>
              <w:rPr>
                <w:b w:val="0"/>
                <w:sz w:val="20"/>
              </w:rPr>
              <w:t>Firma:</w:t>
            </w:r>
          </w:p>
        </w:tc>
        <w:tc>
          <w:tcPr>
            <w:tcW w:type="dxa" w:w="4561"/>
          </w:tcPr>
          <w:p>
            <w:pPr>
              <w:spacing w:after="360"/>
              <w:jc w:val="center"/>
            </w:pPr>
            <w:r>
              <w:rPr>
                <w:b w:val="0"/>
                <w:sz w:val="20"/>
              </w:rPr>
              <w:t>Firma:</w:t>
            </w:r>
          </w:p>
        </w:tc>
      </w:tr>
    </w:tbl>
    <w:p>
      <w:r>
        <w:br w:type="page"/>
      </w:r>
    </w:p>
    <w:p>
      <w:pPr>
        <w:spacing w:before="280" w:after="120"/>
        <w:jc w:val="left"/>
        <w:pBdr>
          <w:bottom w:val="single" w:sz="6" w:space="4" w:color="1A3A5C"/>
        </w:pBdr>
      </w:pPr>
      <w:r>
        <w:rPr>
          <w:b/>
          <w:color w:val="1A3A5C"/>
          <w:sz w:val="26"/>
        </w:rPr>
        <w:t>1.  OBJETIVO Y ALCANCE DEL ESTUDIO</w:t>
      </w:r>
    </w:p>
    <w:p>
      <w:pPr>
        <w:spacing w:after="120"/>
        <w:jc w:val="both"/>
      </w:pPr>
      <w:r>
        <w:rPr>
          <w:b w:val="0"/>
          <w:i w:val="0"/>
          <w:sz w:val="22"/>
        </w:rPr>
        <w:t>El presente plan de ensayos establece la metodología formal para el estudio sistemático de los factores geométricos y operativos del quemador atmosférico abierto descrito en la portada, con el propósito de identificar la configuración de diseño que maximice la eficiencia térmica y minimice las emisiones de monóxido de carbono (CO) dentro de los límites exigidos por la norma colombiana NTC 2832-1.</w:t>
      </w:r>
    </w:p>
    <w:p>
      <w:pPr>
        <w:spacing w:after="120"/>
        <w:jc w:val="both"/>
      </w:pPr>
      <w:r>
        <w:rPr>
          <w:b w:val="0"/>
          <w:i w:val="0"/>
          <w:sz w:val="22"/>
        </w:rPr>
        <w:t>Los resultados previos del laboratorio establecen las condiciones de referencia: eficiencia térmica medida de ≈ 58.0 % y concentración de CO de ≈ 260 ppm. El objetivo cuantificado del estudio es alcanzar una eficiencia ≥ 62.5 % sin superar el límite normativo de 1000 ppm de CO (con una meta técnica conservadora de ≤ 450 ppm).</w:t>
      </w:r>
    </w:p>
    <w:p>
      <w:pPr>
        <w:spacing w:after="120"/>
        <w:jc w:val="both"/>
      </w:pPr>
      <w:r>
        <w:rPr>
          <w:b w:val="0"/>
          <w:i/>
          <w:sz w:val="22"/>
        </w:rPr>
        <w:t>NOTA IMPORTANTE: Este diseño experimental permite encontrar el punto óptimo de operación con un número mínimo de ensayos (15 corridas), evitando el maquinado de prototipos innecesarios y reduciendo el tiempo total de desarrollo del producto.</w:t>
      </w:r>
    </w:p>
    <w:p>
      <w:pPr>
        <w:spacing w:before="280" w:after="120"/>
        <w:jc w:val="left"/>
        <w:pBdr>
          <w:bottom w:val="single" w:sz="6" w:space="4" w:color="1A3A5C"/>
        </w:pBdr>
      </w:pPr>
      <w:r>
        <w:rPr>
          <w:b/>
          <w:color w:val="1A3A5C"/>
          <w:sz w:val="26"/>
        </w:rPr>
        <w:t>2.  FUNDAMENTACIÓN TEÓRICA DE LAS VARIABLES SELECCIONADAS</w:t>
      </w:r>
    </w:p>
    <w:p>
      <w:pPr>
        <w:spacing w:after="120"/>
        <w:jc w:val="both"/>
      </w:pPr>
      <w:r>
        <w:rPr>
          <w:b w:val="0"/>
          <w:i w:val="0"/>
          <w:sz w:val="22"/>
        </w:rPr>
        <w:t>Las tres variables de entrada del DoE fueron seleccionadas con base en la teoría de transferencia de calor, mecánica de fluidos de eyectores y cinética química de combustión, con soporte en los fundamentos de la NTC 2832-1. A continuación se documenta la relación física causal de cada variable con las respuestas de interés.</w:t>
      </w:r>
    </w:p>
    <w:p>
      <w:pPr>
        <w:spacing w:before="280" w:after="120"/>
        <w:jc w:val="left"/>
        <w:pBdr>
          <w:bottom w:val="single" w:sz="6" w:space="4" w:color="1A3A5C"/>
        </w:pBdr>
      </w:pPr>
      <w:r>
        <w:rPr>
          <w:b/>
          <w:color w:val="1A3A5C"/>
          <w:sz w:val="22"/>
        </w:rPr>
        <w:t>Variable 1 (X₁): Altura del Quemador a la Base de la Olla — H_pot (mm)</w:t>
      </w:r>
    </w:p>
    <w:p>
      <w:pPr>
        <w:spacing w:after="120"/>
        <w:jc w:val="both"/>
      </w:pPr>
      <w:r>
        <w:rPr>
          <w:b/>
          <w:i w:val="0"/>
          <w:sz w:val="22"/>
        </w:rPr>
        <w:t>¿Cómo se modifica en el banco?</w:t>
      </w:r>
    </w:p>
    <w:p>
      <w:pPr>
        <w:spacing w:after="120"/>
        <w:jc w:val="both"/>
      </w:pPr>
      <w:r>
        <w:rPr>
          <w:b w:val="0"/>
          <w:i w:val="0"/>
          <w:sz w:val="22"/>
        </w:rPr>
        <w:t>Mediante suplementos o arandelas de espesor calibrado colocadas bajo la base de la olla sobre la parrilla de ensayo. Modificación en segundos, sin alterar ninguna parte del quemador.</w:t>
      </w:r>
    </w:p>
    <w:p>
      <w:pPr>
        <w:spacing w:after="120"/>
        <w:jc w:val="both"/>
      </w:pPr>
      <w:r>
        <w:rPr>
          <w:b/>
          <w:i w:val="0"/>
          <w:sz w:val="22"/>
        </w:rPr>
        <w:t>Relación teórica con la Eficiencia Térmica (η):</w:t>
      </w:r>
    </w:p>
    <w:p>
      <w:pPr>
        <w:spacing w:after="120"/>
        <w:jc w:val="both"/>
      </w:pPr>
      <w:r>
        <w:rPr>
          <w:b w:val="0"/>
          <w:i w:val="0"/>
          <w:sz w:val="22"/>
        </w:rPr>
        <w:t>La tasa de transferencia de calor desde los productos de combustión hacia la base de la olla se rige por los mecanismos de convección forzada y radiación térmica:</w:t>
      </w:r>
    </w:p>
    <w:p>
      <w:pPr>
        <w:spacing w:before="120" w:after="120"/>
        <w:jc w:val="center"/>
      </w:pPr>
      <w:r>
        <w:rPr>
          <w:i/>
          <w:sz w:val="22"/>
        </w:rPr>
        <w:t>q_útil = h · A_olla · (T_gases − T_olla)  +  ε · σ · A_olla · (T_gases⁴ − T_olla⁴)</w:t>
      </w:r>
    </w:p>
    <w:p>
      <w:pPr>
        <w:spacing w:after="120"/>
        <w:jc w:val="both"/>
      </w:pPr>
      <w:r>
        <w:rPr>
          <w:b w:val="0"/>
          <w:i w:val="0"/>
          <w:sz w:val="22"/>
        </w:rPr>
        <w:t>Al reducir H_pot, la trayectoria del chorro caliente de gases de combustión disminuye, el coeficiente de transferencia convectiva (h) aumenta por mayor velocidad de impacto, y se reduce la mezcla de los gases calientes con el aire frío ambiental lateral. El resultado neto es una mayor cantidad de calor absorbida por la olla y un incremento en la eficiencia térmica.</w:t>
      </w:r>
    </w:p>
    <w:p>
      <w:pPr>
        <w:spacing w:after="120"/>
        <w:jc w:val="both"/>
      </w:pPr>
      <w:r>
        <w:rPr>
          <w:b/>
          <w:i w:val="0"/>
          <w:sz w:val="22"/>
        </w:rPr>
        <w:t>Relación teórica con las Emisiones de CO:</w:t>
      </w:r>
    </w:p>
    <w:p>
      <w:pPr>
        <w:spacing w:after="120"/>
        <w:jc w:val="both"/>
      </w:pPr>
      <w:r>
        <w:rPr>
          <w:b w:val="0"/>
          <w:i w:val="0"/>
          <w:sz w:val="22"/>
        </w:rPr>
        <w:t>La reacción de oxidación CO + ½O₂ → CO₂ es sensible a la temperatura según la cinética de Arrhenius. Si H_pot se reduce por debajo de la altura del cono interno de llama, la pared fría de la olla interrumpe abruptamente la zona de reacción, congelando la conversión CO→CO₂. Este fenómeno se denomina Thermal Quenching (Apagado Térmico) y genera picos de CO que pueden superar el límite normativo de 1000 ppm.</w:t>
      </w:r>
    </w:p>
    <w:p>
      <w:pPr>
        <w:spacing w:after="120"/>
        <w:jc w:val="both"/>
      </w:pPr>
      <w:r>
        <w:rPr>
          <w:b/>
          <w:i/>
          <w:sz w:val="22"/>
        </w:rPr>
        <w:t>Grado de Impacto Esperado: CRÍTICO — Variable dominante tanto sobre la eficiencia como sobre las emisiones.</w:t>
      </w:r>
    </w:p>
    <w:p>
      <w:pPr>
        <w:spacing w:before="280" w:after="120"/>
        <w:jc w:val="left"/>
        <w:pBdr>
          <w:bottom w:val="single" w:sz="6" w:space="4" w:color="1A3A5C"/>
        </w:pBdr>
      </w:pPr>
      <w:r>
        <w:rPr>
          <w:b/>
          <w:color w:val="1A3A5C"/>
          <w:sz w:val="22"/>
        </w:rPr>
        <w:t>Variable 2 (X₂): Apertura Efectiva de la Ventana de Aire Primario — A_vent (%)</w:t>
      </w:r>
    </w:p>
    <w:p>
      <w:pPr>
        <w:spacing w:after="120"/>
        <w:jc w:val="both"/>
      </w:pPr>
      <w:r>
        <w:rPr>
          <w:b/>
          <w:i w:val="0"/>
          <w:sz w:val="22"/>
        </w:rPr>
        <w:t>¿Cómo se modifica en el banco?</w:t>
      </w:r>
    </w:p>
    <w:p>
      <w:pPr>
        <w:spacing w:after="120"/>
        <w:jc w:val="both"/>
      </w:pPr>
      <w:r>
        <w:rPr>
          <w:b w:val="0"/>
          <w:i w:val="0"/>
          <w:sz w:val="22"/>
        </w:rPr>
        <w:t>Mediante obturación parcial de la ventana de 25.25 mm con cinta metálica de aluminio de alta temperatura, aplicada desde los bordes de la ventana hacia el centro. Los niveles se expresan como porcentaje del área libre: 50%, 67%, 83%, 100%.</w:t>
      </w:r>
    </w:p>
    <w:p>
      <w:pPr>
        <w:spacing w:after="120"/>
        <w:jc w:val="both"/>
      </w:pPr>
      <w:r>
        <w:rPr>
          <w:b/>
          <w:i w:val="0"/>
          <w:sz w:val="22"/>
        </w:rPr>
        <w:t>Relación teórica con la Eficiencia Térmica (η) y las Emisiones de CO:</w:t>
      </w:r>
    </w:p>
    <w:p>
      <w:pPr>
        <w:spacing w:after="120"/>
        <w:jc w:val="both"/>
      </w:pPr>
      <w:r>
        <w:rPr>
          <w:b w:val="0"/>
          <w:i w:val="0"/>
          <w:sz w:val="22"/>
        </w:rPr>
        <w:t>En un quemador atmosférico abierto, el caudal de aire primario succionado por el efecto eyector del chorro de gas depende del área efectiva de paso por la ventana:</w:t>
      </w:r>
    </w:p>
    <w:p>
      <w:pPr>
        <w:spacing w:before="120" w:after="120"/>
        <w:jc w:val="center"/>
      </w:pPr>
      <w:r>
        <w:rPr>
          <w:i/>
          <w:sz w:val="22"/>
        </w:rPr>
        <w:t>ṁ_aire = Cd · A_vent · √( 2 · ρ_aire · ΔP_succión )</w:t>
      </w:r>
    </w:p>
    <w:p>
      <w:pPr>
        <w:spacing w:after="120"/>
        <w:jc w:val="both"/>
      </w:pPr>
      <w:r>
        <w:rPr>
          <w:b w:val="0"/>
          <w:i w:val="0"/>
          <w:sz w:val="22"/>
        </w:rPr>
        <w:t>La relación de aire primario (λ_prim) define el tipo de llama y la temperatura adiabática de combustión. El rango teórico óptimo para quemadores atmosféricos residenciales de tipo venturi es λ_prim ≈ 0.65 – 0.72:</w:t>
      </w:r>
    </w:p>
    <w:p>
      <w:pPr>
        <w:pStyle w:val="ListBullet"/>
        <w:spacing w:after="60"/>
      </w:pPr>
      <w:r>
        <w:rPr>
          <w:sz w:val="22"/>
        </w:rPr>
        <w:t>Si A_vent &lt; 50% libre: déficit de aire primario (λ_prim &lt; 0.55), llama rica en combustible no quemado, producción de hollín y aumento severo de emisiones de CO por combustión incompleta.</w:t>
      </w:r>
    </w:p>
    <w:p>
      <w:pPr>
        <w:pStyle w:val="ListBullet"/>
        <w:spacing w:after="60"/>
      </w:pPr>
      <w:r>
        <w:rPr>
          <w:sz w:val="22"/>
        </w:rPr>
        <w:t>Si A_vent ≥ 70% libre: el área deja de ser el cuello de botella, el quemador opera en el rango estequiométrico primario óptimo, temperatura adiabática de llama es máxima y las emisiones de CO son mínimas.</w:t>
      </w:r>
    </w:p>
    <w:p>
      <w:pPr>
        <w:spacing w:after="120"/>
        <w:jc w:val="both"/>
      </w:pPr>
      <w:r>
        <w:rPr>
          <w:b/>
          <w:i/>
          <w:sz w:val="22"/>
        </w:rPr>
        <w:t>Grado de Impacto Esperado: ALTO sobre emisiones de CO; MEDIO-ALTO sobre la eficiencia térmica.</w:t>
      </w:r>
    </w:p>
    <w:p>
      <w:pPr>
        <w:spacing w:before="280" w:after="120"/>
        <w:jc w:val="left"/>
        <w:pBdr>
          <w:bottom w:val="single" w:sz="6" w:space="4" w:color="1A3A5C"/>
        </w:pBdr>
      </w:pPr>
      <w:r>
        <w:rPr>
          <w:b/>
          <w:color w:val="1A3A5C"/>
          <w:sz w:val="22"/>
        </w:rPr>
        <w:t>Variable 3 (X₃): Posición Axial del Inyector respecto a la Garganta — x_inj (mm)</w:t>
      </w:r>
    </w:p>
    <w:p>
      <w:pPr>
        <w:spacing w:after="120"/>
        <w:jc w:val="both"/>
      </w:pPr>
      <w:r>
        <w:rPr>
          <w:b/>
          <w:i w:val="0"/>
          <w:sz w:val="22"/>
        </w:rPr>
        <w:t>¿Cómo se modifica en el banco?</w:t>
      </w:r>
    </w:p>
    <w:p>
      <w:pPr>
        <w:spacing w:after="120"/>
        <w:jc w:val="both"/>
      </w:pPr>
      <w:r>
        <w:rPr>
          <w:b w:val="0"/>
          <w:i w:val="0"/>
          <w:sz w:val="22"/>
        </w:rPr>
        <w:t>Desplazando axialmente el inyector sobre su guía roscada o soporte deslizante. Los valores positivos (+mm) corresponden a alejar (retirar) el inyector hacia atrás, aumentando la distancia libre entre la punta del inyector y la entrada de la garganta de Ø10 mm. El valor 0.0 mm corresponde a la posición a ras de la entrada de la garganta.</w:t>
      </w:r>
    </w:p>
    <w:p>
      <w:pPr>
        <w:spacing w:after="120"/>
        <w:jc w:val="both"/>
      </w:pPr>
      <w:r>
        <w:rPr>
          <w:b/>
          <w:i w:val="0"/>
          <w:sz w:val="22"/>
        </w:rPr>
        <w:t>Relación teórica:</w:t>
      </w:r>
    </w:p>
    <w:p>
      <w:pPr>
        <w:spacing w:after="120"/>
        <w:jc w:val="both"/>
      </w:pPr>
      <w:r>
        <w:rPr>
          <w:b w:val="0"/>
          <w:i w:val="0"/>
          <w:sz w:val="22"/>
        </w:rPr>
        <w:t>El chorro de gas genera un cono de expansión con ángulo de apertura natural θ ≈ 12°–15°. Al alejarse de la garganta (x_inj &gt; 0), el chorro recorre una mayor distancia libre en contacto con el aire antes de entrar al tubo. Esta mayor distancia incrementa el área interfacial de cizallamiento entre el gas y el aire, aumentando el momento transferido al aire primario y, por consiguiente, el caudal de succión (λ_prim aumenta). Existe un límite físico: si x_inj supera la distancia crítica (≈ 5–6 mm para este inyector), parte del gas se derrama al exterior reduciendo la eficiencia de inducción.</w:t>
      </w:r>
    </w:p>
    <w:p>
      <w:pPr>
        <w:spacing w:after="120"/>
        <w:jc w:val="both"/>
      </w:pPr>
      <w:r>
        <w:rPr>
          <w:b/>
          <w:i/>
          <w:sz w:val="22"/>
        </w:rPr>
        <w:t>Grado de Impacto Esperado: MEDIO — Permite ajuste fino de λ_prim sin restricciones geométricas.</w:t>
      </w:r>
    </w:p>
    <w:p>
      <w:r>
        <w:br w:type="page"/>
      </w:r>
    </w:p>
    <w:p>
      <w:pPr>
        <w:spacing w:before="280" w:after="120"/>
        <w:jc w:val="left"/>
        <w:pBdr>
          <w:bottom w:val="single" w:sz="6" w:space="4" w:color="1A3A5C"/>
        </w:pBdr>
      </w:pPr>
      <w:r>
        <w:rPr>
          <w:b/>
          <w:color w:val="1A3A5C"/>
          <w:sz w:val="26"/>
        </w:rPr>
        <w:t>3.  HIPÓTESIS ESTADÍSTICAS DEL ESTUDIO</w:t>
      </w:r>
    </w:p>
    <w:p>
      <w:pPr>
        <w:spacing w:after="120"/>
        <w:jc w:val="both"/>
      </w:pPr>
      <w:r>
        <w:rPr>
          <w:b w:val="0"/>
          <w:i w:val="0"/>
          <w:sz w:val="22"/>
        </w:rPr>
        <w:t>El análisis estadístico se realizará mediante Análisis de Varianza (ANOVA) con nivel de significancia α = 0.05 (95% de confianza estadística). Las hipótesis formales son:</w:t>
      </w:r>
    </w:p>
    <w:p>
      <w:pPr>
        <w:spacing w:before="280" w:after="120"/>
        <w:jc w:val="left"/>
        <w:pBdr>
          <w:bottom w:val="single" w:sz="6" w:space="4" w:color="1A3A5C"/>
        </w:pBdr>
      </w:pPr>
      <w:r>
        <w:rPr>
          <w:b/>
          <w:color w:val="1A3A5C"/>
          <w:sz w:val="22"/>
        </w:rPr>
        <w:t>3.1  Hipótesis para Y₁: Eficiencia Térmica (η %)</w:t>
      </w:r>
    </w:p>
    <w:tbl>
      <w:tblPr>
        <w:tblStyle w:val="TableGrid"/>
        <w:tblW w:type="auto" w:w="0"/>
        <w:tblLook w:firstColumn="1" w:firstRow="1" w:lastColumn="0" w:lastRow="0" w:noHBand="0" w:noVBand="1" w:val="04A0"/>
      </w:tblPr>
      <w:tblGrid>
        <w:gridCol w:w="4561"/>
        <w:gridCol w:w="4561"/>
      </w:tblGrid>
      <w:tr>
        <w:tc>
          <w:tcPr>
            <w:tcW w:type="dxa" w:w="4561"/>
            <w:shd w:val="clear" w:color="auto" w:fill="1A3A5C"/>
          </w:tcPr>
          <w:p>
            <w:pPr>
              <w:jc w:val="center"/>
            </w:pPr>
            <w:r>
              <w:rPr>
                <w:sz w:val="20"/>
              </w:rPr>
              <w:t>Hipótesis</w:t>
            </w:r>
          </w:p>
        </w:tc>
        <w:tc>
          <w:tcPr>
            <w:tcW w:type="dxa" w:w="4561"/>
            <w:shd w:val="clear" w:color="auto" w:fill="1A3A5C"/>
          </w:tcPr>
          <w:p>
            <w:pPr>
              <w:jc w:val="center"/>
            </w:pPr>
            <w:r>
              <w:rPr>
                <w:sz w:val="20"/>
              </w:rPr>
              <w:t>Enunciado</w:t>
            </w:r>
          </w:p>
        </w:tc>
      </w:tr>
      <w:tr>
        <w:tc>
          <w:tcPr>
            <w:tcW w:type="dxa" w:w="4561"/>
          </w:tcPr>
          <w:p>
            <w:r>
              <w:rPr>
                <w:b/>
                <w:sz w:val="20"/>
              </w:rPr>
              <w:t>H₀,η  (Nula)</w:t>
            </w:r>
          </w:p>
        </w:tc>
        <w:tc>
          <w:tcPr>
            <w:tcW w:type="dxa" w:w="4561"/>
          </w:tcPr>
          <w:p>
            <w:r>
              <w:rPr>
                <w:sz w:val="20"/>
              </w:rPr>
              <w:t>Ninguno de los factores de diseño (H_pot, A_vent, x_inj) ni sus interacciones o efectos cuadráticos tienen un efecto estadísticamente significativo sobre la eficiencia térmica. Todos los coeficientes del modelo de superficie de respuesta son iguales a cero:</w:t>
              <w:br/>
              <w:t>β₁ = β₂ = β₃ = β₁₁ = β₂₂ = β₃₃ = β₁₂ = β₁₃ = β₂₃ = 0</w:t>
            </w:r>
          </w:p>
        </w:tc>
      </w:tr>
      <w:tr>
        <w:tc>
          <w:tcPr>
            <w:tcW w:type="dxa" w:w="4561"/>
          </w:tcPr>
          <w:p>
            <w:r>
              <w:rPr>
                <w:b/>
                <w:sz w:val="20"/>
              </w:rPr>
              <w:t>H₁,η  (Alternativa)</w:t>
            </w:r>
          </w:p>
        </w:tc>
        <w:tc>
          <w:tcPr>
            <w:tcW w:type="dxa" w:w="4561"/>
          </w:tcPr>
          <w:p>
            <w:r>
              <w:rPr>
                <w:sz w:val="20"/>
              </w:rPr>
              <w:t>Al menos uno de los factores principales, sus interacciones o sus efectos cuadráticos tiene un efecto estadísticamente significativo sobre la eficiencia térmica. Existe curvatura en la superficie de respuesta (βᵢⱼ ≠ 0 para algún par i,j), lo que confirma la necesidad de un modelo de segundo orden para encontrar el óptimo.</w:t>
            </w:r>
          </w:p>
        </w:tc>
      </w:tr>
    </w:tbl>
    <w:p/>
    <w:p>
      <w:pPr>
        <w:spacing w:before="280" w:after="120"/>
        <w:jc w:val="left"/>
        <w:pBdr>
          <w:bottom w:val="single" w:sz="6" w:space="4" w:color="1A3A5C"/>
        </w:pBdr>
      </w:pPr>
      <w:r>
        <w:rPr>
          <w:b/>
          <w:color w:val="1A3A5C"/>
          <w:sz w:val="22"/>
        </w:rPr>
        <w:t>3.2  Hipótesis para Y₂: Emisiones de Monóxido de Carbono (CO ppm)</w:t>
      </w:r>
    </w:p>
    <w:tbl>
      <w:tblPr>
        <w:tblStyle w:val="TableGrid"/>
        <w:tblW w:type="auto" w:w="0"/>
        <w:tblLook w:firstColumn="1" w:firstRow="1" w:lastColumn="0" w:lastRow="0" w:noHBand="0" w:noVBand="1" w:val="04A0"/>
      </w:tblPr>
      <w:tblGrid>
        <w:gridCol w:w="4561"/>
        <w:gridCol w:w="4561"/>
      </w:tblGrid>
      <w:tr>
        <w:tc>
          <w:tcPr>
            <w:tcW w:type="dxa" w:w="4561"/>
            <w:shd w:val="clear" w:color="auto" w:fill="1A3A5C"/>
          </w:tcPr>
          <w:p>
            <w:pPr>
              <w:jc w:val="center"/>
            </w:pPr>
            <w:r>
              <w:rPr>
                <w:sz w:val="20"/>
              </w:rPr>
              <w:t>Hipótesis</w:t>
            </w:r>
          </w:p>
        </w:tc>
        <w:tc>
          <w:tcPr>
            <w:tcW w:type="dxa" w:w="4561"/>
            <w:shd w:val="clear" w:color="auto" w:fill="1A3A5C"/>
          </w:tcPr>
          <w:p>
            <w:pPr>
              <w:jc w:val="center"/>
            </w:pPr>
            <w:r>
              <w:rPr>
                <w:sz w:val="20"/>
              </w:rPr>
              <w:t>Enunciado</w:t>
            </w:r>
          </w:p>
        </w:tc>
      </w:tr>
      <w:tr>
        <w:tc>
          <w:tcPr>
            <w:tcW w:type="dxa" w:w="4561"/>
          </w:tcPr>
          <w:p>
            <w:r>
              <w:rPr>
                <w:b/>
                <w:sz w:val="20"/>
              </w:rPr>
              <w:t>H₀,CO  (Nula)</w:t>
            </w:r>
          </w:p>
        </w:tc>
        <w:tc>
          <w:tcPr>
            <w:tcW w:type="dxa" w:w="4561"/>
          </w:tcPr>
          <w:p>
            <w:r>
              <w:rPr>
                <w:sz w:val="20"/>
              </w:rPr>
              <w:t>Ninguno de los factores de diseño ni sus interacciones tienen un efecto estadísticamente significativo sobre la concentración de emisiones de monóxido de carbono. Todos los coeficientes del modelo son iguales a cero: β₁ = β₂ = β₃ = β₁₁ = β₂₂ = β₃₃ = β₁₂ = β₁₃ = β₂₃ = 0</w:t>
            </w:r>
          </w:p>
        </w:tc>
      </w:tr>
      <w:tr>
        <w:tc>
          <w:tcPr>
            <w:tcW w:type="dxa" w:w="4561"/>
          </w:tcPr>
          <w:p>
            <w:r>
              <w:rPr>
                <w:b/>
                <w:sz w:val="20"/>
              </w:rPr>
              <w:t>H₁,CO  (Alternativa)</w:t>
            </w:r>
          </w:p>
        </w:tc>
        <w:tc>
          <w:tcPr>
            <w:tcW w:type="dxa" w:w="4561"/>
          </w:tcPr>
          <w:p>
            <w:r>
              <w:rPr>
                <w:sz w:val="20"/>
              </w:rPr>
              <w:t>Al menos uno de los factores tiene un efecto significativo sobre la concentración de CO. Se espera particularmente un efecto cuadrático significativo del factor H_pot (β₁₁ ≠ 0), asociado al fenómeno de Thermal Quenching que genera un pico de emisiones cuando H_pot se reduce por debajo de la altura crítica del cono de llama.</w:t>
            </w:r>
          </w:p>
        </w:tc>
      </w:tr>
    </w:tbl>
    <w:p/>
    <w:p>
      <w:pPr>
        <w:spacing w:after="120"/>
        <w:jc w:val="both"/>
      </w:pPr>
      <w:r>
        <w:rPr>
          <w:b w:val="0"/>
          <w:i/>
          <w:sz w:val="22"/>
        </w:rPr>
        <w:t>Criterio de decisión: si el P-valor calculado en el ANOVA para un factor o interacción es P &lt; 0.05, se rechaza la hipótesis nula y se confirma que dicho factor influye significativamente sobre la respuesta. El modelo final deberá cumplir R² ≥ 0.90.</w:t>
      </w:r>
    </w:p>
    <w:p>
      <w:pPr>
        <w:spacing w:before="280" w:after="120"/>
        <w:jc w:val="left"/>
        <w:pBdr>
          <w:bottom w:val="single" w:sz="6" w:space="4" w:color="1A3A5C"/>
        </w:pBdr>
      </w:pPr>
      <w:r>
        <w:rPr>
          <w:b/>
          <w:color w:val="1A3A5C"/>
          <w:sz w:val="26"/>
        </w:rPr>
        <w:t>4.  DEFINICIÓN DE FACTORES Y NIVELES DEL CCD</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A3A5C"/>
          </w:tcPr>
          <w:p>
            <w:pPr>
              <w:jc w:val="center"/>
            </w:pPr>
            <w:r>
              <w:t>Factor</w:t>
            </w:r>
          </w:p>
        </w:tc>
        <w:tc>
          <w:tcPr>
            <w:tcW w:type="dxa" w:w="1303"/>
            <w:shd w:val="clear" w:color="auto" w:fill="1A3A5C"/>
          </w:tcPr>
          <w:p>
            <w:pPr>
              <w:jc w:val="center"/>
            </w:pPr>
            <w:r>
              <w:t>Parámetro</w:t>
            </w:r>
          </w:p>
        </w:tc>
        <w:tc>
          <w:tcPr>
            <w:tcW w:type="dxa" w:w="1303"/>
            <w:shd w:val="clear" w:color="auto" w:fill="1A3A5C"/>
          </w:tcPr>
          <w:p>
            <w:pPr>
              <w:jc w:val="center"/>
            </w:pPr>
            <w:r>
              <w:t>Nivel −α</w:t>
              <w:br/>
              <w:t>(Axial Mín)</w:t>
            </w:r>
          </w:p>
        </w:tc>
        <w:tc>
          <w:tcPr>
            <w:tcW w:type="dxa" w:w="1303"/>
            <w:shd w:val="clear" w:color="auto" w:fill="1A3A5C"/>
          </w:tcPr>
          <w:p>
            <w:pPr>
              <w:jc w:val="center"/>
            </w:pPr>
            <w:r>
              <w:t>Nivel −1</w:t>
              <w:br/>
              <w:t>(Bajo)</w:t>
            </w:r>
          </w:p>
        </w:tc>
        <w:tc>
          <w:tcPr>
            <w:tcW w:type="dxa" w:w="1303"/>
            <w:shd w:val="clear" w:color="auto" w:fill="1A3A5C"/>
          </w:tcPr>
          <w:p>
            <w:pPr>
              <w:jc w:val="center"/>
            </w:pPr>
            <w:r>
              <w:t>Nivel 0</w:t>
              <w:br/>
              <w:t>(Centro)</w:t>
            </w:r>
          </w:p>
        </w:tc>
        <w:tc>
          <w:tcPr>
            <w:tcW w:type="dxa" w:w="1303"/>
            <w:shd w:val="clear" w:color="auto" w:fill="1A3A5C"/>
          </w:tcPr>
          <w:p>
            <w:pPr>
              <w:jc w:val="center"/>
            </w:pPr>
            <w:r>
              <w:t>Nivel +1</w:t>
              <w:br/>
              <w:t>(Alto)</w:t>
            </w:r>
          </w:p>
        </w:tc>
        <w:tc>
          <w:tcPr>
            <w:tcW w:type="dxa" w:w="1303"/>
            <w:shd w:val="clear" w:color="auto" w:fill="1A3A5C"/>
          </w:tcPr>
          <w:p>
            <w:pPr>
              <w:jc w:val="center"/>
            </w:pPr>
            <w:r>
              <w:t>Nivel +α</w:t>
              <w:br/>
              <w:t>(Axial Máx)</w:t>
            </w:r>
          </w:p>
        </w:tc>
      </w:tr>
      <w:tr>
        <w:tc>
          <w:tcPr>
            <w:tcW w:type="dxa" w:w="1303"/>
          </w:tcPr>
          <w:p>
            <w:pPr>
              <w:jc w:val="center"/>
            </w:pPr>
            <w:r>
              <w:rPr>
                <w:sz w:val="19"/>
              </w:rPr>
              <w:t>X₁</w:t>
            </w:r>
          </w:p>
        </w:tc>
        <w:tc>
          <w:tcPr>
            <w:tcW w:type="dxa" w:w="1303"/>
          </w:tcPr>
          <w:p>
            <w:pPr>
              <w:jc w:val="center"/>
            </w:pPr>
            <w:r>
              <w:rPr>
                <w:sz w:val="19"/>
              </w:rPr>
              <w:t>Altura a la Olla</w:t>
              <w:br/>
              <w:t>H_pot (mm)</w:t>
              <w:br/>
              <w:t>[Suplementos/arandelas]</w:t>
            </w:r>
          </w:p>
        </w:tc>
        <w:tc>
          <w:tcPr>
            <w:tcW w:type="dxa" w:w="1303"/>
          </w:tcPr>
          <w:p>
            <w:pPr>
              <w:jc w:val="center"/>
            </w:pPr>
            <w:r>
              <w:rPr>
                <w:sz w:val="19"/>
              </w:rPr>
              <w:t>11.5 mm</w:t>
            </w:r>
          </w:p>
        </w:tc>
        <w:tc>
          <w:tcPr>
            <w:tcW w:type="dxa" w:w="1303"/>
          </w:tcPr>
          <w:p>
            <w:pPr>
              <w:jc w:val="center"/>
            </w:pPr>
            <w:r>
              <w:rPr>
                <w:sz w:val="19"/>
              </w:rPr>
              <w:t>12.5 mm</w:t>
            </w:r>
          </w:p>
        </w:tc>
        <w:tc>
          <w:tcPr>
            <w:tcW w:type="dxa" w:w="1303"/>
            <w:shd w:val="clear" w:color="auto" w:fill="D4EDDA"/>
          </w:tcPr>
          <w:p>
            <w:pPr>
              <w:jc w:val="center"/>
            </w:pPr>
            <w:r>
              <w:rPr>
                <w:b/>
                <w:sz w:val="19"/>
              </w:rPr>
              <w:t>14.0 mm *</w:t>
            </w:r>
          </w:p>
        </w:tc>
        <w:tc>
          <w:tcPr>
            <w:tcW w:type="dxa" w:w="1303"/>
          </w:tcPr>
          <w:p>
            <w:pPr>
              <w:jc w:val="center"/>
            </w:pPr>
            <w:r>
              <w:rPr>
                <w:sz w:val="19"/>
              </w:rPr>
              <w:t>15.5 mm</w:t>
            </w:r>
          </w:p>
        </w:tc>
        <w:tc>
          <w:tcPr>
            <w:tcW w:type="dxa" w:w="1303"/>
          </w:tcPr>
          <w:p>
            <w:pPr>
              <w:jc w:val="center"/>
            </w:pPr>
            <w:r>
              <w:rPr>
                <w:sz w:val="19"/>
              </w:rPr>
              <w:t>16.5 mm</w:t>
            </w:r>
          </w:p>
        </w:tc>
      </w:tr>
      <w:tr>
        <w:tc>
          <w:tcPr>
            <w:tcW w:type="dxa" w:w="1303"/>
          </w:tcPr>
          <w:p>
            <w:pPr>
              <w:jc w:val="center"/>
            </w:pPr>
            <w:r>
              <w:rPr>
                <w:sz w:val="19"/>
              </w:rPr>
              <w:t>X₂</w:t>
            </w:r>
          </w:p>
        </w:tc>
        <w:tc>
          <w:tcPr>
            <w:tcW w:type="dxa" w:w="1303"/>
          </w:tcPr>
          <w:p>
            <w:pPr>
              <w:jc w:val="center"/>
            </w:pPr>
            <w:r>
              <w:rPr>
                <w:sz w:val="19"/>
              </w:rPr>
              <w:t>Apertura Ventana Aire</w:t>
              <w:br/>
              <w:t>A_vent (%)</w:t>
              <w:br/>
              <w:t>[Cinta metálica aluminio]</w:t>
            </w:r>
          </w:p>
        </w:tc>
        <w:tc>
          <w:tcPr>
            <w:tcW w:type="dxa" w:w="1303"/>
          </w:tcPr>
          <w:p>
            <w:pPr>
              <w:jc w:val="center"/>
            </w:pPr>
            <w:r>
              <w:rPr>
                <w:sz w:val="19"/>
              </w:rPr>
              <w:t>50 %</w:t>
            </w:r>
          </w:p>
        </w:tc>
        <w:tc>
          <w:tcPr>
            <w:tcW w:type="dxa" w:w="1303"/>
          </w:tcPr>
          <w:p>
            <w:pPr>
              <w:jc w:val="center"/>
            </w:pPr>
            <w:r>
              <w:rPr>
                <w:sz w:val="19"/>
              </w:rPr>
              <w:t>67 %</w:t>
            </w:r>
          </w:p>
        </w:tc>
        <w:tc>
          <w:tcPr>
            <w:tcW w:type="dxa" w:w="1303"/>
            <w:shd w:val="clear" w:color="auto" w:fill="D4EDDA"/>
          </w:tcPr>
          <w:p>
            <w:pPr>
              <w:jc w:val="center"/>
            </w:pPr>
            <w:r>
              <w:rPr>
                <w:b/>
                <w:sz w:val="19"/>
              </w:rPr>
              <w:t>83 %</w:t>
            </w:r>
          </w:p>
        </w:tc>
        <w:tc>
          <w:tcPr>
            <w:tcW w:type="dxa" w:w="1303"/>
          </w:tcPr>
          <w:p>
            <w:pPr>
              <w:jc w:val="center"/>
            </w:pPr>
            <w:r>
              <w:rPr>
                <w:sz w:val="19"/>
              </w:rPr>
              <w:t>100 %</w:t>
            </w:r>
          </w:p>
        </w:tc>
        <w:tc>
          <w:tcPr>
            <w:tcW w:type="dxa" w:w="1303"/>
          </w:tcPr>
          <w:p>
            <w:pPr>
              <w:jc w:val="center"/>
            </w:pPr>
            <w:r>
              <w:rPr>
                <w:sz w:val="19"/>
              </w:rPr>
              <w:t>100 % **</w:t>
            </w:r>
          </w:p>
        </w:tc>
      </w:tr>
      <w:tr>
        <w:tc>
          <w:tcPr>
            <w:tcW w:type="dxa" w:w="1303"/>
          </w:tcPr>
          <w:p>
            <w:pPr>
              <w:jc w:val="center"/>
            </w:pPr>
            <w:r>
              <w:rPr>
                <w:sz w:val="19"/>
              </w:rPr>
              <w:t>X₃</w:t>
            </w:r>
          </w:p>
        </w:tc>
        <w:tc>
          <w:tcPr>
            <w:tcW w:type="dxa" w:w="1303"/>
          </w:tcPr>
          <w:p>
            <w:pPr>
              <w:jc w:val="center"/>
            </w:pPr>
            <w:r>
              <w:rPr>
                <w:sz w:val="19"/>
              </w:rPr>
              <w:t>Posición Inyector</w:t>
              <w:br/>
              <w:t>x_inj (mm)</w:t>
              <w:br/>
              <w:t>[Desplazamiento axial]</w:t>
            </w:r>
          </w:p>
        </w:tc>
        <w:tc>
          <w:tcPr>
            <w:tcW w:type="dxa" w:w="1303"/>
          </w:tcPr>
          <w:p>
            <w:pPr>
              <w:jc w:val="center"/>
            </w:pPr>
            <w:r>
              <w:rPr>
                <w:sz w:val="19"/>
              </w:rPr>
              <w:t>0.0 mm</w:t>
            </w:r>
          </w:p>
        </w:tc>
        <w:tc>
          <w:tcPr>
            <w:tcW w:type="dxa" w:w="1303"/>
          </w:tcPr>
          <w:p>
            <w:pPr>
              <w:jc w:val="center"/>
            </w:pPr>
            <w:r>
              <w:rPr>
                <w:sz w:val="19"/>
              </w:rPr>
              <w:t>1.0 mm</w:t>
            </w:r>
          </w:p>
        </w:tc>
        <w:tc>
          <w:tcPr>
            <w:tcW w:type="dxa" w:w="1303"/>
            <w:shd w:val="clear" w:color="auto" w:fill="D4EDDA"/>
          </w:tcPr>
          <w:p>
            <w:pPr>
              <w:jc w:val="center"/>
            </w:pPr>
            <w:r>
              <w:rPr>
                <w:b/>
                <w:sz w:val="19"/>
              </w:rPr>
              <w:t>2.5 mm</w:t>
            </w:r>
          </w:p>
        </w:tc>
        <w:tc>
          <w:tcPr>
            <w:tcW w:type="dxa" w:w="1303"/>
          </w:tcPr>
          <w:p>
            <w:pPr>
              <w:jc w:val="center"/>
            </w:pPr>
            <w:r>
              <w:rPr>
                <w:sz w:val="19"/>
              </w:rPr>
              <w:t>4.0 mm</w:t>
            </w:r>
          </w:p>
        </w:tc>
        <w:tc>
          <w:tcPr>
            <w:tcW w:type="dxa" w:w="1303"/>
          </w:tcPr>
          <w:p>
            <w:pPr>
              <w:jc w:val="center"/>
            </w:pPr>
            <w:r>
              <w:rPr>
                <w:sz w:val="19"/>
              </w:rPr>
              <w:t>5.0 mm</w:t>
            </w:r>
          </w:p>
        </w:tc>
      </w:tr>
    </w:tbl>
    <w:p/>
    <w:p>
      <w:pPr>
        <w:spacing w:after="120"/>
        <w:jc w:val="both"/>
      </w:pPr>
      <w:r>
        <w:rPr>
          <w:b w:val="0"/>
          <w:i/>
          <w:sz w:val="20"/>
        </w:rPr>
        <w:t>* Punto Central = Configuración de inicio del espacio de diseño experimental.</w:t>
      </w:r>
    </w:p>
    <w:p>
      <w:pPr>
        <w:spacing w:after="120"/>
        <w:jc w:val="both"/>
      </w:pPr>
      <w:r>
        <w:rPr>
          <w:b w:val="0"/>
          <w:i/>
          <w:sz w:val="20"/>
        </w:rPr>
        <w:t>** El nivel axial máximo de X₂ coincide con el nivel +1 ya que el 100% representa el límite físico absoluto.</w:t>
      </w:r>
    </w:p>
    <w:p>
      <w:r>
        <w:br w:type="page"/>
      </w:r>
    </w:p>
    <w:p>
      <w:pPr>
        <w:spacing w:before="280" w:after="120"/>
        <w:jc w:val="left"/>
        <w:pBdr>
          <w:bottom w:val="single" w:sz="6" w:space="4" w:color="1A3A5C"/>
        </w:pBdr>
      </w:pPr>
      <w:r>
        <w:rPr>
          <w:b/>
          <w:color w:val="1A3A5C"/>
          <w:sz w:val="26"/>
        </w:rPr>
        <w:t>5.  MATRIZ DE ENSAYOS — PLAN DE EJECUCIÓN PARA EL TÉCNICO</w:t>
      </w:r>
    </w:p>
    <w:p>
      <w:pPr>
        <w:spacing w:after="120"/>
        <w:jc w:val="both"/>
      </w:pPr>
      <w:r>
        <w:rPr>
          <w:b w:val="0"/>
          <w:i/>
          <w:sz w:val="22"/>
        </w:rPr>
        <w:t>INSTRUCCIÓN AL TÉCNICO: Ejecutar los ensayos en el orden exacto indicado. El orden está aleatorizado para evitar sesgos por calentamiento progresivo del quemador o de los instrumentos. Registrar los valores medidos en las columnas Y₁, Y₂ e Y₃ inmediatamente después de cada ensayo. Estabilizar el quemador por mínimo 3 minutos antes de tomar cada medición.</w:t>
      </w:r>
    </w:p>
    <w:tbl>
      <w:tblPr>
        <w:tblStyle w:val="TableGrid"/>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1A3A5C"/>
          </w:tcPr>
          <w:p>
            <w:pPr>
              <w:jc w:val="center"/>
            </w:pPr>
            <w:r>
              <w:t>N°</w:t>
            </w:r>
          </w:p>
        </w:tc>
        <w:tc>
          <w:tcPr>
            <w:tcW w:type="dxa" w:w="1014"/>
            <w:shd w:val="clear" w:color="auto" w:fill="1A3A5C"/>
          </w:tcPr>
          <w:p>
            <w:pPr>
              <w:jc w:val="center"/>
            </w:pPr>
            <w:r>
              <w:t>Tipo de Punto</w:t>
            </w:r>
          </w:p>
        </w:tc>
        <w:tc>
          <w:tcPr>
            <w:tcW w:type="dxa" w:w="1014"/>
            <w:shd w:val="clear" w:color="auto" w:fill="1A3A5C"/>
          </w:tcPr>
          <w:p>
            <w:pPr>
              <w:jc w:val="center"/>
            </w:pPr>
            <w:r>
              <w:t>X₁</w:t>
              <w:br/>
              <w:t>H_pot</w:t>
              <w:br/>
              <w:t>(mm)</w:t>
            </w:r>
          </w:p>
        </w:tc>
        <w:tc>
          <w:tcPr>
            <w:tcW w:type="dxa" w:w="1014"/>
            <w:shd w:val="clear" w:color="auto" w:fill="1A3A5C"/>
          </w:tcPr>
          <w:p>
            <w:pPr>
              <w:jc w:val="center"/>
            </w:pPr>
            <w:r>
              <w:t>X₂</w:t>
              <w:br/>
              <w:t>Ventana</w:t>
              <w:br/>
              <w:t>Aire (%)</w:t>
            </w:r>
          </w:p>
        </w:tc>
        <w:tc>
          <w:tcPr>
            <w:tcW w:type="dxa" w:w="1014"/>
            <w:shd w:val="clear" w:color="auto" w:fill="1A3A5C"/>
          </w:tcPr>
          <w:p>
            <w:pPr>
              <w:jc w:val="center"/>
            </w:pPr>
            <w:r>
              <w:t>X₃</w:t>
              <w:br/>
              <w:t>Pos. Inyector</w:t>
              <w:br/>
              <w:t>(mm)</w:t>
            </w:r>
          </w:p>
        </w:tc>
        <w:tc>
          <w:tcPr>
            <w:tcW w:type="dxa" w:w="1014"/>
            <w:shd w:val="clear" w:color="auto" w:fill="1A3A5C"/>
          </w:tcPr>
          <w:p>
            <w:pPr>
              <w:jc w:val="center"/>
            </w:pPr>
            <w:r>
              <w:t>Y₁</w:t>
              <w:br/>
              <w:t>Eficiencia</w:t>
              <w:br/>
              <w:t>η (%)</w:t>
            </w:r>
          </w:p>
        </w:tc>
        <w:tc>
          <w:tcPr>
            <w:tcW w:type="dxa" w:w="1014"/>
            <w:shd w:val="clear" w:color="auto" w:fill="1A3A5C"/>
          </w:tcPr>
          <w:p>
            <w:pPr>
              <w:jc w:val="center"/>
            </w:pPr>
            <w:r>
              <w:t>Y₂</w:t>
              <w:br/>
              <w:t>CO</w:t>
              <w:br/>
              <w:t>(ppm)</w:t>
            </w:r>
          </w:p>
        </w:tc>
        <w:tc>
          <w:tcPr>
            <w:tcW w:type="dxa" w:w="1014"/>
            <w:shd w:val="clear" w:color="auto" w:fill="1A3A5C"/>
          </w:tcPr>
          <w:p>
            <w:pPr>
              <w:jc w:val="center"/>
            </w:pPr>
            <w:r>
              <w:t>Y₃</w:t>
              <w:br/>
              <w:t>Potencia</w:t>
              <w:br/>
              <w:t>(kW)</w:t>
            </w:r>
          </w:p>
        </w:tc>
        <w:tc>
          <w:tcPr>
            <w:tcW w:type="dxa" w:w="1014"/>
            <w:shd w:val="clear" w:color="auto" w:fill="1A3A5C"/>
          </w:tcPr>
          <w:p>
            <w:pPr>
              <w:jc w:val="center"/>
            </w:pPr>
            <w:r>
              <w:t>Observaciones</w:t>
            </w:r>
          </w:p>
        </w:tc>
      </w:tr>
      <w:tr>
        <w:tc>
          <w:tcPr>
            <w:tcW w:type="dxa" w:w="1014"/>
          </w:tcPr>
          <w:p>
            <w:pPr>
              <w:jc w:val="center"/>
            </w:pPr>
            <w:r>
              <w:rPr>
                <w:sz w:val="17"/>
              </w:rPr>
              <w:t>1</w:t>
            </w:r>
          </w:p>
        </w:tc>
        <w:tc>
          <w:tcPr>
            <w:tcW w:type="dxa" w:w="1014"/>
          </w:tcPr>
          <w:p>
            <w:pPr>
              <w:jc w:val="center"/>
            </w:pPr>
            <w:r>
              <w:rPr>
                <w:sz w:val="17"/>
              </w:rPr>
              <w:t>Factorial</w:t>
            </w:r>
          </w:p>
        </w:tc>
        <w:tc>
          <w:tcPr>
            <w:tcW w:type="dxa" w:w="1014"/>
          </w:tcPr>
          <w:p>
            <w:pPr>
              <w:jc w:val="center"/>
            </w:pPr>
            <w:r>
              <w:rPr>
                <w:sz w:val="17"/>
              </w:rPr>
              <w:t>12.5</w:t>
            </w:r>
          </w:p>
        </w:tc>
        <w:tc>
          <w:tcPr>
            <w:tcW w:type="dxa" w:w="1014"/>
          </w:tcPr>
          <w:p>
            <w:pPr>
              <w:jc w:val="center"/>
            </w:pPr>
            <w:r>
              <w:rPr>
                <w:sz w:val="17"/>
              </w:rPr>
              <w:t>67 %</w:t>
              <w:br/>
              <w:t>(1/3 tapada)</w:t>
            </w:r>
          </w:p>
        </w:tc>
        <w:tc>
          <w:tcPr>
            <w:tcW w:type="dxa" w:w="1014"/>
          </w:tcPr>
          <w:p>
            <w:pPr>
              <w:jc w:val="center"/>
            </w:pPr>
            <w:r>
              <w:rPr>
                <w:sz w:val="17"/>
              </w:rPr>
              <w:t>1.0</w:t>
              <w:br/>
              <w:t>(casi raz)</w:t>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r>
      <w:tr>
        <w:tc>
          <w:tcPr>
            <w:tcW w:type="dxa" w:w="1014"/>
          </w:tcPr>
          <w:p>
            <w:pPr>
              <w:jc w:val="center"/>
            </w:pPr>
            <w:r>
              <w:rPr>
                <w:sz w:val="17"/>
              </w:rPr>
              <w:t>2</w:t>
            </w:r>
          </w:p>
        </w:tc>
        <w:tc>
          <w:tcPr>
            <w:tcW w:type="dxa" w:w="1014"/>
          </w:tcPr>
          <w:p>
            <w:pPr>
              <w:jc w:val="center"/>
            </w:pPr>
            <w:r>
              <w:rPr>
                <w:sz w:val="17"/>
              </w:rPr>
              <w:t>Factorial</w:t>
            </w:r>
          </w:p>
        </w:tc>
        <w:tc>
          <w:tcPr>
            <w:tcW w:type="dxa" w:w="1014"/>
          </w:tcPr>
          <w:p>
            <w:pPr>
              <w:jc w:val="center"/>
            </w:pPr>
            <w:r>
              <w:rPr>
                <w:sz w:val="17"/>
              </w:rPr>
              <w:t>15.5</w:t>
            </w:r>
          </w:p>
        </w:tc>
        <w:tc>
          <w:tcPr>
            <w:tcW w:type="dxa" w:w="1014"/>
          </w:tcPr>
          <w:p>
            <w:pPr>
              <w:jc w:val="center"/>
            </w:pPr>
            <w:r>
              <w:rPr>
                <w:sz w:val="17"/>
              </w:rPr>
              <w:t>67 %</w:t>
              <w:br/>
              <w:t>(1/3 tapada)</w:t>
            </w:r>
          </w:p>
        </w:tc>
        <w:tc>
          <w:tcPr>
            <w:tcW w:type="dxa" w:w="1014"/>
          </w:tcPr>
          <w:p>
            <w:pPr>
              <w:jc w:val="center"/>
            </w:pPr>
            <w:r>
              <w:rPr>
                <w:sz w:val="17"/>
              </w:rPr>
              <w:t>1.0</w:t>
              <w:br/>
              <w:t>(casi raz)</w:t>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r>
      <w:tr>
        <w:tc>
          <w:tcPr>
            <w:tcW w:type="dxa" w:w="1014"/>
          </w:tcPr>
          <w:p>
            <w:pPr>
              <w:jc w:val="center"/>
            </w:pPr>
            <w:r>
              <w:rPr>
                <w:sz w:val="17"/>
              </w:rPr>
              <w:t>3</w:t>
            </w:r>
          </w:p>
        </w:tc>
        <w:tc>
          <w:tcPr>
            <w:tcW w:type="dxa" w:w="1014"/>
          </w:tcPr>
          <w:p>
            <w:pPr>
              <w:jc w:val="center"/>
            </w:pPr>
            <w:r>
              <w:rPr>
                <w:sz w:val="17"/>
              </w:rPr>
              <w:t>Factorial</w:t>
            </w:r>
          </w:p>
        </w:tc>
        <w:tc>
          <w:tcPr>
            <w:tcW w:type="dxa" w:w="1014"/>
          </w:tcPr>
          <w:p>
            <w:pPr>
              <w:jc w:val="center"/>
            </w:pPr>
            <w:r>
              <w:rPr>
                <w:sz w:val="17"/>
              </w:rPr>
              <w:t>12.5</w:t>
            </w:r>
          </w:p>
        </w:tc>
        <w:tc>
          <w:tcPr>
            <w:tcW w:type="dxa" w:w="1014"/>
          </w:tcPr>
          <w:p>
            <w:pPr>
              <w:jc w:val="center"/>
            </w:pPr>
            <w:r>
              <w:rPr>
                <w:sz w:val="17"/>
              </w:rPr>
              <w:t>100 %</w:t>
              <w:br/>
              <w:t>(abierta)</w:t>
            </w:r>
          </w:p>
        </w:tc>
        <w:tc>
          <w:tcPr>
            <w:tcW w:type="dxa" w:w="1014"/>
          </w:tcPr>
          <w:p>
            <w:pPr>
              <w:jc w:val="center"/>
            </w:pPr>
            <w:r>
              <w:rPr>
                <w:sz w:val="17"/>
              </w:rPr>
              <w:t>1.0</w:t>
              <w:br/>
              <w:t>(casi raz)</w:t>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r>
      <w:tr>
        <w:tc>
          <w:tcPr>
            <w:tcW w:type="dxa" w:w="1014"/>
          </w:tcPr>
          <w:p>
            <w:pPr>
              <w:jc w:val="center"/>
            </w:pPr>
            <w:r>
              <w:rPr>
                <w:sz w:val="17"/>
              </w:rPr>
              <w:t>4</w:t>
            </w:r>
          </w:p>
        </w:tc>
        <w:tc>
          <w:tcPr>
            <w:tcW w:type="dxa" w:w="1014"/>
          </w:tcPr>
          <w:p>
            <w:pPr>
              <w:jc w:val="center"/>
            </w:pPr>
            <w:r>
              <w:rPr>
                <w:sz w:val="17"/>
              </w:rPr>
              <w:t>Factorial</w:t>
            </w:r>
          </w:p>
        </w:tc>
        <w:tc>
          <w:tcPr>
            <w:tcW w:type="dxa" w:w="1014"/>
          </w:tcPr>
          <w:p>
            <w:pPr>
              <w:jc w:val="center"/>
            </w:pPr>
            <w:r>
              <w:rPr>
                <w:sz w:val="17"/>
              </w:rPr>
              <w:t>15.5</w:t>
            </w:r>
          </w:p>
        </w:tc>
        <w:tc>
          <w:tcPr>
            <w:tcW w:type="dxa" w:w="1014"/>
          </w:tcPr>
          <w:p>
            <w:pPr>
              <w:jc w:val="center"/>
            </w:pPr>
            <w:r>
              <w:rPr>
                <w:sz w:val="17"/>
              </w:rPr>
              <w:t>100 %</w:t>
              <w:br/>
              <w:t>(abierta)</w:t>
            </w:r>
          </w:p>
        </w:tc>
        <w:tc>
          <w:tcPr>
            <w:tcW w:type="dxa" w:w="1014"/>
          </w:tcPr>
          <w:p>
            <w:pPr>
              <w:jc w:val="center"/>
            </w:pPr>
            <w:r>
              <w:rPr>
                <w:sz w:val="17"/>
              </w:rPr>
              <w:t>1.0</w:t>
              <w:br/>
              <w:t>(casi raz)</w:t>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r>
      <w:tr>
        <w:tc>
          <w:tcPr>
            <w:tcW w:type="dxa" w:w="1014"/>
          </w:tcPr>
          <w:p>
            <w:pPr>
              <w:jc w:val="center"/>
            </w:pPr>
            <w:r>
              <w:rPr>
                <w:sz w:val="17"/>
              </w:rPr>
              <w:t>5</w:t>
            </w:r>
          </w:p>
        </w:tc>
        <w:tc>
          <w:tcPr>
            <w:tcW w:type="dxa" w:w="1014"/>
          </w:tcPr>
          <w:p>
            <w:pPr>
              <w:jc w:val="center"/>
            </w:pPr>
            <w:r>
              <w:rPr>
                <w:sz w:val="17"/>
              </w:rPr>
              <w:t>Factorial</w:t>
            </w:r>
          </w:p>
        </w:tc>
        <w:tc>
          <w:tcPr>
            <w:tcW w:type="dxa" w:w="1014"/>
          </w:tcPr>
          <w:p>
            <w:pPr>
              <w:jc w:val="center"/>
            </w:pPr>
            <w:r>
              <w:rPr>
                <w:sz w:val="17"/>
              </w:rPr>
              <w:t>12.5</w:t>
            </w:r>
          </w:p>
        </w:tc>
        <w:tc>
          <w:tcPr>
            <w:tcW w:type="dxa" w:w="1014"/>
          </w:tcPr>
          <w:p>
            <w:pPr>
              <w:jc w:val="center"/>
            </w:pPr>
            <w:r>
              <w:rPr>
                <w:sz w:val="17"/>
              </w:rPr>
              <w:t>67 %</w:t>
              <w:br/>
              <w:t>(1/3 tapada)</w:t>
            </w:r>
          </w:p>
        </w:tc>
        <w:tc>
          <w:tcPr>
            <w:tcW w:type="dxa" w:w="1014"/>
          </w:tcPr>
          <w:p>
            <w:pPr>
              <w:jc w:val="center"/>
            </w:pPr>
            <w:r>
              <w:rPr>
                <w:sz w:val="17"/>
              </w:rPr>
              <w:t>4.0</w:t>
              <w:br/>
              <w:t>(retirado)</w:t>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r>
      <w:tr>
        <w:tc>
          <w:tcPr>
            <w:tcW w:type="dxa" w:w="1014"/>
          </w:tcPr>
          <w:p>
            <w:pPr>
              <w:jc w:val="center"/>
            </w:pPr>
            <w:r>
              <w:rPr>
                <w:sz w:val="17"/>
              </w:rPr>
              <w:t>6</w:t>
            </w:r>
          </w:p>
        </w:tc>
        <w:tc>
          <w:tcPr>
            <w:tcW w:type="dxa" w:w="1014"/>
          </w:tcPr>
          <w:p>
            <w:pPr>
              <w:jc w:val="center"/>
            </w:pPr>
            <w:r>
              <w:rPr>
                <w:sz w:val="17"/>
              </w:rPr>
              <w:t>Factorial</w:t>
            </w:r>
          </w:p>
        </w:tc>
        <w:tc>
          <w:tcPr>
            <w:tcW w:type="dxa" w:w="1014"/>
          </w:tcPr>
          <w:p>
            <w:pPr>
              <w:jc w:val="center"/>
            </w:pPr>
            <w:r>
              <w:rPr>
                <w:sz w:val="17"/>
              </w:rPr>
              <w:t>15.5</w:t>
            </w:r>
          </w:p>
        </w:tc>
        <w:tc>
          <w:tcPr>
            <w:tcW w:type="dxa" w:w="1014"/>
          </w:tcPr>
          <w:p>
            <w:pPr>
              <w:jc w:val="center"/>
            </w:pPr>
            <w:r>
              <w:rPr>
                <w:sz w:val="17"/>
              </w:rPr>
              <w:t>67 %</w:t>
              <w:br/>
              <w:t>(1/3 tapada)</w:t>
            </w:r>
          </w:p>
        </w:tc>
        <w:tc>
          <w:tcPr>
            <w:tcW w:type="dxa" w:w="1014"/>
          </w:tcPr>
          <w:p>
            <w:pPr>
              <w:jc w:val="center"/>
            </w:pPr>
            <w:r>
              <w:rPr>
                <w:sz w:val="17"/>
              </w:rPr>
              <w:t>4.0</w:t>
              <w:br/>
              <w:t>(retirado)</w:t>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r>
      <w:tr>
        <w:tc>
          <w:tcPr>
            <w:tcW w:type="dxa" w:w="1014"/>
          </w:tcPr>
          <w:p>
            <w:pPr>
              <w:jc w:val="center"/>
            </w:pPr>
            <w:r>
              <w:rPr>
                <w:sz w:val="17"/>
              </w:rPr>
              <w:t>7</w:t>
            </w:r>
          </w:p>
        </w:tc>
        <w:tc>
          <w:tcPr>
            <w:tcW w:type="dxa" w:w="1014"/>
          </w:tcPr>
          <w:p>
            <w:pPr>
              <w:jc w:val="center"/>
            </w:pPr>
            <w:r>
              <w:rPr>
                <w:sz w:val="17"/>
              </w:rPr>
              <w:t>Factorial</w:t>
            </w:r>
          </w:p>
        </w:tc>
        <w:tc>
          <w:tcPr>
            <w:tcW w:type="dxa" w:w="1014"/>
          </w:tcPr>
          <w:p>
            <w:pPr>
              <w:jc w:val="center"/>
            </w:pPr>
            <w:r>
              <w:rPr>
                <w:sz w:val="17"/>
              </w:rPr>
              <w:t>12.5</w:t>
            </w:r>
          </w:p>
        </w:tc>
        <w:tc>
          <w:tcPr>
            <w:tcW w:type="dxa" w:w="1014"/>
          </w:tcPr>
          <w:p>
            <w:pPr>
              <w:jc w:val="center"/>
            </w:pPr>
            <w:r>
              <w:rPr>
                <w:sz w:val="17"/>
              </w:rPr>
              <w:t>100 %</w:t>
              <w:br/>
              <w:t>(abierta)</w:t>
            </w:r>
          </w:p>
        </w:tc>
        <w:tc>
          <w:tcPr>
            <w:tcW w:type="dxa" w:w="1014"/>
          </w:tcPr>
          <w:p>
            <w:pPr>
              <w:jc w:val="center"/>
            </w:pPr>
            <w:r>
              <w:rPr>
                <w:sz w:val="17"/>
              </w:rPr>
              <w:t>4.0</w:t>
              <w:br/>
              <w:t>(retirado)</w:t>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r>
      <w:tr>
        <w:tc>
          <w:tcPr>
            <w:tcW w:type="dxa" w:w="1014"/>
          </w:tcPr>
          <w:p>
            <w:pPr>
              <w:jc w:val="center"/>
            </w:pPr>
            <w:r>
              <w:rPr>
                <w:sz w:val="17"/>
              </w:rPr>
              <w:t>8</w:t>
            </w:r>
          </w:p>
        </w:tc>
        <w:tc>
          <w:tcPr>
            <w:tcW w:type="dxa" w:w="1014"/>
          </w:tcPr>
          <w:p>
            <w:pPr>
              <w:jc w:val="center"/>
            </w:pPr>
            <w:r>
              <w:rPr>
                <w:sz w:val="17"/>
              </w:rPr>
              <w:t>Factorial</w:t>
            </w:r>
          </w:p>
        </w:tc>
        <w:tc>
          <w:tcPr>
            <w:tcW w:type="dxa" w:w="1014"/>
          </w:tcPr>
          <w:p>
            <w:pPr>
              <w:jc w:val="center"/>
            </w:pPr>
            <w:r>
              <w:rPr>
                <w:sz w:val="17"/>
              </w:rPr>
              <w:t>15.5</w:t>
            </w:r>
          </w:p>
        </w:tc>
        <w:tc>
          <w:tcPr>
            <w:tcW w:type="dxa" w:w="1014"/>
          </w:tcPr>
          <w:p>
            <w:pPr>
              <w:jc w:val="center"/>
            </w:pPr>
            <w:r>
              <w:rPr>
                <w:sz w:val="17"/>
              </w:rPr>
              <w:t>100 %</w:t>
              <w:br/>
              <w:t>(abierta)</w:t>
            </w:r>
          </w:p>
        </w:tc>
        <w:tc>
          <w:tcPr>
            <w:tcW w:type="dxa" w:w="1014"/>
          </w:tcPr>
          <w:p>
            <w:pPr>
              <w:jc w:val="center"/>
            </w:pPr>
            <w:r>
              <w:rPr>
                <w:sz w:val="17"/>
              </w:rPr>
              <w:t>4.0</w:t>
              <w:br/>
              <w:t>(retirado)</w:t>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c>
          <w:tcPr>
            <w:tcW w:type="dxa" w:w="1014"/>
          </w:tcPr>
          <w:p>
            <w:pPr>
              <w:jc w:val="center"/>
            </w:pPr>
            <w:r>
              <w:rPr>
                <w:sz w:val="17"/>
              </w:rPr>
            </w:r>
          </w:p>
        </w:tc>
      </w:tr>
      <w:tr>
        <w:tc>
          <w:tcPr>
            <w:tcW w:type="dxa" w:w="1014"/>
            <w:shd w:val="clear" w:color="auto" w:fill="FFF3CD"/>
          </w:tcPr>
          <w:p>
            <w:pPr>
              <w:jc w:val="center"/>
            </w:pPr>
            <w:r>
              <w:rPr>
                <w:sz w:val="17"/>
              </w:rPr>
              <w:t>9</w:t>
            </w:r>
          </w:p>
        </w:tc>
        <w:tc>
          <w:tcPr>
            <w:tcW w:type="dxa" w:w="1014"/>
            <w:shd w:val="clear" w:color="auto" w:fill="FFF3CD"/>
          </w:tcPr>
          <w:p>
            <w:pPr>
              <w:jc w:val="center"/>
            </w:pPr>
            <w:r>
              <w:rPr>
                <w:sz w:val="17"/>
              </w:rPr>
              <w:t>Axial (Lím. Mín X₁)</w:t>
            </w:r>
          </w:p>
        </w:tc>
        <w:tc>
          <w:tcPr>
            <w:tcW w:type="dxa" w:w="1014"/>
            <w:shd w:val="clear" w:color="auto" w:fill="FFF3CD"/>
          </w:tcPr>
          <w:p>
            <w:pPr>
              <w:jc w:val="center"/>
            </w:pPr>
            <w:r>
              <w:rPr>
                <w:sz w:val="17"/>
              </w:rPr>
              <w:t>11.5</w:t>
            </w:r>
          </w:p>
        </w:tc>
        <w:tc>
          <w:tcPr>
            <w:tcW w:type="dxa" w:w="1014"/>
            <w:shd w:val="clear" w:color="auto" w:fill="FFF3CD"/>
          </w:tcPr>
          <w:p>
            <w:pPr>
              <w:jc w:val="center"/>
            </w:pPr>
            <w:r>
              <w:rPr>
                <w:sz w:val="17"/>
              </w:rPr>
              <w:t>83 %</w:t>
              <w:br/>
              <w:t>(cinta leve)</w:t>
            </w:r>
          </w:p>
        </w:tc>
        <w:tc>
          <w:tcPr>
            <w:tcW w:type="dxa" w:w="1014"/>
            <w:shd w:val="clear" w:color="auto" w:fill="FFF3CD"/>
          </w:tcPr>
          <w:p>
            <w:pPr>
              <w:jc w:val="center"/>
            </w:pPr>
            <w:r>
              <w:rPr>
                <w:sz w:val="17"/>
              </w:rPr>
              <w:t>2.5</w:t>
              <w:br/>
              <w:t>(centro)</w:t>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r>
      <w:tr>
        <w:tc>
          <w:tcPr>
            <w:tcW w:type="dxa" w:w="1014"/>
            <w:shd w:val="clear" w:color="auto" w:fill="FFF3CD"/>
          </w:tcPr>
          <w:p>
            <w:pPr>
              <w:jc w:val="center"/>
            </w:pPr>
            <w:r>
              <w:rPr>
                <w:sz w:val="17"/>
              </w:rPr>
              <w:t>10</w:t>
            </w:r>
          </w:p>
        </w:tc>
        <w:tc>
          <w:tcPr>
            <w:tcW w:type="dxa" w:w="1014"/>
            <w:shd w:val="clear" w:color="auto" w:fill="FFF3CD"/>
          </w:tcPr>
          <w:p>
            <w:pPr>
              <w:jc w:val="center"/>
            </w:pPr>
            <w:r>
              <w:rPr>
                <w:sz w:val="17"/>
              </w:rPr>
              <w:t>Axial (Lím. Máx X₁)</w:t>
            </w:r>
          </w:p>
        </w:tc>
        <w:tc>
          <w:tcPr>
            <w:tcW w:type="dxa" w:w="1014"/>
            <w:shd w:val="clear" w:color="auto" w:fill="FFF3CD"/>
          </w:tcPr>
          <w:p>
            <w:pPr>
              <w:jc w:val="center"/>
            </w:pPr>
            <w:r>
              <w:rPr>
                <w:sz w:val="17"/>
              </w:rPr>
              <w:t>16.5</w:t>
            </w:r>
          </w:p>
        </w:tc>
        <w:tc>
          <w:tcPr>
            <w:tcW w:type="dxa" w:w="1014"/>
            <w:shd w:val="clear" w:color="auto" w:fill="FFF3CD"/>
          </w:tcPr>
          <w:p>
            <w:pPr>
              <w:jc w:val="center"/>
            </w:pPr>
            <w:r>
              <w:rPr>
                <w:sz w:val="17"/>
              </w:rPr>
              <w:t>83 %</w:t>
              <w:br/>
              <w:t>(cinta leve)</w:t>
            </w:r>
          </w:p>
        </w:tc>
        <w:tc>
          <w:tcPr>
            <w:tcW w:type="dxa" w:w="1014"/>
            <w:shd w:val="clear" w:color="auto" w:fill="FFF3CD"/>
          </w:tcPr>
          <w:p>
            <w:pPr>
              <w:jc w:val="center"/>
            </w:pPr>
            <w:r>
              <w:rPr>
                <w:sz w:val="17"/>
              </w:rPr>
              <w:t>2.5</w:t>
              <w:br/>
              <w:t>(centro)</w:t>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r>
      <w:tr>
        <w:tc>
          <w:tcPr>
            <w:tcW w:type="dxa" w:w="1014"/>
            <w:shd w:val="clear" w:color="auto" w:fill="FFF3CD"/>
          </w:tcPr>
          <w:p>
            <w:pPr>
              <w:jc w:val="center"/>
            </w:pPr>
            <w:r>
              <w:rPr>
                <w:sz w:val="17"/>
              </w:rPr>
              <w:t>11</w:t>
            </w:r>
          </w:p>
        </w:tc>
        <w:tc>
          <w:tcPr>
            <w:tcW w:type="dxa" w:w="1014"/>
            <w:shd w:val="clear" w:color="auto" w:fill="FFF3CD"/>
          </w:tcPr>
          <w:p>
            <w:pPr>
              <w:jc w:val="center"/>
            </w:pPr>
            <w:r>
              <w:rPr>
                <w:sz w:val="17"/>
              </w:rPr>
              <w:t>Axial (Lím. Mín X₂)</w:t>
            </w:r>
          </w:p>
        </w:tc>
        <w:tc>
          <w:tcPr>
            <w:tcW w:type="dxa" w:w="1014"/>
            <w:shd w:val="clear" w:color="auto" w:fill="FFF3CD"/>
          </w:tcPr>
          <w:p>
            <w:pPr>
              <w:jc w:val="center"/>
            </w:pPr>
            <w:r>
              <w:rPr>
                <w:sz w:val="17"/>
              </w:rPr>
              <w:t>14.0</w:t>
            </w:r>
          </w:p>
        </w:tc>
        <w:tc>
          <w:tcPr>
            <w:tcW w:type="dxa" w:w="1014"/>
            <w:shd w:val="clear" w:color="auto" w:fill="FFF3CD"/>
          </w:tcPr>
          <w:p>
            <w:pPr>
              <w:jc w:val="center"/>
            </w:pPr>
            <w:r>
              <w:rPr>
                <w:sz w:val="17"/>
              </w:rPr>
              <w:t>50 %</w:t>
              <w:br/>
              <w:t>(mitad tapada)</w:t>
            </w:r>
          </w:p>
        </w:tc>
        <w:tc>
          <w:tcPr>
            <w:tcW w:type="dxa" w:w="1014"/>
            <w:shd w:val="clear" w:color="auto" w:fill="FFF3CD"/>
          </w:tcPr>
          <w:p>
            <w:pPr>
              <w:jc w:val="center"/>
            </w:pPr>
            <w:r>
              <w:rPr>
                <w:sz w:val="17"/>
              </w:rPr>
              <w:t>2.5</w:t>
              <w:br/>
              <w:t>(centro)</w:t>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r>
      <w:tr>
        <w:tc>
          <w:tcPr>
            <w:tcW w:type="dxa" w:w="1014"/>
            <w:shd w:val="clear" w:color="auto" w:fill="FFF3CD"/>
          </w:tcPr>
          <w:p>
            <w:pPr>
              <w:jc w:val="center"/>
            </w:pPr>
            <w:r>
              <w:rPr>
                <w:sz w:val="17"/>
              </w:rPr>
              <w:t>12</w:t>
            </w:r>
          </w:p>
        </w:tc>
        <w:tc>
          <w:tcPr>
            <w:tcW w:type="dxa" w:w="1014"/>
            <w:shd w:val="clear" w:color="auto" w:fill="FFF3CD"/>
          </w:tcPr>
          <w:p>
            <w:pPr>
              <w:jc w:val="center"/>
            </w:pPr>
            <w:r>
              <w:rPr>
                <w:sz w:val="17"/>
              </w:rPr>
              <w:t>Axial (Lím. Máx X₂)</w:t>
            </w:r>
          </w:p>
        </w:tc>
        <w:tc>
          <w:tcPr>
            <w:tcW w:type="dxa" w:w="1014"/>
            <w:shd w:val="clear" w:color="auto" w:fill="FFF3CD"/>
          </w:tcPr>
          <w:p>
            <w:pPr>
              <w:jc w:val="center"/>
            </w:pPr>
            <w:r>
              <w:rPr>
                <w:sz w:val="17"/>
              </w:rPr>
              <w:t>14.0</w:t>
            </w:r>
          </w:p>
        </w:tc>
        <w:tc>
          <w:tcPr>
            <w:tcW w:type="dxa" w:w="1014"/>
            <w:shd w:val="clear" w:color="auto" w:fill="FFF3CD"/>
          </w:tcPr>
          <w:p>
            <w:pPr>
              <w:jc w:val="center"/>
            </w:pPr>
            <w:r>
              <w:rPr>
                <w:sz w:val="17"/>
              </w:rPr>
              <w:t>100 %</w:t>
              <w:br/>
              <w:t>(abierta)</w:t>
            </w:r>
          </w:p>
        </w:tc>
        <w:tc>
          <w:tcPr>
            <w:tcW w:type="dxa" w:w="1014"/>
            <w:shd w:val="clear" w:color="auto" w:fill="FFF3CD"/>
          </w:tcPr>
          <w:p>
            <w:pPr>
              <w:jc w:val="center"/>
            </w:pPr>
            <w:r>
              <w:rPr>
                <w:sz w:val="17"/>
              </w:rPr>
              <w:t>2.5</w:t>
              <w:br/>
              <w:t>(centro)</w:t>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r>
      <w:tr>
        <w:tc>
          <w:tcPr>
            <w:tcW w:type="dxa" w:w="1014"/>
            <w:shd w:val="clear" w:color="auto" w:fill="FFF3CD"/>
          </w:tcPr>
          <w:p>
            <w:pPr>
              <w:jc w:val="center"/>
            </w:pPr>
            <w:r>
              <w:rPr>
                <w:sz w:val="17"/>
              </w:rPr>
              <w:t>13</w:t>
            </w:r>
          </w:p>
        </w:tc>
        <w:tc>
          <w:tcPr>
            <w:tcW w:type="dxa" w:w="1014"/>
            <w:shd w:val="clear" w:color="auto" w:fill="FFF3CD"/>
          </w:tcPr>
          <w:p>
            <w:pPr>
              <w:jc w:val="center"/>
            </w:pPr>
            <w:r>
              <w:rPr>
                <w:sz w:val="17"/>
              </w:rPr>
              <w:t>Axial (Lím. Mín X₃)</w:t>
            </w:r>
          </w:p>
        </w:tc>
        <w:tc>
          <w:tcPr>
            <w:tcW w:type="dxa" w:w="1014"/>
            <w:shd w:val="clear" w:color="auto" w:fill="FFF3CD"/>
          </w:tcPr>
          <w:p>
            <w:pPr>
              <w:jc w:val="center"/>
            </w:pPr>
            <w:r>
              <w:rPr>
                <w:sz w:val="17"/>
              </w:rPr>
              <w:t>14.0</w:t>
            </w:r>
          </w:p>
        </w:tc>
        <w:tc>
          <w:tcPr>
            <w:tcW w:type="dxa" w:w="1014"/>
            <w:shd w:val="clear" w:color="auto" w:fill="FFF3CD"/>
          </w:tcPr>
          <w:p>
            <w:pPr>
              <w:jc w:val="center"/>
            </w:pPr>
            <w:r>
              <w:rPr>
                <w:sz w:val="17"/>
              </w:rPr>
              <w:t>83 %</w:t>
              <w:br/>
              <w:t>(cinta leve)</w:t>
            </w:r>
          </w:p>
        </w:tc>
        <w:tc>
          <w:tcPr>
            <w:tcW w:type="dxa" w:w="1014"/>
            <w:shd w:val="clear" w:color="auto" w:fill="FFF3CD"/>
          </w:tcPr>
          <w:p>
            <w:pPr>
              <w:jc w:val="center"/>
            </w:pPr>
            <w:r>
              <w:rPr>
                <w:sz w:val="17"/>
              </w:rPr>
              <w:t>0.0</w:t>
              <w:br/>
              <w:t>(raz)</w:t>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r>
      <w:tr>
        <w:tc>
          <w:tcPr>
            <w:tcW w:type="dxa" w:w="1014"/>
            <w:shd w:val="clear" w:color="auto" w:fill="FFF3CD"/>
          </w:tcPr>
          <w:p>
            <w:pPr>
              <w:jc w:val="center"/>
            </w:pPr>
            <w:r>
              <w:rPr>
                <w:sz w:val="17"/>
              </w:rPr>
              <w:t>14</w:t>
            </w:r>
          </w:p>
        </w:tc>
        <w:tc>
          <w:tcPr>
            <w:tcW w:type="dxa" w:w="1014"/>
            <w:shd w:val="clear" w:color="auto" w:fill="FFF3CD"/>
          </w:tcPr>
          <w:p>
            <w:pPr>
              <w:jc w:val="center"/>
            </w:pPr>
            <w:r>
              <w:rPr>
                <w:sz w:val="17"/>
              </w:rPr>
              <w:t>Axial (Lím. Máx X₃)</w:t>
            </w:r>
          </w:p>
        </w:tc>
        <w:tc>
          <w:tcPr>
            <w:tcW w:type="dxa" w:w="1014"/>
            <w:shd w:val="clear" w:color="auto" w:fill="FFF3CD"/>
          </w:tcPr>
          <w:p>
            <w:pPr>
              <w:jc w:val="center"/>
            </w:pPr>
            <w:r>
              <w:rPr>
                <w:sz w:val="17"/>
              </w:rPr>
              <w:t>14.0</w:t>
            </w:r>
          </w:p>
        </w:tc>
        <w:tc>
          <w:tcPr>
            <w:tcW w:type="dxa" w:w="1014"/>
            <w:shd w:val="clear" w:color="auto" w:fill="FFF3CD"/>
          </w:tcPr>
          <w:p>
            <w:pPr>
              <w:jc w:val="center"/>
            </w:pPr>
            <w:r>
              <w:rPr>
                <w:sz w:val="17"/>
              </w:rPr>
              <w:t>83 %</w:t>
              <w:br/>
              <w:t>(cinta leve)</w:t>
            </w:r>
          </w:p>
        </w:tc>
        <w:tc>
          <w:tcPr>
            <w:tcW w:type="dxa" w:w="1014"/>
            <w:shd w:val="clear" w:color="auto" w:fill="FFF3CD"/>
          </w:tcPr>
          <w:p>
            <w:pPr>
              <w:jc w:val="center"/>
            </w:pPr>
            <w:r>
              <w:rPr>
                <w:sz w:val="17"/>
              </w:rPr>
              <w:t>5.0</w:t>
              <w:br/>
              <w:t>(muy retirado)</w:t>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c>
          <w:tcPr>
            <w:tcW w:type="dxa" w:w="1014"/>
            <w:shd w:val="clear" w:color="auto" w:fill="FFF3CD"/>
          </w:tcPr>
          <w:p>
            <w:pPr>
              <w:jc w:val="center"/>
            </w:pPr>
            <w:r>
              <w:rPr>
                <w:sz w:val="17"/>
              </w:rPr>
            </w:r>
          </w:p>
        </w:tc>
      </w:tr>
      <w:tr>
        <w:tc>
          <w:tcPr>
            <w:tcW w:type="dxa" w:w="1014"/>
            <w:shd w:val="clear" w:color="auto" w:fill="D4EDDA"/>
          </w:tcPr>
          <w:p>
            <w:pPr>
              <w:jc w:val="center"/>
            </w:pPr>
            <w:r>
              <w:rPr>
                <w:b/>
                <w:sz w:val="17"/>
              </w:rPr>
              <w:t>15</w:t>
            </w:r>
          </w:p>
        </w:tc>
        <w:tc>
          <w:tcPr>
            <w:tcW w:type="dxa" w:w="1014"/>
            <w:shd w:val="clear" w:color="auto" w:fill="D4EDDA"/>
          </w:tcPr>
          <w:p>
            <w:pPr>
              <w:jc w:val="center"/>
            </w:pPr>
            <w:r>
              <w:rPr>
                <w:b/>
                <w:sz w:val="17"/>
              </w:rPr>
              <w:t>PUNTO CENTRAL</w:t>
              <w:br/>
              <w:t>(Base Actual)</w:t>
            </w:r>
          </w:p>
        </w:tc>
        <w:tc>
          <w:tcPr>
            <w:tcW w:type="dxa" w:w="1014"/>
            <w:shd w:val="clear" w:color="auto" w:fill="D4EDDA"/>
          </w:tcPr>
          <w:p>
            <w:pPr>
              <w:jc w:val="center"/>
            </w:pPr>
            <w:r>
              <w:rPr>
                <w:b/>
                <w:sz w:val="17"/>
              </w:rPr>
              <w:t>14.0</w:t>
            </w:r>
          </w:p>
        </w:tc>
        <w:tc>
          <w:tcPr>
            <w:tcW w:type="dxa" w:w="1014"/>
            <w:shd w:val="clear" w:color="auto" w:fill="D4EDDA"/>
          </w:tcPr>
          <w:p>
            <w:pPr>
              <w:jc w:val="center"/>
            </w:pPr>
            <w:r>
              <w:rPr>
                <w:b/>
                <w:sz w:val="17"/>
              </w:rPr>
              <w:t>83 %</w:t>
            </w:r>
          </w:p>
        </w:tc>
        <w:tc>
          <w:tcPr>
            <w:tcW w:type="dxa" w:w="1014"/>
            <w:shd w:val="clear" w:color="auto" w:fill="D4EDDA"/>
          </w:tcPr>
          <w:p>
            <w:pPr>
              <w:jc w:val="center"/>
            </w:pPr>
            <w:r>
              <w:rPr>
                <w:b/>
                <w:sz w:val="17"/>
              </w:rPr>
              <w:t>2.5</w:t>
              <w:br/>
              <w:t>(centro)</w:t>
            </w:r>
          </w:p>
        </w:tc>
        <w:tc>
          <w:tcPr>
            <w:tcW w:type="dxa" w:w="1014"/>
            <w:shd w:val="clear" w:color="auto" w:fill="D4EDDA"/>
          </w:tcPr>
          <w:p>
            <w:pPr>
              <w:jc w:val="center"/>
            </w:pPr>
            <w:r>
              <w:rPr>
                <w:b/>
                <w:sz w:val="17"/>
              </w:rPr>
            </w:r>
          </w:p>
        </w:tc>
        <w:tc>
          <w:tcPr>
            <w:tcW w:type="dxa" w:w="1014"/>
            <w:shd w:val="clear" w:color="auto" w:fill="D4EDDA"/>
          </w:tcPr>
          <w:p>
            <w:pPr>
              <w:jc w:val="center"/>
            </w:pPr>
            <w:r>
              <w:rPr>
                <w:b/>
                <w:sz w:val="17"/>
              </w:rPr>
            </w:r>
          </w:p>
        </w:tc>
        <w:tc>
          <w:tcPr>
            <w:tcW w:type="dxa" w:w="1014"/>
            <w:shd w:val="clear" w:color="auto" w:fill="D4EDDA"/>
          </w:tcPr>
          <w:p>
            <w:pPr>
              <w:jc w:val="center"/>
            </w:pPr>
            <w:r>
              <w:rPr>
                <w:b/>
                <w:sz w:val="17"/>
              </w:rPr>
            </w:r>
          </w:p>
        </w:tc>
        <w:tc>
          <w:tcPr>
            <w:tcW w:type="dxa" w:w="1014"/>
            <w:shd w:val="clear" w:color="auto" w:fill="D4EDDA"/>
          </w:tcPr>
          <w:p>
            <w:pPr>
              <w:jc w:val="center"/>
            </w:pPr>
            <w:r>
              <w:rPr>
                <w:b/>
                <w:sz w:val="17"/>
              </w:rPr>
            </w:r>
          </w:p>
        </w:tc>
      </w:tr>
    </w:tbl>
    <w:p/>
    <w:p>
      <w:pPr>
        <w:spacing w:after="120"/>
        <w:jc w:val="both"/>
      </w:pPr>
      <w:r>
        <w:rPr>
          <w:b/>
          <w:i w:val="0"/>
          <w:sz w:val="20"/>
        </w:rPr>
        <w:t>Convención de colores de la tabla:</w:t>
      </w:r>
    </w:p>
    <w:p>
      <w:pPr>
        <w:spacing w:after="120"/>
        <w:jc w:val="both"/>
      </w:pPr>
      <w:r>
        <w:rPr>
          <w:b w:val="0"/>
          <w:i/>
          <w:sz w:val="20"/>
        </w:rPr>
        <w:t xml:space="preserve">  Verde: Punto Central (Configuración Base de Referencia)   |   Amarillo: Puntos Axiales (Límites del Espacio de Diseño)</w:t>
      </w:r>
    </w:p>
    <w:p>
      <w:r>
        <w:br w:type="page"/>
      </w:r>
    </w:p>
    <w:p>
      <w:pPr>
        <w:spacing w:before="280" w:after="120"/>
        <w:jc w:val="left"/>
        <w:pBdr>
          <w:bottom w:val="single" w:sz="6" w:space="4" w:color="1A3A5C"/>
        </w:pBdr>
      </w:pPr>
      <w:r>
        <w:rPr>
          <w:b/>
          <w:color w:val="1A3A5C"/>
          <w:sz w:val="26"/>
        </w:rPr>
        <w:t>6.  PROTOCOLO DE MEDICIÓN EN BANCO (NTC 2832-1)</w:t>
      </w:r>
    </w:p>
    <w:p>
      <w:pPr>
        <w:spacing w:before="280" w:after="120"/>
        <w:jc w:val="left"/>
        <w:pBdr>
          <w:bottom w:val="single" w:sz="6" w:space="4" w:color="1A3A5C"/>
        </w:pBdr>
      </w:pPr>
      <w:r>
        <w:rPr>
          <w:b/>
          <w:color w:val="1A3A5C"/>
          <w:sz w:val="22"/>
        </w:rPr>
        <w:t>6.1  Condiciones Estándar del Ensayo</w:t>
      </w:r>
    </w:p>
    <w:p>
      <w:pPr>
        <w:pStyle w:val="ListBullet"/>
        <w:spacing w:after="60"/>
      </w:pPr>
      <w:r>
        <w:rPr>
          <w:sz w:val="22"/>
        </w:rPr>
        <w:t>Gas de ensayo: Gas Natural de Referencia G20 (Metano ≥ 99.5% pureza).</w:t>
      </w:r>
    </w:p>
    <w:p>
      <w:pPr>
        <w:pStyle w:val="ListBullet"/>
        <w:spacing w:after="60"/>
      </w:pPr>
      <w:r>
        <w:rPr>
          <w:sz w:val="22"/>
        </w:rPr>
        <w:t>Presión nominal de ensayo: 20.0 mbar ± 0.5 mbar (verificar con manómetro calibrado antes de cada corrida).</w:t>
      </w:r>
    </w:p>
    <w:p>
      <w:pPr>
        <w:pStyle w:val="ListBullet"/>
        <w:spacing w:after="60"/>
      </w:pPr>
      <w:r>
        <w:rPr>
          <w:sz w:val="22"/>
        </w:rPr>
        <w:t>Temperatura del agua inicial: T₁ = 15°C ± 2°C.</w:t>
      </w:r>
    </w:p>
    <w:p>
      <w:pPr>
        <w:pStyle w:val="ListBullet"/>
        <w:spacing w:after="60"/>
      </w:pPr>
      <w:r>
        <w:rPr>
          <w:sz w:val="22"/>
        </w:rPr>
        <w:t>Temperatura ambiente del laboratorio: 15°C – 25°C (registrar al inicio de cada ensayo).</w:t>
      </w:r>
    </w:p>
    <w:p>
      <w:pPr>
        <w:pStyle w:val="ListBullet"/>
        <w:spacing w:after="60"/>
      </w:pPr>
      <w:r>
        <w:rPr>
          <w:sz w:val="22"/>
        </w:rPr>
        <w:t>Presión barométrica del laboratorio: registrar el valor del barómetro al inicio de cada jornada de ensayos.</w:t>
      </w:r>
    </w:p>
    <w:p>
      <w:pPr>
        <w:spacing w:before="280" w:after="120"/>
        <w:jc w:val="left"/>
        <w:pBdr>
          <w:bottom w:val="single" w:sz="6" w:space="4" w:color="1A3A5C"/>
        </w:pBdr>
      </w:pPr>
      <w:r>
        <w:rPr>
          <w:b/>
          <w:color w:val="1A3A5C"/>
          <w:sz w:val="22"/>
        </w:rPr>
        <w:t>6.2  Procedimiento Paso a Paso por Ensayo</w:t>
      </w:r>
    </w:p>
    <w:p>
      <w:pPr>
        <w:pStyle w:val="ListNumber"/>
        <w:spacing w:after="80"/>
      </w:pPr>
      <w:r>
        <w:rPr>
          <w:sz w:val="21"/>
        </w:rPr>
        <w:t>Verificar la presión de suministro de gas en 20.0 mbar y registrar en la hoja de datos.</w:t>
      </w:r>
    </w:p>
    <w:p>
      <w:pPr>
        <w:pStyle w:val="ListNumber"/>
        <w:spacing w:after="80"/>
      </w:pPr>
      <w:r>
        <w:rPr>
          <w:sz w:val="21"/>
        </w:rPr>
        <w:t>Configurar el quemador según los valores de X₁, X₂ y X₃ indicados para el ensayo:</w:t>
        <w:br/>
        <w:t xml:space="preserve">   • X₁ (Altura H_pot): Colocar suplementos de la altura indicada bajo la olla. Verificar con calibrador Vernier.</w:t>
        <w:br/>
        <w:t xml:space="preserve">   • X₂ (Ventana de Aire): Aplicar cinta metálica desde los bordes hasta cubrir el porcentaje indicado. Verificar el área libre con regla o galga.</w:t>
        <w:br/>
        <w:t xml:space="preserve">   • X₃ (Posición Inyector): Desplazar el inyector la distancia indicada ALEJÁNDOLO de la garganta del tubo. Verificar con calibrador de profundidad.</w:t>
      </w:r>
    </w:p>
    <w:p>
      <w:pPr>
        <w:pStyle w:val="ListNumber"/>
        <w:spacing w:after="80"/>
      </w:pPr>
      <w:r>
        <w:rPr>
          <w:sz w:val="21"/>
        </w:rPr>
        <w:t>Aplicar el procedimiento de medición de eficiencia térmica según NTC 2832-1.</w:t>
      </w:r>
    </w:p>
    <w:p>
      <w:pPr>
        <w:pStyle w:val="ListNumber"/>
        <w:spacing w:after="80"/>
      </w:pPr>
      <w:r>
        <w:rPr>
          <w:sz w:val="21"/>
        </w:rPr>
        <w:t>Medir la concentración de CO en los productos de combustión usando la sonda de análisis de gases en la campana de muestreo. Expresar en ppm (base seca, referida a 0% O₂).</w:t>
      </w:r>
    </w:p>
    <w:p>
      <w:pPr>
        <w:pStyle w:val="ListNumber"/>
        <w:spacing w:after="80"/>
      </w:pPr>
      <w:r>
        <w:rPr>
          <w:sz w:val="21"/>
        </w:rPr>
        <w:t>Registrar Y₁ (Eficiencia Térmica), Y₂ (CO ppm) e Y₃ (Potencia kW) en la Tabla de la Sección 5 y en la Hoja de Registro de Campo. Anotar observaciones visuales de la llama.</w:t>
      </w:r>
    </w:p>
    <w:p>
      <w:pPr>
        <w:spacing w:before="280" w:after="120"/>
        <w:jc w:val="left"/>
        <w:pBdr>
          <w:bottom w:val="single" w:sz="6" w:space="4" w:color="1A3A5C"/>
        </w:pBdr>
      </w:pPr>
      <w:r>
        <w:rPr>
          <w:b/>
          <w:color w:val="1A3A5C"/>
          <w:sz w:val="22"/>
        </w:rPr>
        <w:t>6.3  Cálculo de la Eficiencia Térmica</w:t>
      </w:r>
    </w:p>
    <w:p>
      <w:pPr>
        <w:spacing w:before="120" w:after="120"/>
        <w:jc w:val="center"/>
      </w:pPr>
      <w:r>
        <w:rPr>
          <w:i/>
          <w:sz w:val="22"/>
        </w:rPr>
        <w:t>η (%) = [ (m_agua · Cp_agua · ΔT)  +  (m_olla · Cp_olla · ΔT) ]  /  (V_gas_std · PCS)  ×  100 %</w:t>
      </w:r>
    </w:p>
    <w:p>
      <w:pPr>
        <w:spacing w:after="120"/>
        <w:jc w:val="both"/>
      </w:pPr>
      <w:r>
        <w:rPr>
          <w:b w:val="0"/>
          <w:i w:val="0"/>
          <w:sz w:val="22"/>
        </w:rPr>
        <w:t>Donde:</w:t>
      </w:r>
    </w:p>
    <w:p>
      <w:pPr>
        <w:pStyle w:val="ListBullet"/>
        <w:spacing w:after="60"/>
      </w:pPr>
      <w:r>
        <w:rPr>
          <w:sz w:val="21"/>
        </w:rPr>
        <w:t>m_agua = masa de agua en la olla normalizada (kg)</w:t>
      </w:r>
    </w:p>
    <w:p>
      <w:pPr>
        <w:pStyle w:val="ListBullet"/>
        <w:spacing w:after="60"/>
      </w:pPr>
      <w:r>
        <w:rPr>
          <w:sz w:val="21"/>
        </w:rPr>
        <w:t>Cp_agua = 4.186 kJ / (kg · °C)</w:t>
      </w:r>
    </w:p>
    <w:p>
      <w:pPr>
        <w:pStyle w:val="ListBullet"/>
        <w:spacing w:after="60"/>
      </w:pPr>
      <w:r>
        <w:rPr>
          <w:sz w:val="21"/>
        </w:rPr>
        <w:t>ΔT = T₂ − T₁  (°C)</w:t>
      </w:r>
    </w:p>
    <w:p>
      <w:pPr>
        <w:pStyle w:val="ListBullet"/>
        <w:spacing w:after="60"/>
      </w:pPr>
      <w:r>
        <w:rPr>
          <w:sz w:val="21"/>
        </w:rPr>
        <w:t>m_olla, Cp_olla = masa y calor específico del recipiente normalizado de ensayo</w:t>
      </w:r>
    </w:p>
    <w:p>
      <w:pPr>
        <w:pStyle w:val="ListBullet"/>
        <w:spacing w:after="60"/>
      </w:pPr>
      <w:r>
        <w:rPr>
          <w:sz w:val="21"/>
        </w:rPr>
        <w:t>V_gas_std = volumen de gas corregido a 15°C y 1013.25 mbar (m³)</w:t>
      </w:r>
    </w:p>
    <w:p>
      <w:pPr>
        <w:pStyle w:val="ListBullet"/>
        <w:spacing w:after="60"/>
      </w:pPr>
      <w:r>
        <w:rPr>
          <w:sz w:val="21"/>
        </w:rPr>
        <w:t>PCS = Poder Calorífico Superior del gas G20 (MJ/m³)</w:t>
      </w:r>
    </w:p>
    <w:p>
      <w:pPr>
        <w:spacing w:before="280" w:after="120"/>
        <w:jc w:val="left"/>
        <w:pBdr>
          <w:bottom w:val="single" w:sz="6" w:space="4" w:color="1A3A5C"/>
        </w:pBdr>
      </w:pPr>
      <w:r>
        <w:rPr>
          <w:b/>
          <w:color w:val="1A3A5C"/>
          <w:sz w:val="26"/>
        </w:rPr>
        <w:t>7.  PLAN DE ANÁLISIS ESTADÍSTICO DE RESULTADOS</w:t>
      </w:r>
    </w:p>
    <w:p>
      <w:pPr>
        <w:spacing w:before="280" w:after="120"/>
        <w:jc w:val="left"/>
        <w:pBdr>
          <w:bottom w:val="single" w:sz="6" w:space="4" w:color="1A3A5C"/>
        </w:pBdr>
      </w:pPr>
      <w:r>
        <w:rPr>
          <w:b/>
          <w:color w:val="1A3A5C"/>
          <w:sz w:val="22"/>
        </w:rPr>
        <w:t>7.1  Modelo de Superficie de Respuesta (Segundo Orden)</w:t>
      </w:r>
    </w:p>
    <w:p>
      <w:pPr>
        <w:spacing w:after="120"/>
        <w:jc w:val="both"/>
      </w:pPr>
      <w:r>
        <w:rPr>
          <w:b w:val="0"/>
          <w:i w:val="0"/>
          <w:sz w:val="22"/>
        </w:rPr>
        <w:t>Una vez completados los 15 ensayos, los datos se procesarán mediante el siguiente modelo polinomial de segundo orden (Metodología de Superficie de Respuesta — RSM):</w:t>
      </w:r>
    </w:p>
    <w:p>
      <w:pPr>
        <w:spacing w:before="120" w:after="120"/>
        <w:jc w:val="center"/>
      </w:pPr>
      <w:r>
        <w:rPr>
          <w:i/>
          <w:sz w:val="22"/>
        </w:rPr>
        <w:t>Y = β₀ + β₁X₁ + β₂X₂ + β₃X₃ + β₁₁X₁² + β₂₂X₂² + β₃₃X₃² + β₁₂X₁X₂ + β₁₃X₁X₃ + β₂₃X₂X₃ + ε</w:t>
      </w:r>
    </w:p>
    <w:p>
      <w:pPr>
        <w:spacing w:after="120"/>
        <w:jc w:val="both"/>
      </w:pPr>
      <w:r>
        <w:rPr>
          <w:b w:val="0"/>
          <w:i w:val="0"/>
          <w:sz w:val="22"/>
        </w:rPr>
        <w:t>Este modelo se ajustará por separado para Y₁ (Eficiencia) y Y₂ (CO), generando las ecuaciones predictivas de ambas respuestas en función de los tres factores de diseño.</w:t>
      </w:r>
    </w:p>
    <w:p>
      <w:pPr>
        <w:spacing w:before="280" w:after="120"/>
        <w:jc w:val="left"/>
        <w:pBdr>
          <w:bottom w:val="single" w:sz="6" w:space="4" w:color="1A3A5C"/>
        </w:pBdr>
      </w:pPr>
      <w:r>
        <w:rPr>
          <w:b/>
          <w:color w:val="1A3A5C"/>
          <w:sz w:val="22"/>
        </w:rPr>
        <w:t>7.2  Criterios de Validación del Modelo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3A5C"/>
          </w:tcPr>
          <w:p>
            <w:pPr>
              <w:jc w:val="center"/>
            </w:pPr>
            <w:r>
              <w:t>Criterio Estadístico</w:t>
            </w:r>
          </w:p>
        </w:tc>
        <w:tc>
          <w:tcPr>
            <w:tcW w:type="dxa" w:w="3041"/>
            <w:shd w:val="clear" w:color="auto" w:fill="1A3A5C"/>
          </w:tcPr>
          <w:p>
            <w:pPr>
              <w:jc w:val="center"/>
            </w:pPr>
            <w:r>
              <w:t>Valor Requerido</w:t>
            </w:r>
          </w:p>
        </w:tc>
        <w:tc>
          <w:tcPr>
            <w:tcW w:type="dxa" w:w="3041"/>
            <w:shd w:val="clear" w:color="auto" w:fill="1A3A5C"/>
          </w:tcPr>
          <w:p>
            <w:pPr>
              <w:jc w:val="center"/>
            </w:pPr>
            <w:r>
              <w:t>Interpretación</w:t>
            </w:r>
          </w:p>
        </w:tc>
      </w:tr>
      <w:tr>
        <w:tc>
          <w:tcPr>
            <w:tcW w:type="dxa" w:w="3041"/>
          </w:tcPr>
          <w:p>
            <w:r>
              <w:rPr>
                <w:sz w:val="20"/>
              </w:rPr>
              <w:t>Coeficiente de Determinación (R²)</w:t>
            </w:r>
          </w:p>
        </w:tc>
        <w:tc>
          <w:tcPr>
            <w:tcW w:type="dxa" w:w="3041"/>
          </w:tcPr>
          <w:p>
            <w:pPr>
              <w:jc w:val="center"/>
            </w:pPr>
            <w:r>
              <w:rPr>
                <w:sz w:val="20"/>
              </w:rPr>
              <w:t>≥ 0.90</w:t>
            </w:r>
          </w:p>
        </w:tc>
        <w:tc>
          <w:tcPr>
            <w:tcW w:type="dxa" w:w="3041"/>
          </w:tcPr>
          <w:p>
            <w:pPr>
              <w:jc w:val="center"/>
            </w:pPr>
            <w:r>
              <w:rPr>
                <w:sz w:val="20"/>
              </w:rPr>
              <w:t>El modelo explica al menos el 90% de la variabilidad observada</w:t>
            </w:r>
          </w:p>
        </w:tc>
      </w:tr>
      <w:tr>
        <w:tc>
          <w:tcPr>
            <w:tcW w:type="dxa" w:w="3041"/>
          </w:tcPr>
          <w:p>
            <w:r>
              <w:rPr>
                <w:sz w:val="20"/>
              </w:rPr>
              <w:t>Falta de Ajuste (P-valor)</w:t>
            </w:r>
          </w:p>
        </w:tc>
        <w:tc>
          <w:tcPr>
            <w:tcW w:type="dxa" w:w="3041"/>
          </w:tcPr>
          <w:p>
            <w:pPr>
              <w:jc w:val="center"/>
            </w:pPr>
            <w:r>
              <w:rPr>
                <w:sz w:val="20"/>
              </w:rPr>
              <w:t>P &gt; 0.05</w:t>
            </w:r>
          </w:p>
        </w:tc>
        <w:tc>
          <w:tcPr>
            <w:tcW w:type="dxa" w:w="3041"/>
          </w:tcPr>
          <w:p>
            <w:pPr>
              <w:jc w:val="center"/>
            </w:pPr>
            <w:r>
              <w:rPr>
                <w:sz w:val="20"/>
              </w:rPr>
              <w:t>El modelo no presenta falta de ajuste significativa</w:t>
            </w:r>
          </w:p>
        </w:tc>
      </w:tr>
      <w:tr>
        <w:tc>
          <w:tcPr>
            <w:tcW w:type="dxa" w:w="3041"/>
          </w:tcPr>
          <w:p>
            <w:r>
              <w:rPr>
                <w:sz w:val="20"/>
              </w:rPr>
              <w:t>P-Valor Factores Significativos</w:t>
            </w:r>
          </w:p>
        </w:tc>
        <w:tc>
          <w:tcPr>
            <w:tcW w:type="dxa" w:w="3041"/>
          </w:tcPr>
          <w:p>
            <w:pPr>
              <w:jc w:val="center"/>
            </w:pPr>
            <w:r>
              <w:rPr>
                <w:sz w:val="20"/>
              </w:rPr>
              <w:t>P &lt; 0.05</w:t>
            </w:r>
          </w:p>
        </w:tc>
        <w:tc>
          <w:tcPr>
            <w:tcW w:type="dxa" w:w="3041"/>
          </w:tcPr>
          <w:p>
            <w:pPr>
              <w:jc w:val="center"/>
            </w:pPr>
            <w:r>
              <w:rPr>
                <w:sz w:val="20"/>
              </w:rPr>
              <w:t>El factor o interacción tiene un efecto estadístico real sobre la respuesta</w:t>
            </w:r>
          </w:p>
        </w:tc>
      </w:tr>
      <w:tr>
        <w:tc>
          <w:tcPr>
            <w:tcW w:type="dxa" w:w="3041"/>
          </w:tcPr>
          <w:p>
            <w:r>
              <w:rPr>
                <w:sz w:val="20"/>
              </w:rPr>
              <w:t>R² Predictivo vs R² Ajustado</w:t>
            </w:r>
          </w:p>
        </w:tc>
        <w:tc>
          <w:tcPr>
            <w:tcW w:type="dxa" w:w="3041"/>
          </w:tcPr>
          <w:p>
            <w:pPr>
              <w:jc w:val="center"/>
            </w:pPr>
            <w:r>
              <w:rPr>
                <w:sz w:val="20"/>
              </w:rPr>
              <w:t>Diferencia &lt; 0.20</w:t>
            </w:r>
          </w:p>
        </w:tc>
        <w:tc>
          <w:tcPr>
            <w:tcW w:type="dxa" w:w="3041"/>
          </w:tcPr>
          <w:p>
            <w:pPr>
              <w:jc w:val="center"/>
            </w:pPr>
            <w:r>
              <w:rPr>
                <w:sz w:val="20"/>
              </w:rPr>
              <w:t>El modelo no está sobreajustado y predice correctamente nuevas observaciones</w:t>
            </w:r>
          </w:p>
        </w:tc>
      </w:tr>
    </w:tbl>
    <w:p>
      <w:pPr>
        <w:spacing w:before="280" w:after="120"/>
        <w:jc w:val="left"/>
        <w:pBdr>
          <w:bottom w:val="single" w:sz="6" w:space="4" w:color="1A3A5C"/>
        </w:pBdr>
      </w:pPr>
      <w:r>
        <w:rPr>
          <w:b/>
          <w:color w:val="1A3A5C"/>
          <w:sz w:val="22"/>
        </w:rPr>
        <w:t>7.3  Optimización por Función de Deseabilidad Multiobjetivo</w:t>
      </w:r>
    </w:p>
    <w:p>
      <w:pPr>
        <w:spacing w:after="120"/>
        <w:jc w:val="both"/>
      </w:pPr>
      <w:r>
        <w:rPr>
          <w:b w:val="0"/>
          <w:i w:val="0"/>
          <w:sz w:val="22"/>
        </w:rPr>
        <w:t>Se aplicará la Función de Deseabilidad de Derringer-Suich para optimizar simultáneamente ambas respuestas:</w:t>
      </w:r>
    </w:p>
    <w:p>
      <w:pPr>
        <w:pStyle w:val="ListBullet"/>
        <w:spacing w:after="60"/>
      </w:pPr>
      <w:r>
        <w:rPr>
          <w:sz w:val="22"/>
        </w:rPr>
        <w:t>Y₁ (Eficiencia η): MAXIMIZAR — Meta: η ≥ 62.5 %</w:t>
      </w:r>
    </w:p>
    <w:p>
      <w:pPr>
        <w:pStyle w:val="ListBullet"/>
        <w:spacing w:after="60"/>
      </w:pPr>
      <w:r>
        <w:rPr>
          <w:sz w:val="22"/>
        </w:rPr>
        <w:t>Y₂ (CO ppm): MINIMIZAR — Meta: CO ≤ 450 ppm</w:t>
      </w:r>
    </w:p>
    <w:p>
      <w:pPr>
        <w:pStyle w:val="ListBullet"/>
        <w:spacing w:after="60"/>
      </w:pPr>
      <w:r>
        <w:rPr>
          <w:sz w:val="22"/>
        </w:rPr>
        <w:t>Y₃ (Potencia kW): MANTENER EN RANGO — Meta: 1.65 ≤ P ≤ 1.90 kW</w:t>
      </w:r>
    </w:p>
    <w:p>
      <w:pPr>
        <w:spacing w:after="120"/>
        <w:jc w:val="both"/>
      </w:pPr>
      <w:r>
        <w:rPr>
          <w:b w:val="0"/>
          <w:i w:val="0"/>
          <w:sz w:val="22"/>
        </w:rPr>
        <w:t>El resultado final será un conjunto de coordenadas (H_pot*, A_vent*, x_inj*) que representa la configuración de quemador que maximiza la deseabilidad global, definida como el punto donde η es máxima y CO es mínima simultáneamente.</w:t>
      </w:r>
    </w:p>
    <w:p>
      <w:r>
        <w:br w:type="page"/>
      </w:r>
    </w:p>
    <w:p>
      <w:pPr>
        <w:spacing w:before="280" w:after="120"/>
        <w:jc w:val="left"/>
        <w:pBdr>
          <w:bottom w:val="single" w:sz="6" w:space="4" w:color="1A3A5C"/>
        </w:pBdr>
      </w:pPr>
      <w:r>
        <w:rPr>
          <w:b/>
          <w:color w:val="1A3A5C"/>
          <w:sz w:val="26"/>
        </w:rPr>
        <w:t>8.  HOJA DE REGISTRO DE CAMPO — PARA USO DEL TÉCNICO EN BANCO</w:t>
      </w:r>
    </w:p>
    <w:p>
      <w:pPr>
        <w:spacing w:after="120"/>
        <w:jc w:val="both"/>
      </w:pPr>
      <w:r>
        <w:rPr>
          <w:b w:val="0"/>
          <w:i/>
          <w:sz w:val="22"/>
        </w:rPr>
        <w:t>Esta hoja debe imprimirse y llenarse durante la ejecución de cada ensayo. Al finalizar los 15 ensayos, entregar esta hoja al responsable del laboratorio para el análisis estadístico.</w:t>
      </w:r>
    </w:p>
    <w:p>
      <w:r>
        <w:rPr>
          <w:sz w:val="20"/>
        </w:rPr>
        <w:t xml:space="preserve">Fecha: _______________   </w:t>
      </w:r>
      <w:r>
        <w:rPr>
          <w:sz w:val="20"/>
        </w:rPr>
        <w:t xml:space="preserve">Técnico: _______________________   </w:t>
      </w:r>
      <w:r>
        <w:rPr>
          <w:sz w:val="20"/>
        </w:rPr>
        <w:t>Equipo de Gases: _______________</w:t>
      </w:r>
    </w:p>
    <w:p>
      <w:r>
        <w:rPr>
          <w:sz w:val="20"/>
        </w:rPr>
        <w:t xml:space="preserve">Presión Barométrica Lab.: _______ mbar   </w:t>
      </w:r>
      <w:r>
        <w:rPr>
          <w:sz w:val="20"/>
        </w:rPr>
        <w:t xml:space="preserve">T° Ambiente: _______ °C   </w:t>
      </w:r>
      <w:r>
        <w:rPr>
          <w:sz w:val="20"/>
        </w:rPr>
        <w:t>Humedad Relativa: _______ %</w:t>
      </w:r>
    </w:p>
    <w:p/>
    <w:tbl>
      <w:tblPr>
        <w:tblStyle w:val="TableGrid"/>
        <w:tblW w:type="auto" w:w="0"/>
        <w:tblLook w:firstColumn="1" w:firstRow="1" w:lastColumn="0" w:lastRow="0" w:noHBand="0" w:noVBand="1" w:val="04A0"/>
      </w:tblPr>
      <w:tblGrid>
        <w:gridCol w:w="760"/>
        <w:gridCol w:w="760"/>
        <w:gridCol w:w="760"/>
        <w:gridCol w:w="760"/>
        <w:gridCol w:w="760"/>
        <w:gridCol w:w="760"/>
        <w:gridCol w:w="760"/>
        <w:gridCol w:w="760"/>
        <w:gridCol w:w="760"/>
        <w:gridCol w:w="760"/>
        <w:gridCol w:w="760"/>
        <w:gridCol w:w="760"/>
      </w:tblGrid>
      <w:tr>
        <w:tc>
          <w:tcPr>
            <w:tcW w:type="dxa" w:w="760"/>
            <w:shd w:val="clear" w:color="auto" w:fill="1A3A5C"/>
          </w:tcPr>
          <w:p>
            <w:pPr>
              <w:jc w:val="center"/>
            </w:pPr>
            <w:r>
              <w:t>N°</w:t>
            </w:r>
          </w:p>
        </w:tc>
        <w:tc>
          <w:tcPr>
            <w:tcW w:type="dxa" w:w="760"/>
            <w:shd w:val="clear" w:color="auto" w:fill="1A3A5C"/>
          </w:tcPr>
          <w:p>
            <w:pPr>
              <w:jc w:val="center"/>
            </w:pPr>
            <w:r>
              <w:t>H_pot</w:t>
              <w:br/>
              <w:t>(mm)</w:t>
              <w:br/>
              <w:t>Verif.</w:t>
            </w:r>
          </w:p>
        </w:tc>
        <w:tc>
          <w:tcPr>
            <w:tcW w:type="dxa" w:w="760"/>
            <w:shd w:val="clear" w:color="auto" w:fill="1A3A5C"/>
          </w:tcPr>
          <w:p>
            <w:pPr>
              <w:jc w:val="center"/>
            </w:pPr>
            <w:r>
              <w:t>Ventana</w:t>
              <w:br/>
              <w:t>(% Libre)</w:t>
              <w:br/>
              <w:t>Verif.</w:t>
            </w:r>
          </w:p>
        </w:tc>
        <w:tc>
          <w:tcPr>
            <w:tcW w:type="dxa" w:w="760"/>
            <w:shd w:val="clear" w:color="auto" w:fill="1A3A5C"/>
          </w:tcPr>
          <w:p>
            <w:pPr>
              <w:jc w:val="center"/>
            </w:pPr>
            <w:r>
              <w:t>x_inj</w:t>
              <w:br/>
              <w:t>(mm)</w:t>
              <w:br/>
              <w:t>Verif.</w:t>
            </w:r>
          </w:p>
        </w:tc>
        <w:tc>
          <w:tcPr>
            <w:tcW w:type="dxa" w:w="760"/>
            <w:shd w:val="clear" w:color="auto" w:fill="1A3A5C"/>
          </w:tcPr>
          <w:p>
            <w:pPr>
              <w:jc w:val="center"/>
            </w:pPr>
            <w:r>
              <w:t>T₁</w:t>
              <w:br/>
              <w:t>(°C)</w:t>
            </w:r>
          </w:p>
        </w:tc>
        <w:tc>
          <w:tcPr>
            <w:tcW w:type="dxa" w:w="760"/>
            <w:shd w:val="clear" w:color="auto" w:fill="1A3A5C"/>
          </w:tcPr>
          <w:p>
            <w:pPr>
              <w:jc w:val="center"/>
            </w:pPr>
            <w:r>
              <w:t>T₂</w:t>
              <w:br/>
              <w:t>(°C)</w:t>
            </w:r>
          </w:p>
        </w:tc>
        <w:tc>
          <w:tcPr>
            <w:tcW w:type="dxa" w:w="760"/>
            <w:shd w:val="clear" w:color="auto" w:fill="1A3A5C"/>
          </w:tcPr>
          <w:p>
            <w:pPr>
              <w:jc w:val="center"/>
            </w:pPr>
            <w:r>
              <w:t>Δt</w:t>
              <w:br/>
              <w:t>(seg)</w:t>
            </w:r>
          </w:p>
        </w:tc>
        <w:tc>
          <w:tcPr>
            <w:tcW w:type="dxa" w:w="760"/>
            <w:shd w:val="clear" w:color="auto" w:fill="1A3A5C"/>
          </w:tcPr>
          <w:p>
            <w:pPr>
              <w:jc w:val="center"/>
            </w:pPr>
            <w:r>
              <w:t>V_gas</w:t>
              <w:br/>
              <w:t>(m³ std)</w:t>
            </w:r>
          </w:p>
        </w:tc>
        <w:tc>
          <w:tcPr>
            <w:tcW w:type="dxa" w:w="760"/>
            <w:shd w:val="clear" w:color="auto" w:fill="1A3A5C"/>
          </w:tcPr>
          <w:p>
            <w:pPr>
              <w:jc w:val="center"/>
            </w:pPr>
            <w:r>
              <w:t>η Y₁</w:t>
              <w:br/>
              <w:t>(%)</w:t>
            </w:r>
          </w:p>
        </w:tc>
        <w:tc>
          <w:tcPr>
            <w:tcW w:type="dxa" w:w="760"/>
            <w:shd w:val="clear" w:color="auto" w:fill="1A3A5C"/>
          </w:tcPr>
          <w:p>
            <w:pPr>
              <w:jc w:val="center"/>
            </w:pPr>
            <w:r>
              <w:t>CO Y₂</w:t>
              <w:br/>
              <w:t>(ppm)</w:t>
            </w:r>
          </w:p>
        </w:tc>
        <w:tc>
          <w:tcPr>
            <w:tcW w:type="dxa" w:w="760"/>
            <w:shd w:val="clear" w:color="auto" w:fill="1A3A5C"/>
          </w:tcPr>
          <w:p>
            <w:pPr>
              <w:jc w:val="center"/>
            </w:pPr>
            <w:r>
              <w:t>Pot. Y₃</w:t>
              <w:br/>
              <w:t>(kW)</w:t>
            </w:r>
          </w:p>
        </w:tc>
        <w:tc>
          <w:tcPr>
            <w:tcW w:type="dxa" w:w="760"/>
            <w:shd w:val="clear" w:color="auto" w:fill="1A3A5C"/>
          </w:tcPr>
          <w:p>
            <w:pPr>
              <w:jc w:val="center"/>
            </w:pPr>
            <w:r>
              <w:t>Observaciones</w:t>
            </w:r>
          </w:p>
        </w:tc>
      </w:tr>
      <w:tr>
        <w:tc>
          <w:tcPr>
            <w:tcW w:type="dxa" w:w="760"/>
          </w:tcPr>
          <w:p>
            <w:pPr>
              <w:jc w:val="center"/>
            </w:pPr>
            <w:r>
              <w:rPr>
                <w:sz w:val="16"/>
              </w:rPr>
              <w:t>1</w:t>
            </w:r>
          </w:p>
        </w:tc>
        <w:tc>
          <w:tcPr>
            <w:tcW w:type="dxa" w:w="760"/>
          </w:tcPr>
          <w:p>
            <w:pPr>
              <w:jc w:val="center"/>
            </w:pPr>
            <w:r>
              <w:rPr>
                <w:sz w:val="16"/>
              </w:rPr>
              <w:t>12.5</w:t>
            </w:r>
          </w:p>
        </w:tc>
        <w:tc>
          <w:tcPr>
            <w:tcW w:type="dxa" w:w="760"/>
          </w:tcPr>
          <w:p>
            <w:pPr>
              <w:jc w:val="center"/>
            </w:pPr>
            <w:r>
              <w:rPr>
                <w:sz w:val="16"/>
              </w:rPr>
              <w:t>67%</w:t>
            </w:r>
          </w:p>
        </w:tc>
        <w:tc>
          <w:tcPr>
            <w:tcW w:type="dxa" w:w="760"/>
          </w:tcPr>
          <w:p>
            <w:pPr>
              <w:jc w:val="center"/>
            </w:pPr>
            <w:r>
              <w:rPr>
                <w:sz w:val="16"/>
              </w:rPr>
              <w:t>1.0</w:t>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r>
      <w:tr>
        <w:tc>
          <w:tcPr>
            <w:tcW w:type="dxa" w:w="760"/>
          </w:tcPr>
          <w:p>
            <w:pPr>
              <w:jc w:val="center"/>
            </w:pPr>
            <w:r>
              <w:rPr>
                <w:sz w:val="16"/>
              </w:rPr>
              <w:t>2</w:t>
            </w:r>
          </w:p>
        </w:tc>
        <w:tc>
          <w:tcPr>
            <w:tcW w:type="dxa" w:w="760"/>
          </w:tcPr>
          <w:p>
            <w:pPr>
              <w:jc w:val="center"/>
            </w:pPr>
            <w:r>
              <w:rPr>
                <w:sz w:val="16"/>
              </w:rPr>
              <w:t>15.5</w:t>
            </w:r>
          </w:p>
        </w:tc>
        <w:tc>
          <w:tcPr>
            <w:tcW w:type="dxa" w:w="760"/>
          </w:tcPr>
          <w:p>
            <w:pPr>
              <w:jc w:val="center"/>
            </w:pPr>
            <w:r>
              <w:rPr>
                <w:sz w:val="16"/>
              </w:rPr>
              <w:t>67%</w:t>
            </w:r>
          </w:p>
        </w:tc>
        <w:tc>
          <w:tcPr>
            <w:tcW w:type="dxa" w:w="760"/>
          </w:tcPr>
          <w:p>
            <w:pPr>
              <w:jc w:val="center"/>
            </w:pPr>
            <w:r>
              <w:rPr>
                <w:sz w:val="16"/>
              </w:rPr>
              <w:t>1.0</w:t>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r>
      <w:tr>
        <w:tc>
          <w:tcPr>
            <w:tcW w:type="dxa" w:w="760"/>
          </w:tcPr>
          <w:p>
            <w:pPr>
              <w:jc w:val="center"/>
            </w:pPr>
            <w:r>
              <w:rPr>
                <w:sz w:val="16"/>
              </w:rPr>
              <w:t>3</w:t>
            </w:r>
          </w:p>
        </w:tc>
        <w:tc>
          <w:tcPr>
            <w:tcW w:type="dxa" w:w="760"/>
          </w:tcPr>
          <w:p>
            <w:pPr>
              <w:jc w:val="center"/>
            </w:pPr>
            <w:r>
              <w:rPr>
                <w:sz w:val="16"/>
              </w:rPr>
              <w:t>12.5</w:t>
            </w:r>
          </w:p>
        </w:tc>
        <w:tc>
          <w:tcPr>
            <w:tcW w:type="dxa" w:w="760"/>
          </w:tcPr>
          <w:p>
            <w:pPr>
              <w:jc w:val="center"/>
            </w:pPr>
            <w:r>
              <w:rPr>
                <w:sz w:val="16"/>
              </w:rPr>
              <w:t>100%</w:t>
            </w:r>
          </w:p>
        </w:tc>
        <w:tc>
          <w:tcPr>
            <w:tcW w:type="dxa" w:w="760"/>
          </w:tcPr>
          <w:p>
            <w:pPr>
              <w:jc w:val="center"/>
            </w:pPr>
            <w:r>
              <w:rPr>
                <w:sz w:val="16"/>
              </w:rPr>
              <w:t>1.0</w:t>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r>
      <w:tr>
        <w:tc>
          <w:tcPr>
            <w:tcW w:type="dxa" w:w="760"/>
          </w:tcPr>
          <w:p>
            <w:pPr>
              <w:jc w:val="center"/>
            </w:pPr>
            <w:r>
              <w:rPr>
                <w:sz w:val="16"/>
              </w:rPr>
              <w:t>4</w:t>
            </w:r>
          </w:p>
        </w:tc>
        <w:tc>
          <w:tcPr>
            <w:tcW w:type="dxa" w:w="760"/>
          </w:tcPr>
          <w:p>
            <w:pPr>
              <w:jc w:val="center"/>
            </w:pPr>
            <w:r>
              <w:rPr>
                <w:sz w:val="16"/>
              </w:rPr>
              <w:t>15.5</w:t>
            </w:r>
          </w:p>
        </w:tc>
        <w:tc>
          <w:tcPr>
            <w:tcW w:type="dxa" w:w="760"/>
          </w:tcPr>
          <w:p>
            <w:pPr>
              <w:jc w:val="center"/>
            </w:pPr>
            <w:r>
              <w:rPr>
                <w:sz w:val="16"/>
              </w:rPr>
              <w:t>100%</w:t>
            </w:r>
          </w:p>
        </w:tc>
        <w:tc>
          <w:tcPr>
            <w:tcW w:type="dxa" w:w="760"/>
          </w:tcPr>
          <w:p>
            <w:pPr>
              <w:jc w:val="center"/>
            </w:pPr>
            <w:r>
              <w:rPr>
                <w:sz w:val="16"/>
              </w:rPr>
              <w:t>1.0</w:t>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r>
      <w:tr>
        <w:tc>
          <w:tcPr>
            <w:tcW w:type="dxa" w:w="760"/>
          </w:tcPr>
          <w:p>
            <w:pPr>
              <w:jc w:val="center"/>
            </w:pPr>
            <w:r>
              <w:rPr>
                <w:sz w:val="16"/>
              </w:rPr>
              <w:t>5</w:t>
            </w:r>
          </w:p>
        </w:tc>
        <w:tc>
          <w:tcPr>
            <w:tcW w:type="dxa" w:w="760"/>
          </w:tcPr>
          <w:p>
            <w:pPr>
              <w:jc w:val="center"/>
            </w:pPr>
            <w:r>
              <w:rPr>
                <w:sz w:val="16"/>
              </w:rPr>
              <w:t>12.5</w:t>
            </w:r>
          </w:p>
        </w:tc>
        <w:tc>
          <w:tcPr>
            <w:tcW w:type="dxa" w:w="760"/>
          </w:tcPr>
          <w:p>
            <w:pPr>
              <w:jc w:val="center"/>
            </w:pPr>
            <w:r>
              <w:rPr>
                <w:sz w:val="16"/>
              </w:rPr>
              <w:t>67%</w:t>
            </w:r>
          </w:p>
        </w:tc>
        <w:tc>
          <w:tcPr>
            <w:tcW w:type="dxa" w:w="760"/>
          </w:tcPr>
          <w:p>
            <w:pPr>
              <w:jc w:val="center"/>
            </w:pPr>
            <w:r>
              <w:rPr>
                <w:sz w:val="16"/>
              </w:rPr>
              <w:t>4.0</w:t>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r>
      <w:tr>
        <w:tc>
          <w:tcPr>
            <w:tcW w:type="dxa" w:w="760"/>
          </w:tcPr>
          <w:p>
            <w:pPr>
              <w:jc w:val="center"/>
            </w:pPr>
            <w:r>
              <w:rPr>
                <w:sz w:val="16"/>
              </w:rPr>
              <w:t>6</w:t>
            </w:r>
          </w:p>
        </w:tc>
        <w:tc>
          <w:tcPr>
            <w:tcW w:type="dxa" w:w="760"/>
          </w:tcPr>
          <w:p>
            <w:pPr>
              <w:jc w:val="center"/>
            </w:pPr>
            <w:r>
              <w:rPr>
                <w:sz w:val="16"/>
              </w:rPr>
              <w:t>15.5</w:t>
            </w:r>
          </w:p>
        </w:tc>
        <w:tc>
          <w:tcPr>
            <w:tcW w:type="dxa" w:w="760"/>
          </w:tcPr>
          <w:p>
            <w:pPr>
              <w:jc w:val="center"/>
            </w:pPr>
            <w:r>
              <w:rPr>
                <w:sz w:val="16"/>
              </w:rPr>
              <w:t>67%</w:t>
            </w:r>
          </w:p>
        </w:tc>
        <w:tc>
          <w:tcPr>
            <w:tcW w:type="dxa" w:w="760"/>
          </w:tcPr>
          <w:p>
            <w:pPr>
              <w:jc w:val="center"/>
            </w:pPr>
            <w:r>
              <w:rPr>
                <w:sz w:val="16"/>
              </w:rPr>
              <w:t>4.0</w:t>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r>
      <w:tr>
        <w:tc>
          <w:tcPr>
            <w:tcW w:type="dxa" w:w="760"/>
          </w:tcPr>
          <w:p>
            <w:pPr>
              <w:jc w:val="center"/>
            </w:pPr>
            <w:r>
              <w:rPr>
                <w:sz w:val="16"/>
              </w:rPr>
              <w:t>7</w:t>
            </w:r>
          </w:p>
        </w:tc>
        <w:tc>
          <w:tcPr>
            <w:tcW w:type="dxa" w:w="760"/>
          </w:tcPr>
          <w:p>
            <w:pPr>
              <w:jc w:val="center"/>
            </w:pPr>
            <w:r>
              <w:rPr>
                <w:sz w:val="16"/>
              </w:rPr>
              <w:t>12.5</w:t>
            </w:r>
          </w:p>
        </w:tc>
        <w:tc>
          <w:tcPr>
            <w:tcW w:type="dxa" w:w="760"/>
          </w:tcPr>
          <w:p>
            <w:pPr>
              <w:jc w:val="center"/>
            </w:pPr>
            <w:r>
              <w:rPr>
                <w:sz w:val="16"/>
              </w:rPr>
              <w:t>100%</w:t>
            </w:r>
          </w:p>
        </w:tc>
        <w:tc>
          <w:tcPr>
            <w:tcW w:type="dxa" w:w="760"/>
          </w:tcPr>
          <w:p>
            <w:pPr>
              <w:jc w:val="center"/>
            </w:pPr>
            <w:r>
              <w:rPr>
                <w:sz w:val="16"/>
              </w:rPr>
              <w:t>4.0</w:t>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r>
      <w:tr>
        <w:tc>
          <w:tcPr>
            <w:tcW w:type="dxa" w:w="760"/>
          </w:tcPr>
          <w:p>
            <w:pPr>
              <w:jc w:val="center"/>
            </w:pPr>
            <w:r>
              <w:rPr>
                <w:sz w:val="16"/>
              </w:rPr>
              <w:t>8</w:t>
            </w:r>
          </w:p>
        </w:tc>
        <w:tc>
          <w:tcPr>
            <w:tcW w:type="dxa" w:w="760"/>
          </w:tcPr>
          <w:p>
            <w:pPr>
              <w:jc w:val="center"/>
            </w:pPr>
            <w:r>
              <w:rPr>
                <w:sz w:val="16"/>
              </w:rPr>
              <w:t>15.5</w:t>
            </w:r>
          </w:p>
        </w:tc>
        <w:tc>
          <w:tcPr>
            <w:tcW w:type="dxa" w:w="760"/>
          </w:tcPr>
          <w:p>
            <w:pPr>
              <w:jc w:val="center"/>
            </w:pPr>
            <w:r>
              <w:rPr>
                <w:sz w:val="16"/>
              </w:rPr>
              <w:t>100%</w:t>
            </w:r>
          </w:p>
        </w:tc>
        <w:tc>
          <w:tcPr>
            <w:tcW w:type="dxa" w:w="760"/>
          </w:tcPr>
          <w:p>
            <w:pPr>
              <w:jc w:val="center"/>
            </w:pPr>
            <w:r>
              <w:rPr>
                <w:sz w:val="16"/>
              </w:rPr>
              <w:t>4.0</w:t>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c>
          <w:tcPr>
            <w:tcW w:type="dxa" w:w="760"/>
          </w:tcPr>
          <w:p>
            <w:pPr>
              <w:jc w:val="center"/>
            </w:pPr>
            <w:r>
              <w:rPr>
                <w:sz w:val="16"/>
              </w:rPr>
            </w:r>
          </w:p>
        </w:tc>
      </w:tr>
      <w:tr>
        <w:tc>
          <w:tcPr>
            <w:tcW w:type="dxa" w:w="760"/>
            <w:shd w:val="clear" w:color="auto" w:fill="FFF3CD"/>
          </w:tcPr>
          <w:p>
            <w:pPr>
              <w:jc w:val="center"/>
            </w:pPr>
            <w:r>
              <w:rPr>
                <w:sz w:val="16"/>
              </w:rPr>
              <w:t>9</w:t>
            </w:r>
          </w:p>
        </w:tc>
        <w:tc>
          <w:tcPr>
            <w:tcW w:type="dxa" w:w="760"/>
            <w:shd w:val="clear" w:color="auto" w:fill="FFF3CD"/>
          </w:tcPr>
          <w:p>
            <w:pPr>
              <w:jc w:val="center"/>
            </w:pPr>
            <w:r>
              <w:rPr>
                <w:sz w:val="16"/>
              </w:rPr>
              <w:t>11.5</w:t>
            </w:r>
          </w:p>
        </w:tc>
        <w:tc>
          <w:tcPr>
            <w:tcW w:type="dxa" w:w="760"/>
            <w:shd w:val="clear" w:color="auto" w:fill="FFF3CD"/>
          </w:tcPr>
          <w:p>
            <w:pPr>
              <w:jc w:val="center"/>
            </w:pPr>
            <w:r>
              <w:rPr>
                <w:sz w:val="16"/>
              </w:rPr>
              <w:t>83%</w:t>
            </w:r>
          </w:p>
        </w:tc>
        <w:tc>
          <w:tcPr>
            <w:tcW w:type="dxa" w:w="760"/>
            <w:shd w:val="clear" w:color="auto" w:fill="FFF3CD"/>
          </w:tcPr>
          <w:p>
            <w:pPr>
              <w:jc w:val="center"/>
            </w:pPr>
            <w:r>
              <w:rPr>
                <w:sz w:val="16"/>
              </w:rPr>
              <w:t>2.5</w:t>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r>
      <w:tr>
        <w:tc>
          <w:tcPr>
            <w:tcW w:type="dxa" w:w="760"/>
            <w:shd w:val="clear" w:color="auto" w:fill="FFF3CD"/>
          </w:tcPr>
          <w:p>
            <w:pPr>
              <w:jc w:val="center"/>
            </w:pPr>
            <w:r>
              <w:rPr>
                <w:sz w:val="16"/>
              </w:rPr>
              <w:t>10</w:t>
            </w:r>
          </w:p>
        </w:tc>
        <w:tc>
          <w:tcPr>
            <w:tcW w:type="dxa" w:w="760"/>
            <w:shd w:val="clear" w:color="auto" w:fill="FFF3CD"/>
          </w:tcPr>
          <w:p>
            <w:pPr>
              <w:jc w:val="center"/>
            </w:pPr>
            <w:r>
              <w:rPr>
                <w:sz w:val="16"/>
              </w:rPr>
              <w:t>16.5</w:t>
            </w:r>
          </w:p>
        </w:tc>
        <w:tc>
          <w:tcPr>
            <w:tcW w:type="dxa" w:w="760"/>
            <w:shd w:val="clear" w:color="auto" w:fill="FFF3CD"/>
          </w:tcPr>
          <w:p>
            <w:pPr>
              <w:jc w:val="center"/>
            </w:pPr>
            <w:r>
              <w:rPr>
                <w:sz w:val="16"/>
              </w:rPr>
              <w:t>83%</w:t>
            </w:r>
          </w:p>
        </w:tc>
        <w:tc>
          <w:tcPr>
            <w:tcW w:type="dxa" w:w="760"/>
            <w:shd w:val="clear" w:color="auto" w:fill="FFF3CD"/>
          </w:tcPr>
          <w:p>
            <w:pPr>
              <w:jc w:val="center"/>
            </w:pPr>
            <w:r>
              <w:rPr>
                <w:sz w:val="16"/>
              </w:rPr>
              <w:t>2.5</w:t>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r>
      <w:tr>
        <w:tc>
          <w:tcPr>
            <w:tcW w:type="dxa" w:w="760"/>
            <w:shd w:val="clear" w:color="auto" w:fill="FFF3CD"/>
          </w:tcPr>
          <w:p>
            <w:pPr>
              <w:jc w:val="center"/>
            </w:pPr>
            <w:r>
              <w:rPr>
                <w:sz w:val="16"/>
              </w:rPr>
              <w:t>11</w:t>
            </w:r>
          </w:p>
        </w:tc>
        <w:tc>
          <w:tcPr>
            <w:tcW w:type="dxa" w:w="760"/>
            <w:shd w:val="clear" w:color="auto" w:fill="FFF3CD"/>
          </w:tcPr>
          <w:p>
            <w:pPr>
              <w:jc w:val="center"/>
            </w:pPr>
            <w:r>
              <w:rPr>
                <w:sz w:val="16"/>
              </w:rPr>
              <w:t>14.0</w:t>
            </w:r>
          </w:p>
        </w:tc>
        <w:tc>
          <w:tcPr>
            <w:tcW w:type="dxa" w:w="760"/>
            <w:shd w:val="clear" w:color="auto" w:fill="FFF3CD"/>
          </w:tcPr>
          <w:p>
            <w:pPr>
              <w:jc w:val="center"/>
            </w:pPr>
            <w:r>
              <w:rPr>
                <w:sz w:val="16"/>
              </w:rPr>
              <w:t>50%</w:t>
            </w:r>
          </w:p>
        </w:tc>
        <w:tc>
          <w:tcPr>
            <w:tcW w:type="dxa" w:w="760"/>
            <w:shd w:val="clear" w:color="auto" w:fill="FFF3CD"/>
          </w:tcPr>
          <w:p>
            <w:pPr>
              <w:jc w:val="center"/>
            </w:pPr>
            <w:r>
              <w:rPr>
                <w:sz w:val="16"/>
              </w:rPr>
              <w:t>2.5</w:t>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r>
      <w:tr>
        <w:tc>
          <w:tcPr>
            <w:tcW w:type="dxa" w:w="760"/>
            <w:shd w:val="clear" w:color="auto" w:fill="FFF3CD"/>
          </w:tcPr>
          <w:p>
            <w:pPr>
              <w:jc w:val="center"/>
            </w:pPr>
            <w:r>
              <w:rPr>
                <w:sz w:val="16"/>
              </w:rPr>
              <w:t>12</w:t>
            </w:r>
          </w:p>
        </w:tc>
        <w:tc>
          <w:tcPr>
            <w:tcW w:type="dxa" w:w="760"/>
            <w:shd w:val="clear" w:color="auto" w:fill="FFF3CD"/>
          </w:tcPr>
          <w:p>
            <w:pPr>
              <w:jc w:val="center"/>
            </w:pPr>
            <w:r>
              <w:rPr>
                <w:sz w:val="16"/>
              </w:rPr>
              <w:t>14.0</w:t>
            </w:r>
          </w:p>
        </w:tc>
        <w:tc>
          <w:tcPr>
            <w:tcW w:type="dxa" w:w="760"/>
            <w:shd w:val="clear" w:color="auto" w:fill="FFF3CD"/>
          </w:tcPr>
          <w:p>
            <w:pPr>
              <w:jc w:val="center"/>
            </w:pPr>
            <w:r>
              <w:rPr>
                <w:sz w:val="16"/>
              </w:rPr>
              <w:t>100%</w:t>
            </w:r>
          </w:p>
        </w:tc>
        <w:tc>
          <w:tcPr>
            <w:tcW w:type="dxa" w:w="760"/>
            <w:shd w:val="clear" w:color="auto" w:fill="FFF3CD"/>
          </w:tcPr>
          <w:p>
            <w:pPr>
              <w:jc w:val="center"/>
            </w:pPr>
            <w:r>
              <w:rPr>
                <w:sz w:val="16"/>
              </w:rPr>
              <w:t>2.5</w:t>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r>
      <w:tr>
        <w:tc>
          <w:tcPr>
            <w:tcW w:type="dxa" w:w="760"/>
            <w:shd w:val="clear" w:color="auto" w:fill="FFF3CD"/>
          </w:tcPr>
          <w:p>
            <w:pPr>
              <w:jc w:val="center"/>
            </w:pPr>
            <w:r>
              <w:rPr>
                <w:sz w:val="16"/>
              </w:rPr>
              <w:t>13</w:t>
            </w:r>
          </w:p>
        </w:tc>
        <w:tc>
          <w:tcPr>
            <w:tcW w:type="dxa" w:w="760"/>
            <w:shd w:val="clear" w:color="auto" w:fill="FFF3CD"/>
          </w:tcPr>
          <w:p>
            <w:pPr>
              <w:jc w:val="center"/>
            </w:pPr>
            <w:r>
              <w:rPr>
                <w:sz w:val="16"/>
              </w:rPr>
              <w:t>14.0</w:t>
            </w:r>
          </w:p>
        </w:tc>
        <w:tc>
          <w:tcPr>
            <w:tcW w:type="dxa" w:w="760"/>
            <w:shd w:val="clear" w:color="auto" w:fill="FFF3CD"/>
          </w:tcPr>
          <w:p>
            <w:pPr>
              <w:jc w:val="center"/>
            </w:pPr>
            <w:r>
              <w:rPr>
                <w:sz w:val="16"/>
              </w:rPr>
              <w:t>83%</w:t>
            </w:r>
          </w:p>
        </w:tc>
        <w:tc>
          <w:tcPr>
            <w:tcW w:type="dxa" w:w="760"/>
            <w:shd w:val="clear" w:color="auto" w:fill="FFF3CD"/>
          </w:tcPr>
          <w:p>
            <w:pPr>
              <w:jc w:val="center"/>
            </w:pPr>
            <w:r>
              <w:rPr>
                <w:sz w:val="16"/>
              </w:rPr>
              <w:t>0.0</w:t>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r>
      <w:tr>
        <w:tc>
          <w:tcPr>
            <w:tcW w:type="dxa" w:w="760"/>
            <w:shd w:val="clear" w:color="auto" w:fill="FFF3CD"/>
          </w:tcPr>
          <w:p>
            <w:pPr>
              <w:jc w:val="center"/>
            </w:pPr>
            <w:r>
              <w:rPr>
                <w:sz w:val="16"/>
              </w:rPr>
              <w:t>14</w:t>
            </w:r>
          </w:p>
        </w:tc>
        <w:tc>
          <w:tcPr>
            <w:tcW w:type="dxa" w:w="760"/>
            <w:shd w:val="clear" w:color="auto" w:fill="FFF3CD"/>
          </w:tcPr>
          <w:p>
            <w:pPr>
              <w:jc w:val="center"/>
            </w:pPr>
            <w:r>
              <w:rPr>
                <w:sz w:val="16"/>
              </w:rPr>
              <w:t>14.0</w:t>
            </w:r>
          </w:p>
        </w:tc>
        <w:tc>
          <w:tcPr>
            <w:tcW w:type="dxa" w:w="760"/>
            <w:shd w:val="clear" w:color="auto" w:fill="FFF3CD"/>
          </w:tcPr>
          <w:p>
            <w:pPr>
              <w:jc w:val="center"/>
            </w:pPr>
            <w:r>
              <w:rPr>
                <w:sz w:val="16"/>
              </w:rPr>
              <w:t>83%</w:t>
            </w:r>
          </w:p>
        </w:tc>
        <w:tc>
          <w:tcPr>
            <w:tcW w:type="dxa" w:w="760"/>
            <w:shd w:val="clear" w:color="auto" w:fill="FFF3CD"/>
          </w:tcPr>
          <w:p>
            <w:pPr>
              <w:jc w:val="center"/>
            </w:pPr>
            <w:r>
              <w:rPr>
                <w:sz w:val="16"/>
              </w:rPr>
              <w:t>5.0</w:t>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c>
          <w:tcPr>
            <w:tcW w:type="dxa" w:w="760"/>
            <w:shd w:val="clear" w:color="auto" w:fill="FFF3CD"/>
          </w:tcPr>
          <w:p>
            <w:pPr>
              <w:jc w:val="center"/>
            </w:pPr>
            <w:r>
              <w:rPr>
                <w:sz w:val="16"/>
              </w:rPr>
            </w:r>
          </w:p>
        </w:tc>
      </w:tr>
      <w:tr>
        <w:tc>
          <w:tcPr>
            <w:tcW w:type="dxa" w:w="760"/>
            <w:shd w:val="clear" w:color="auto" w:fill="D4EDDA"/>
          </w:tcPr>
          <w:p>
            <w:pPr>
              <w:jc w:val="center"/>
            </w:pPr>
            <w:r>
              <w:rPr>
                <w:b/>
                <w:sz w:val="16"/>
              </w:rPr>
              <w:t>15</w:t>
            </w:r>
          </w:p>
        </w:tc>
        <w:tc>
          <w:tcPr>
            <w:tcW w:type="dxa" w:w="760"/>
            <w:shd w:val="clear" w:color="auto" w:fill="D4EDDA"/>
          </w:tcPr>
          <w:p>
            <w:pPr>
              <w:jc w:val="center"/>
            </w:pPr>
            <w:r>
              <w:rPr>
                <w:b/>
                <w:sz w:val="16"/>
              </w:rPr>
              <w:t>14.0</w:t>
            </w:r>
          </w:p>
        </w:tc>
        <w:tc>
          <w:tcPr>
            <w:tcW w:type="dxa" w:w="760"/>
            <w:shd w:val="clear" w:color="auto" w:fill="D4EDDA"/>
          </w:tcPr>
          <w:p>
            <w:pPr>
              <w:jc w:val="center"/>
            </w:pPr>
            <w:r>
              <w:rPr>
                <w:b/>
                <w:sz w:val="16"/>
              </w:rPr>
              <w:t>83%</w:t>
            </w:r>
          </w:p>
        </w:tc>
        <w:tc>
          <w:tcPr>
            <w:tcW w:type="dxa" w:w="760"/>
            <w:shd w:val="clear" w:color="auto" w:fill="D4EDDA"/>
          </w:tcPr>
          <w:p>
            <w:pPr>
              <w:jc w:val="center"/>
            </w:pPr>
            <w:r>
              <w:rPr>
                <w:b/>
                <w:sz w:val="16"/>
              </w:rPr>
              <w:t>2.5</w:t>
            </w:r>
          </w:p>
        </w:tc>
        <w:tc>
          <w:tcPr>
            <w:tcW w:type="dxa" w:w="760"/>
            <w:shd w:val="clear" w:color="auto" w:fill="D4EDDA"/>
          </w:tcPr>
          <w:p>
            <w:pPr>
              <w:jc w:val="center"/>
            </w:pPr>
            <w:r>
              <w:rPr>
                <w:b/>
                <w:sz w:val="16"/>
              </w:rPr>
            </w:r>
          </w:p>
        </w:tc>
        <w:tc>
          <w:tcPr>
            <w:tcW w:type="dxa" w:w="760"/>
            <w:shd w:val="clear" w:color="auto" w:fill="D4EDDA"/>
          </w:tcPr>
          <w:p>
            <w:pPr>
              <w:jc w:val="center"/>
            </w:pPr>
            <w:r>
              <w:rPr>
                <w:b/>
                <w:sz w:val="16"/>
              </w:rPr>
            </w:r>
          </w:p>
        </w:tc>
        <w:tc>
          <w:tcPr>
            <w:tcW w:type="dxa" w:w="760"/>
            <w:shd w:val="clear" w:color="auto" w:fill="D4EDDA"/>
          </w:tcPr>
          <w:p>
            <w:pPr>
              <w:jc w:val="center"/>
            </w:pPr>
            <w:r>
              <w:rPr>
                <w:b/>
                <w:sz w:val="16"/>
              </w:rPr>
            </w:r>
          </w:p>
        </w:tc>
        <w:tc>
          <w:tcPr>
            <w:tcW w:type="dxa" w:w="760"/>
            <w:shd w:val="clear" w:color="auto" w:fill="D4EDDA"/>
          </w:tcPr>
          <w:p>
            <w:pPr>
              <w:jc w:val="center"/>
            </w:pPr>
            <w:r>
              <w:rPr>
                <w:b/>
                <w:sz w:val="16"/>
              </w:rPr>
            </w:r>
          </w:p>
        </w:tc>
        <w:tc>
          <w:tcPr>
            <w:tcW w:type="dxa" w:w="760"/>
            <w:shd w:val="clear" w:color="auto" w:fill="D4EDDA"/>
          </w:tcPr>
          <w:p>
            <w:pPr>
              <w:jc w:val="center"/>
            </w:pPr>
            <w:r>
              <w:rPr>
                <w:b/>
                <w:sz w:val="16"/>
              </w:rPr>
            </w:r>
          </w:p>
        </w:tc>
        <w:tc>
          <w:tcPr>
            <w:tcW w:type="dxa" w:w="760"/>
            <w:shd w:val="clear" w:color="auto" w:fill="D4EDDA"/>
          </w:tcPr>
          <w:p>
            <w:pPr>
              <w:jc w:val="center"/>
            </w:pPr>
            <w:r>
              <w:rPr>
                <w:b/>
                <w:sz w:val="16"/>
              </w:rPr>
            </w:r>
          </w:p>
        </w:tc>
        <w:tc>
          <w:tcPr>
            <w:tcW w:type="dxa" w:w="760"/>
            <w:shd w:val="clear" w:color="auto" w:fill="D4EDDA"/>
          </w:tcPr>
          <w:p>
            <w:pPr>
              <w:jc w:val="center"/>
            </w:pPr>
            <w:r>
              <w:rPr>
                <w:b/>
                <w:sz w:val="16"/>
              </w:rPr>
            </w:r>
          </w:p>
        </w:tc>
        <w:tc>
          <w:tcPr>
            <w:tcW w:type="dxa" w:w="760"/>
            <w:shd w:val="clear" w:color="auto" w:fill="D4EDDA"/>
          </w:tcPr>
          <w:p>
            <w:pPr>
              <w:jc w:val="center"/>
            </w:pPr>
            <w:r>
              <w:rPr>
                <w:b/>
                <w:sz w:val="16"/>
              </w:rPr>
            </w:r>
          </w:p>
        </w:tc>
      </w:tr>
    </w:tbl>
    <w:p/>
    <w:p>
      <w:r>
        <w:rPr>
          <w:sz w:val="20"/>
        </w:rPr>
        <w:t>Firma del Técnico: ________________________________     Firma de Revisión: ________________________________</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